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6C44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BF0B0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903CB7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A70F2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紫坊畔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乡人民政府</w:t>
      </w:r>
    </w:p>
    <w:p w14:paraId="314456F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6E345E6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CC84C1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4044BDE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24462506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190B30D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19062C6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0B87CE43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221852A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三、收支总体情况</w:t>
      </w:r>
    </w:p>
    <w:p w14:paraId="0674BAD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四、一般公共预算情况</w:t>
      </w:r>
    </w:p>
    <w:p w14:paraId="720813C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五、一般公共预算财政拨款“三公”经费、培训费、会议费等情况</w:t>
      </w:r>
    </w:p>
    <w:p w14:paraId="58546C3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六、一般公共预算财政拨款机关运行经费情况</w:t>
      </w:r>
    </w:p>
    <w:p w14:paraId="42A40E0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七、政府采购安排情况</w:t>
      </w:r>
    </w:p>
    <w:p w14:paraId="15D343B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八、国有资产占用情况</w:t>
      </w:r>
    </w:p>
    <w:p w14:paraId="65D84A2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九、其他重要事项情况说明</w:t>
      </w:r>
    </w:p>
    <w:p w14:paraId="396C556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十、预算绩效管理情况</w:t>
      </w:r>
    </w:p>
    <w:p w14:paraId="2A8BCE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十一、名词解释</w:t>
      </w:r>
    </w:p>
    <w:p w14:paraId="204AEE13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D2006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7D5C73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21621A4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6CDD78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E48B8B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37A5D2F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20BBA02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A7EE4D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25AFC24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40685C2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7B62941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00A8D3E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5B77A3A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2C4061B3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4DFA9489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39FE21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296D37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年预算公开如下：</w:t>
      </w:r>
    </w:p>
    <w:p w14:paraId="46A2A8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33FED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1.贯彻执行党的路线、方针、政策和国家法律法规，贯彻执行上级行政机关的决议、命令及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党委的决定，执行乡人民代表大会的决议；</w:t>
      </w:r>
    </w:p>
    <w:p w14:paraId="09ED0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2.对乡人民代表大会及其主席团和县政府负责并报告工作；</w:t>
      </w:r>
    </w:p>
    <w:p w14:paraId="428FEE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3.编制和执行乡国民经济和社会发展计划，编制并执行财政预算；</w:t>
      </w:r>
    </w:p>
    <w:p w14:paraId="51CF8D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4.管理经济和各项社会事业的行政工作；</w:t>
      </w:r>
    </w:p>
    <w:p w14:paraId="51C816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5.负责乡行政执法工作，维护社会秩序，保护公民人身、民主、财产等合法权利，保护各种经济组织的合法权益；</w:t>
      </w:r>
    </w:p>
    <w:p w14:paraId="549D7C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6.支持和帮助村民委员会工作；</w:t>
      </w:r>
    </w:p>
    <w:p w14:paraId="3B6C6A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7.法律规定的其他职责。</w:t>
      </w:r>
    </w:p>
    <w:p w14:paraId="0FF9FE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1E44F8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E37CE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紫坊畔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乡人民政府内设4个党政机构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农业服务中心负责宣传贯彻农业农村相关法律、法规、政策、农业技术推广应用与指导，动植物病虫害、疫情的监测与防治，农产品质量监管服务；党群服务中心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综合执法队负责依据相关法律法规，统一承担辖区范围内综合行政执法的工作；根据县直有关部门委托，集中行使乡村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5BBA6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74CFF9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4FABCE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845.43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025AFF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66B9A4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845.43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4ADFC2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845.43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2C049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743A76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845.43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845.43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，占</w:t>
      </w:r>
      <w:r>
        <w:rPr>
          <w:rStyle w:val="21"/>
          <w:rFonts w:hint="eastAsia" w:ascii="仿宋_GB2312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4AF142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93E8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320" w:firstLineChars="100"/>
        <w:contextualSpacing/>
        <w:jc w:val="lef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Style w:val="21"/>
          <w:rFonts w:hint="eastAsia" w:ascii="仿宋_GB2312" w:hAnsi="仿宋" w:eastAsia="仿宋_GB2312"/>
          <w:color w:val="auto"/>
          <w:lang w:val="en-US" w:eastAsia="zh-CN"/>
        </w:rPr>
        <w:t>2026</w:t>
      </w:r>
      <w:r>
        <w:rPr>
          <w:rStyle w:val="20"/>
          <w:rFonts w:hint="default" w:hAnsi="仿宋"/>
          <w:color w:val="auto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845.43</w:t>
      </w:r>
      <w:r>
        <w:rPr>
          <w:rStyle w:val="20"/>
          <w:rFonts w:hint="default" w:hAnsi="仿宋"/>
          <w:color w:val="auto"/>
        </w:rPr>
        <w:t>万元，包括：</w:t>
      </w:r>
      <w:r>
        <w:rPr>
          <w:rStyle w:val="20"/>
          <w:rFonts w:hint="eastAsia" w:ascii="仿宋_GB2312" w:hAnsi="仿宋_GB2312" w:eastAsia="仿宋_GB2312" w:cs="仿宋_GB2312"/>
          <w:color w:val="auto"/>
        </w:rPr>
        <w:t>农林水支出</w:t>
      </w:r>
      <w:r>
        <w:rPr>
          <w:rStyle w:val="20"/>
          <w:rFonts w:hint="eastAsia" w:ascii="仿宋_GB2312" w:hAnsi="仿宋_GB2312" w:eastAsia="仿宋_GB2312" w:cs="仿宋_GB2312"/>
          <w:color w:val="auto"/>
          <w:lang w:val="en-US" w:eastAsia="zh-CN"/>
        </w:rPr>
        <w:t xml:space="preserve"> 629.08</w:t>
      </w:r>
      <w:r>
        <w:rPr>
          <w:rStyle w:val="20"/>
          <w:rFonts w:hint="eastAsia" w:ascii="仿宋_GB2312" w:hAnsi="仿宋_GB2312" w:eastAsia="仿宋_GB2312" w:cs="仿宋_GB2312"/>
          <w:color w:val="auto"/>
        </w:rPr>
        <w:t>万元、卫生健康支出</w:t>
      </w:r>
      <w:r>
        <w:rPr>
          <w:rStyle w:val="20"/>
          <w:rFonts w:hint="eastAsia" w:ascii="仿宋_GB2312" w:hAnsi="仿宋_GB2312" w:eastAsia="仿宋_GB2312" w:cs="仿宋_GB2312"/>
          <w:color w:val="auto"/>
          <w:lang w:val="en-US" w:eastAsia="zh-CN"/>
        </w:rPr>
        <w:t>37.62</w:t>
      </w:r>
      <w:r>
        <w:rPr>
          <w:rStyle w:val="20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0"/>
          <w:rFonts w:hint="eastAsia" w:ascii="仿宋_GB2312" w:hAnsi="仿宋_GB2312" w:eastAsia="仿宋_GB2312" w:cs="仿宋_GB2312"/>
          <w:color w:val="auto"/>
          <w:lang w:eastAsia="zh-CN"/>
        </w:rPr>
        <w:t>、</w:t>
      </w:r>
      <w:r>
        <w:rPr>
          <w:rStyle w:val="20"/>
          <w:rFonts w:hint="eastAsia" w:ascii="仿宋_GB2312" w:hAnsi="仿宋_GB2312" w:eastAsia="仿宋_GB2312" w:cs="仿宋_GB2312"/>
          <w:color w:val="auto"/>
        </w:rPr>
        <w:t>社会保障和就业支出</w:t>
      </w:r>
      <w:r>
        <w:rPr>
          <w:rStyle w:val="21"/>
          <w:rFonts w:hint="eastAsia" w:ascii="仿宋_GB2312" w:hAnsi="仿宋" w:eastAsia="仿宋_GB2312"/>
          <w:color w:val="auto"/>
          <w:lang w:val="en-US" w:eastAsia="zh-CN"/>
        </w:rPr>
        <w:t>115</w:t>
      </w:r>
      <w:r>
        <w:rPr>
          <w:rStyle w:val="20"/>
          <w:rFonts w:hint="eastAsia" w:ascii="仿宋_GB2312" w:hAnsi="仿宋_GB2312" w:eastAsia="仿宋_GB2312" w:cs="仿宋_GB2312"/>
          <w:color w:val="auto"/>
        </w:rPr>
        <w:t>万元、住房保障支出</w:t>
      </w:r>
      <w:r>
        <w:rPr>
          <w:rStyle w:val="20"/>
          <w:rFonts w:hint="eastAsia" w:ascii="仿宋_GB2312" w:hAnsi="仿宋_GB2312" w:eastAsia="仿宋_GB2312" w:cs="仿宋_GB2312"/>
          <w:color w:val="auto"/>
          <w:lang w:val="en-US" w:eastAsia="zh-CN"/>
        </w:rPr>
        <w:t>55.73</w:t>
      </w:r>
      <w:r>
        <w:rPr>
          <w:rStyle w:val="20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0"/>
          <w:rFonts w:hint="eastAsia" w:ascii="仿宋_GB2312" w:hAnsi="仿宋_GB2312" w:eastAsia="仿宋_GB2312" w:cs="仿宋_GB2312"/>
          <w:color w:val="auto"/>
          <w:lang w:eastAsia="zh-CN"/>
        </w:rPr>
        <w:t>，其他支出</w:t>
      </w:r>
      <w:r>
        <w:rPr>
          <w:rStyle w:val="20"/>
          <w:rFonts w:hint="eastAsia" w:ascii="仿宋_GB2312" w:hAnsi="仿宋_GB2312" w:eastAsia="仿宋_GB2312" w:cs="仿宋_GB2312"/>
          <w:color w:val="auto"/>
          <w:lang w:val="en-US" w:eastAsia="zh-CN"/>
        </w:rPr>
        <w:t>8万元</w:t>
      </w:r>
      <w:r>
        <w:rPr>
          <w:rStyle w:val="20"/>
          <w:rFonts w:hint="eastAsia" w:ascii="仿宋_GB2312" w:hAnsi="仿宋_GB2312" w:eastAsia="仿宋_GB2312" w:cs="仿宋_GB2312"/>
          <w:color w:val="auto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color w:val="auto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3B1ED7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72DA19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845.43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增加14.57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增加1.7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变动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F6B9C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746.66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奖励金、代缴社会保险费 、其他对个人和家庭的补助等。</w:t>
      </w:r>
    </w:p>
    <w:p w14:paraId="4EF175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90.77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5ED10C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2B4892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6462E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“三公”经费预算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4.4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48FB3D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1.公务接待费 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4F0E87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万元（其中：务用车运行维护费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万元），较202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47924F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1F57C5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55.43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增加3.47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增加6.6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人员变动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86149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0B1B89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</w:p>
    <w:p w14:paraId="0B16A0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6C038B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125.13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万元。其中：办公用房 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1846.46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66.26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辆，价值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3.45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</w:t>
      </w:r>
    </w:p>
    <w:p w14:paraId="2FB62B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kern w:val="0"/>
          <w:sz w:val="32"/>
          <w:szCs w:val="32"/>
          <w:highlight w:val="none"/>
        </w:rPr>
        <w:t>九、其他重要事项情况说明</w:t>
      </w:r>
    </w:p>
    <w:p w14:paraId="613F23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53CE41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未安排预算，政府性基金预算支出情况表为空表。</w:t>
      </w:r>
    </w:p>
    <w:p w14:paraId="365905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097E6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E9BBD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7B433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hAnsi="仿宋" w:eastAsia="仿宋_GB2312"/>
          <w:sz w:val="32"/>
          <w:szCs w:val="32"/>
        </w:rPr>
        <w:t>单位年初预算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8万元用于支出村级公益性共享共管资金。</w:t>
      </w:r>
    </w:p>
    <w:p w14:paraId="0AAE11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42BD04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381DA5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231B85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319796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53A053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3D4961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09FEB6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整体支出和项目绩效目标1个，按规定随年度预算一并公开项目1个，公开率为  100  %。</w:t>
      </w:r>
    </w:p>
    <w:p w14:paraId="7093A9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组织开展1-6月绩效运行监控项目1个，占本1单位项目的100%。截至7月底，如期完成预算执行和绩效目标指标值的项目1个，完成率为100 %。“双监控”发现存在的问题和主要原因是：填报绩效目标设置过于宏观，具体的量化指标不足，提现绩效目标的实现程度较为模糊。开展1-9月绩效运行监控项目1个，占本部门（单位）项目的100%。截至10月底，如期完成预算执行和绩效目标指标值的项目1个，完成率为100%。“双监控”发现存在的问题和主要原因是：绩效运行监控报表填报不规范，无法监控绩效目标的实现程度。</w:t>
      </w:r>
    </w:p>
    <w:p w14:paraId="26E315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1个，其中，部门（单位）整体支出1个，项目支出0个，转移支付项目0个，绩效自评覆盖率为100 %。绩效自评结果随部门决算报送财政和随决算公开情况：根据年初设定的绩效目标，绩效自评得分为91分。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95%。自评结果均达到设定的绩效目标，取得良好的社会效益。</w:t>
      </w:r>
    </w:p>
    <w:p w14:paraId="14F7BA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年度绩效运行监控、绩效自评等情况，当年盘活财政资金0万元，2025年度增加（减少）部门预算项目0个。同时对政策和项目资金管理作出调整的0个。</w:t>
      </w:r>
    </w:p>
    <w:p w14:paraId="6DE02D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jc w:val="left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6FEF84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年，纳入部门/单位预算绩效目标管理的项目1个。其中，部门整体支出绩效目标围绕部门管理、履职效果、能力建设三个维度，设置二级指标3个、三级指标15 个。各项绩效目标内容指向明确、细化量化、合理可行，符合规定的格式要求。</w:t>
      </w:r>
    </w:p>
    <w:p w14:paraId="2F951D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538D03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03BBAB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3BECD7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20F886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345BB0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02D198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443C08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5EB7D7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7E1F1AC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9BD0FA8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27033C6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紫坊畔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乡人民政府</w:t>
      </w:r>
    </w:p>
    <w:p w14:paraId="2E13B67A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202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1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6F1D9B54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517B3F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紫坊畔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乡人民政府202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5CBD38F8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紫坊畔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乡人民政府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1DEABFF2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E2956">
    <w:pPr>
      <w:pStyle w:val="5"/>
      <w:jc w:val="center"/>
    </w:pPr>
  </w:p>
  <w:p w14:paraId="7D9255B4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5C0A5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535C60C3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1E01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3320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3040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2D77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748B6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903BA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C78C1"/>
    <w:rsid w:val="00FD30CF"/>
    <w:rsid w:val="00FE0E46"/>
    <w:rsid w:val="00FF0AEC"/>
    <w:rsid w:val="00FF1DF4"/>
    <w:rsid w:val="00FF4165"/>
    <w:rsid w:val="02E03DF9"/>
    <w:rsid w:val="06FE611D"/>
    <w:rsid w:val="0A286239"/>
    <w:rsid w:val="0FE46975"/>
    <w:rsid w:val="113741D2"/>
    <w:rsid w:val="18330BA7"/>
    <w:rsid w:val="19664F65"/>
    <w:rsid w:val="1D34261E"/>
    <w:rsid w:val="3946111C"/>
    <w:rsid w:val="39953CE0"/>
    <w:rsid w:val="42A05423"/>
    <w:rsid w:val="49627B61"/>
    <w:rsid w:val="4C433C79"/>
    <w:rsid w:val="4C534FDF"/>
    <w:rsid w:val="50EB0400"/>
    <w:rsid w:val="527E074E"/>
    <w:rsid w:val="56393C72"/>
    <w:rsid w:val="579503FF"/>
    <w:rsid w:val="5B5E6C46"/>
    <w:rsid w:val="5E35060E"/>
    <w:rsid w:val="60535296"/>
    <w:rsid w:val="63941921"/>
    <w:rsid w:val="6615497E"/>
    <w:rsid w:val="6C712993"/>
    <w:rsid w:val="71B36668"/>
    <w:rsid w:val="72FD2525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标题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4306</Words>
  <Characters>4546</Characters>
  <Lines>34</Lines>
  <Paragraphs>9</Paragraphs>
  <TotalTime>5</TotalTime>
  <ScaleCrop>false</ScaleCrop>
  <LinksUpToDate>false</LinksUpToDate>
  <CharactersWithSpaces>4573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你当我是浮夸吧</cp:lastModifiedBy>
  <cp:lastPrinted>2022-02-15T07:45:00Z</cp:lastPrinted>
  <dcterms:modified xsi:type="dcterms:W3CDTF">2026-03-17T07:33:36Z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44137BC3778646CAB24444378EDDA5F0_13</vt:lpwstr>
  </property>
  <property fmtid="{D5CDD505-2E9C-101B-9397-08002B2CF9AE}" pid="4" name="KSOTemplateDocerSaveRecord">
    <vt:lpwstr>eyJoZGlkIjoiN2E5YzBhZmE1YzU1NmJlYzIxZmJjZjk4M2M4OTFmMTEiLCJ1c2VySWQiOiIyMjQ2NzQ2NTAifQ==</vt:lpwstr>
  </property>
</Properties>
</file>