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170BE9BE">
      <w:pPr>
        <w:spacing w:line="660" w:lineRule="exact"/>
        <w:jc w:val="center"/>
        <w:rPr>
          <w:rFonts w:hint="default" w:ascii="宋体" w:hAnsi="宋体" w:eastAsia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华池县山庄乡山庄小学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年单位预算公开情况说明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一、部门/单位职责</w:t>
      </w:r>
    </w:p>
    <w:p w14:paraId="47DCCB9B">
      <w:pPr>
        <w:pStyle w:val="7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华池县山庄乡山庄小学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是</w:t>
      </w:r>
      <w:r>
        <w:rPr>
          <w:rFonts w:hint="eastAsia" w:asci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从事教育事业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等工作的职能部门。主要职责是:</w:t>
      </w:r>
    </w:p>
    <w:p w14:paraId="70B034E7">
      <w:pPr>
        <w:pStyle w:val="7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普及九年义务教育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及学前教育，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培养合格人才为主要职能，从事教育教学事务活动</w:t>
      </w:r>
    </w:p>
    <w:p w14:paraId="0BFF694C">
      <w:pPr>
        <w:pStyle w:val="7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eastAsia" w:ascii="仿宋_GB2312" w:hAnsi="仿宋" w:eastAsia="仿宋_GB2312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宣传贯彻执行党和国家的教育方针、教育政策、教育法律和法规。</w:t>
      </w:r>
      <w:r>
        <w:rPr>
          <w:rFonts w:hint="eastAsia" w:ascii="仿宋" w:hAnsi="仿宋" w:eastAsia="仿宋" w:cs="仿宋"/>
          <w:color w:val="auto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  3.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组织开展教育教学科研和教育教学改革，以科学发展观和以人为本的管理理念注重学生的全面发展。</w:t>
      </w:r>
      <w:r>
        <w:rPr>
          <w:rFonts w:hint="eastAsia" w:ascii="仿宋" w:hAnsi="仿宋" w:eastAsia="仿宋" w:cs="仿宋"/>
          <w:color w:val="auto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  4.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按照教师的职数、编制和管理权限，对职工的工作开展客观、公正的评价和考核。</w:t>
      </w:r>
      <w:r>
        <w:rPr>
          <w:rFonts w:hint="eastAsia" w:ascii="仿宋" w:hAnsi="仿宋" w:eastAsia="仿宋" w:cs="仿宋"/>
          <w:color w:val="auto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  5.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按照上级有关部门的规定，负责学校的财务和项目建设进行，负责核算和发放教职工工资。</w:t>
      </w:r>
      <w:r>
        <w:rPr>
          <w:rFonts w:hint="eastAsia" w:ascii="仿宋" w:hAnsi="仿宋" w:eastAsia="仿宋" w:cs="仿宋"/>
          <w:color w:val="auto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  6.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争取资金改善办学条件，为师生的学习和工作提供优美和谐的环境。</w:t>
      </w:r>
    </w:p>
    <w:p w14:paraId="720E48B4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77BC1A87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2BD166CB">
      <w:pPr>
        <w:pStyle w:val="7"/>
        <w:shd w:val="clear" w:color="auto" w:fill="FFFFFF"/>
        <w:spacing w:before="0" w:beforeAutospacing="0" w:after="0" w:afterAutospacing="0" w:line="560" w:lineRule="exact"/>
        <w:ind w:firstLine="643" w:firstLineChars="200"/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（1）内设机构</w:t>
      </w:r>
    </w:p>
    <w:p w14:paraId="342DE84C">
      <w:pPr>
        <w:pStyle w:val="7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华池县山庄乡山庄小学内设五个职能股室,包括:党支部、教务处、政教处、总务处、工会。</w:t>
      </w:r>
    </w:p>
    <w:p w14:paraId="5ED93371">
      <w:pPr>
        <w:pStyle w:val="7"/>
        <w:shd w:val="clear" w:color="auto" w:fill="FFFFFF"/>
        <w:spacing w:before="0" w:beforeAutospacing="0" w:after="0" w:afterAutospacing="0" w:line="560" w:lineRule="exact"/>
        <w:ind w:firstLine="643" w:firstLineChars="200"/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b/>
          <w:bCs/>
          <w:color w:val="auto"/>
          <w:sz w:val="32"/>
          <w:szCs w:val="32"/>
        </w:rPr>
        <w:t>（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仿宋_GB2312" w:cs="Times New Roman"/>
          <w:b/>
          <w:bCs/>
          <w:color w:val="auto"/>
          <w:sz w:val="32"/>
          <w:szCs w:val="32"/>
        </w:rPr>
        <w:t>）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eastAsia="zh-CN"/>
        </w:rPr>
        <w:t>人员情况</w:t>
      </w:r>
    </w:p>
    <w:p w14:paraId="565B8489">
      <w:pPr>
        <w:spacing w:line="600" w:lineRule="exact"/>
        <w:ind w:firstLine="640" w:firstLineChars="200"/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2025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年度，我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单位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共有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编制20名，其中：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行政编制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0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名，参公事业编制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0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名，事业编制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20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名，后勤编制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0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名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。实有在职人员33人，在编人员20人，退休14人，遗属0人。</w:t>
      </w:r>
    </w:p>
    <w:p w14:paraId="316EA88B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（二）参照公务员法管理单位</w:t>
      </w:r>
    </w:p>
    <w:p w14:paraId="76DB884D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按编制部门批复“三定”方案编写</w:t>
      </w:r>
    </w:p>
    <w:p w14:paraId="1A18BC42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（三）直属事业单位</w:t>
      </w:r>
    </w:p>
    <w:p w14:paraId="23091B34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按编制部门批复“三定”方案编写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 w14:paraId="10AF183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1E0126CF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514.04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</w:t>
      </w:r>
      <w:r>
        <w:rPr>
          <w:rFonts w:hint="eastAsia" w:ascii="仿宋_GB2312" w:hAnsi="仿宋" w:eastAsia="仿宋_GB2312"/>
          <w:sz w:val="32"/>
          <w:szCs w:val="32"/>
        </w:rPr>
        <w:t>一般公共预算拨款收入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514.04万元</w:t>
      </w:r>
      <w:r>
        <w:rPr>
          <w:rFonts w:hint="eastAsia" w:ascii="仿宋_GB2312" w:hAnsi="仿宋" w:eastAsia="仿宋_GB2312"/>
          <w:sz w:val="32"/>
          <w:szCs w:val="32"/>
        </w:rPr>
        <w:t>；支出包括：教育支出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78.08万元</w:t>
      </w:r>
      <w:r>
        <w:rPr>
          <w:rFonts w:hint="eastAsia" w:ascii="仿宋_GB2312" w:hAnsi="仿宋" w:eastAsia="仿宋_GB2312"/>
          <w:sz w:val="32"/>
          <w:szCs w:val="32"/>
        </w:rPr>
        <w:t>、社会保障和就业支出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372.47万元</w:t>
      </w:r>
      <w:r>
        <w:rPr>
          <w:rFonts w:hint="eastAsia" w:ascii="仿宋_GB2312" w:hAnsi="仿宋" w:eastAsia="仿宋_GB2312"/>
          <w:sz w:val="32"/>
          <w:szCs w:val="32"/>
        </w:rPr>
        <w:t>、卫生健康支出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26.95万元</w:t>
      </w:r>
      <w:r>
        <w:rPr>
          <w:rFonts w:hint="eastAsia" w:ascii="仿宋_GB2312" w:hAnsi="仿宋" w:eastAsia="仿宋_GB2312"/>
          <w:sz w:val="32"/>
          <w:szCs w:val="32"/>
        </w:rPr>
        <w:t>、住房保障支出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36.54万元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514.04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14E911E5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514.04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6DC38958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政府性基金预算收入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7ABC9C50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上年结转收入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745038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514.04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1"/>
          <w:rFonts w:hint="default" w:hAnsi="仿宋"/>
        </w:rPr>
        <w:t>其中：基本支出</w:t>
      </w:r>
      <w:r>
        <w:rPr>
          <w:rStyle w:val="22"/>
          <w:rFonts w:hint="eastAsia" w:ascii="仿宋_GB2312" w:hAnsi="仿宋" w:eastAsia="仿宋_GB2312"/>
          <w:lang w:val="en-US" w:eastAsia="zh-CN"/>
        </w:rPr>
        <w:t>514.04</w:t>
      </w:r>
      <w:r>
        <w:rPr>
          <w:rStyle w:val="21"/>
          <w:rFonts w:hint="default" w:hAnsi="仿宋"/>
        </w:rPr>
        <w:t>万元，占</w:t>
      </w:r>
      <w:r>
        <w:rPr>
          <w:rStyle w:val="21"/>
          <w:rFonts w:hint="eastAsia" w:hAnsi="仿宋" w:eastAsia="仿宋_GB2312"/>
          <w:lang w:val="en-US" w:eastAsia="zh-CN"/>
        </w:rPr>
        <w:t>100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2"/>
          <w:rFonts w:hint="eastAsia" w:ascii="仿宋_GB2312" w:hAnsi="仿宋" w:eastAsia="仿宋_GB2312"/>
          <w:lang w:eastAsia="zh-CN"/>
        </w:rPr>
        <w:t>；</w:t>
      </w:r>
      <w:r>
        <w:rPr>
          <w:rStyle w:val="21"/>
          <w:rFonts w:hint="default" w:hAnsi="仿宋"/>
        </w:rPr>
        <w:t>项目支出</w:t>
      </w:r>
      <w:r>
        <w:rPr>
          <w:rStyle w:val="21"/>
          <w:rFonts w:hint="eastAsia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万元，占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>； 上年结转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</w:t>
      </w:r>
      <w:r>
        <w:rPr>
          <w:rStyle w:val="21"/>
          <w:rFonts w:hint="eastAsia" w:hAnsi="仿宋" w:eastAsia="仿宋_GB2312"/>
          <w:lang w:eastAsia="zh-CN"/>
        </w:rPr>
        <w:t>，</w:t>
      </w:r>
      <w:r>
        <w:rPr>
          <w:rStyle w:val="21"/>
          <w:rFonts w:hint="default" w:hAnsi="仿宋"/>
        </w:rPr>
        <w:t>占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>。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319D6986">
      <w:pPr>
        <w:spacing w:line="600" w:lineRule="exact"/>
        <w:ind w:firstLine="640" w:firstLineChars="200"/>
        <w:rPr>
          <w:rStyle w:val="21"/>
          <w:rFonts w:hint="eastAsia" w:hAnsi="仿宋" w:eastAsia="仿宋_GB2312"/>
          <w:lang w:eastAsia="zh-CN"/>
        </w:rPr>
      </w:pPr>
      <w:r>
        <w:rPr>
          <w:rStyle w:val="22"/>
          <w:rFonts w:hint="eastAsia" w:ascii="仿宋_GB2312" w:hAnsi="仿宋" w:eastAsia="仿宋_GB2312"/>
          <w:lang w:eastAsia="zh-CN"/>
        </w:rPr>
        <w:t>202</w:t>
      </w:r>
      <w:r>
        <w:rPr>
          <w:rStyle w:val="22"/>
          <w:rFonts w:hint="default" w:ascii="仿宋_GB2312" w:hAnsi="仿宋" w:eastAsia="仿宋_GB2312"/>
          <w:lang w:val="en-US" w:eastAsia="zh-CN"/>
        </w:rPr>
        <w:t>6</w:t>
      </w:r>
      <w:r>
        <w:rPr>
          <w:rStyle w:val="21"/>
          <w:rFonts w:hint="default" w:hAnsi="仿宋"/>
        </w:rPr>
        <w:t>年一般公共预算当年支出</w:t>
      </w:r>
      <w:r>
        <w:rPr>
          <w:rStyle w:val="22"/>
          <w:rFonts w:hint="eastAsia" w:ascii="仿宋_GB2312" w:hAnsi="仿宋" w:eastAsia="仿宋_GB2312"/>
          <w:lang w:val="en-US" w:eastAsia="zh-CN"/>
        </w:rPr>
        <w:t>514.04</w:t>
      </w:r>
      <w:r>
        <w:rPr>
          <w:rStyle w:val="21"/>
          <w:rFonts w:hint="default" w:hAnsi="仿宋"/>
        </w:rPr>
        <w:t>万元，包括：一般公共预算当年支出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514.04</w:t>
      </w:r>
      <w:r>
        <w:rPr>
          <w:rFonts w:hint="eastAsia" w:ascii="仿宋_GB2312" w:hAnsi="仿宋" w:eastAsia="仿宋_GB2312"/>
          <w:sz w:val="32"/>
          <w:szCs w:val="32"/>
        </w:rPr>
        <w:t xml:space="preserve"> </w:t>
      </w:r>
      <w:r>
        <w:rPr>
          <w:rStyle w:val="21"/>
          <w:rFonts w:hint="default" w:hAnsi="仿宋"/>
        </w:rPr>
        <w:t>万元，包括</w:t>
      </w:r>
      <w:r>
        <w:rPr>
          <w:rFonts w:hint="eastAsia" w:ascii="仿宋_GB2312" w:hAnsi="仿宋" w:eastAsia="仿宋_GB2312"/>
          <w:sz w:val="32"/>
          <w:szCs w:val="32"/>
        </w:rPr>
        <w:t>教育支出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372.47万元</w:t>
      </w:r>
      <w:r>
        <w:rPr>
          <w:rFonts w:hint="eastAsia" w:ascii="仿宋_GB2312" w:hAnsi="仿宋" w:eastAsia="仿宋_GB2312"/>
          <w:sz w:val="32"/>
          <w:szCs w:val="32"/>
        </w:rPr>
        <w:t>、社会保障和就业支出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78.08万元</w:t>
      </w:r>
      <w:r>
        <w:rPr>
          <w:rFonts w:hint="eastAsia" w:ascii="仿宋_GB2312" w:hAnsi="仿宋" w:eastAsia="仿宋_GB2312"/>
          <w:sz w:val="32"/>
          <w:szCs w:val="32"/>
        </w:rPr>
        <w:t>、卫生健康支出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26.95万元</w:t>
      </w:r>
      <w:r>
        <w:rPr>
          <w:rFonts w:hint="eastAsia" w:ascii="仿宋_GB2312" w:hAnsi="仿宋" w:eastAsia="仿宋_GB2312"/>
          <w:sz w:val="32"/>
          <w:szCs w:val="32"/>
        </w:rPr>
        <w:t>、住房保障支出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36.54万元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F3C656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6A4E8EAA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514.04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17.85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3.5</w:t>
      </w:r>
      <w:r>
        <w:rPr>
          <w:rFonts w:hint="eastAsia" w:ascii="仿宋_GB2312" w:hAnsi="仿宋" w:eastAsia="仿宋_GB2312"/>
          <w:sz w:val="32"/>
          <w:szCs w:val="32"/>
        </w:rPr>
        <w:t xml:space="preserve"> %，增长的主要原因是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</w:t>
      </w:r>
      <w:r>
        <w:rPr>
          <w:rFonts w:hint="eastAsia" w:ascii="仿宋_GB2312" w:hAnsi="仿宋" w:eastAsia="仿宋_GB2312"/>
          <w:sz w:val="32"/>
          <w:szCs w:val="32"/>
        </w:rPr>
        <w:t>工资和职称晋升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加入残疾人保障金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D3E588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503.54</w:t>
      </w:r>
      <w:r>
        <w:rPr>
          <w:rFonts w:hint="eastAsia" w:ascii="仿宋_GB2312" w:hAnsi="仿宋" w:eastAsia="仿宋_GB2312"/>
          <w:sz w:val="32"/>
          <w:szCs w:val="32"/>
        </w:rPr>
        <w:t>万元，主要包括：主要包括：基本工资、津贴补贴、奖金、绩效工资、机关事业单位基本养老保险缴费、职业年金缴费、职工基本医疗保险缴费、公务员医疗补助缴费、其他社会保障缴费、住房公积金、医疗费、其他工资福利支出、其他对个人和家庭的补助等。</w:t>
      </w:r>
    </w:p>
    <w:p w14:paraId="3F60E6D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10.5</w:t>
      </w:r>
      <w:r>
        <w:rPr>
          <w:rFonts w:hint="eastAsia" w:ascii="仿宋_GB2312" w:hAnsi="仿宋" w:eastAsia="仿宋_GB2312"/>
          <w:sz w:val="32"/>
          <w:szCs w:val="32"/>
        </w:rPr>
        <w:t>万元，主要包括：工会经费、福利费、其他商品和服务支出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残疾人保证金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/>
          <w:sz w:val="32"/>
          <w:szCs w:val="32"/>
        </w:rPr>
        <w:t>等。</w:t>
      </w:r>
    </w:p>
    <w:p w14:paraId="1DB0216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1E9745D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3629A69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基本民生</w:t>
      </w:r>
      <w:r>
        <w:rPr>
          <w:rFonts w:hint="eastAsia" w:ascii="仿宋_GB2312" w:hAnsi="仿宋" w:eastAsia="仿宋_GB2312"/>
          <w:sz w:val="32"/>
          <w:szCs w:val="32"/>
        </w:rPr>
        <w:t xml:space="preserve">项目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个。</w:t>
      </w:r>
    </w:p>
    <w:p w14:paraId="50CA5CE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刚性支出项目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个。</w:t>
      </w:r>
    </w:p>
    <w:p w14:paraId="2DD7CC2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部门专项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2CA5B85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1BB66E0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1.教育支出（ 类）普通教育（ 款） 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小学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教育（ 项）202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年预算数为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372.47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 比 202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年预算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增加3.86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 主要原因是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人员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工资和职称晋升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教育支出类加入残疾人保障金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6E7F3B2D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2.社会保障和就业支出（类）行政事业单位养老支出（ 款）机关事业单位基本养老保险缴费支出、机关事业单位职业年金缴费支出（项）202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年预算数为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78.08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 比 202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年预算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减少0.08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 主要原因是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人员减少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本年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社会保障和就业支出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减去残疾人保障金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13D5068C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3.卫生健康支出（类）行政事业单位医疗（款）事业单位医疗（项）202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年预算数为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26.95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 比 202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 年预算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增加2.14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 主要原因是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人员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工资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增加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和职称晋升。</w:t>
      </w:r>
    </w:p>
    <w:p w14:paraId="41699140">
      <w:pPr>
        <w:adjustRightInd w:val="0"/>
        <w:snapToGrid w:val="0"/>
        <w:spacing w:line="640" w:lineRule="exact"/>
        <w:ind w:firstLine="640" w:firstLineChars="200"/>
        <w:contextualSpacing/>
        <w:rPr>
          <w:rFonts w:hint="default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4.住房保障支出类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年预算数为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36.54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 比 202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 年预算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增加1.95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 主要原因是工资和职称晋升。</w:t>
      </w:r>
    </w:p>
    <w:bookmarkEnd w:id="0"/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73655E40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0822331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本单位无“三公”经费预算。</w:t>
      </w:r>
    </w:p>
    <w:p w14:paraId="5027040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2023400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本单位无培训费预算。</w:t>
      </w:r>
    </w:p>
    <w:p w14:paraId="56F3A76C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6B3BFB4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本单位无会议费预算。</w:t>
      </w:r>
    </w:p>
    <w:p w14:paraId="528B4A4A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5A17754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本单位无机关运行经费。</w:t>
      </w:r>
    </w:p>
    <w:p w14:paraId="57B4FFA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73FD1C8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年，部门（单位）政府采购预算总额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万元，政府采购工程预算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 万元。</w:t>
      </w:r>
    </w:p>
    <w:p w14:paraId="51697E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年，部门（单位）面向中小企业预留政府采购项目预算金额  万元，小微企业预留政府采购项目预算金额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A19352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576045A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578.02</w:t>
      </w:r>
      <w:r>
        <w:rPr>
          <w:rFonts w:hint="eastAsia" w:ascii="仿宋_GB2312" w:hAnsi="仿宋" w:eastAsia="仿宋_GB2312"/>
          <w:sz w:val="32"/>
          <w:szCs w:val="32"/>
        </w:rPr>
        <w:t>万元。其中：办公用房3445平方米，价值418.58万元。预算部门（单位）共有公务用车0辆，价值0万元。单价20万元以上的设备价值0万元。2025年拟采购固定资产约 0万元。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568A5A9C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（一）政府性基金预算支出情况</w:t>
      </w:r>
    </w:p>
    <w:p w14:paraId="107CD1EF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645" w:lineRule="atLeast"/>
        <w:ind w:left="0" w:right="0" w:firstLine="645"/>
        <w:jc w:val="left"/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未安排预算，政府性基金预算支出情况表为空表。</w:t>
      </w:r>
    </w:p>
    <w:p w14:paraId="56C3F81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（二）非税收入情况</w:t>
      </w:r>
    </w:p>
    <w:p w14:paraId="42179274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645" w:lineRule="atLeast"/>
        <w:ind w:left="0" w:right="0" w:firstLine="645"/>
        <w:jc w:val="left"/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本单位2025年无非税收入。</w:t>
      </w:r>
    </w:p>
    <w:p w14:paraId="11F5AF3C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（三）重点项目情况</w:t>
      </w:r>
    </w:p>
    <w:p w14:paraId="16622644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645" w:lineRule="atLeast"/>
        <w:ind w:left="0" w:right="0" w:firstLine="645"/>
        <w:jc w:val="left"/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未安排预算，单位管理转移支付表为空表。</w:t>
      </w:r>
    </w:p>
    <w:p w14:paraId="6E5CF295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（四）国有资本经营预算支出情况</w:t>
      </w:r>
    </w:p>
    <w:p w14:paraId="40BD770F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未安排预算，国有资本经营预算支出情况表为空表。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   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2B877C6E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月，组织开展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1-6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19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%。截至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资金支付率低</w:t>
      </w:r>
      <w:r>
        <w:rPr>
          <w:rFonts w:hint="eastAsia" w:ascii="仿宋_GB2312" w:hAnsi="仿宋" w:eastAsia="仿宋_GB2312"/>
          <w:sz w:val="32"/>
          <w:szCs w:val="32"/>
        </w:rPr>
        <w:t>。开展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1-9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仿宋" w:eastAsia="仿宋_GB2312"/>
          <w:sz w:val="32"/>
          <w:szCs w:val="32"/>
        </w:rPr>
        <w:t>个，占本部门（单位）项目的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。绩效运行监控在部门内部通报整改情况：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11B9213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b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个，其中，部门（单位）整体支出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个，转移支付项目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%。绩效自评结果随部门决算报送财政和随决算公开情况：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及时公开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64B0A555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年度增加（减少）部门预算项目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个，增长率/压减率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%。同时对政策和项目资金管理作出调整的 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7067FDF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5ED3C40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32</w:t>
      </w:r>
      <w:r>
        <w:rPr>
          <w:rFonts w:hint="eastAsia" w:ascii="仿宋_GB2312" w:hAnsi="仿宋" w:eastAsia="仿宋_GB2312"/>
          <w:sz w:val="32"/>
          <w:szCs w:val="32"/>
        </w:rPr>
        <w:t>个；各项绩效目标内容指向明确、细化量化、合理可行，符合规定的格式要求。</w:t>
      </w:r>
    </w:p>
    <w:p w14:paraId="1B6BE2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2FC9AB6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4" w:eastAsia="仿宋_GB2312"/>
          <w:b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（请部门/单位对编制中涉及的专业名词进行补充解释）</w:t>
      </w:r>
    </w:p>
    <w:p w14:paraId="453FCEBD">
      <w:pPr>
        <w:adjustRightInd w:val="0"/>
        <w:snapToGrid w:val="0"/>
        <w:spacing w:line="640" w:lineRule="exact"/>
        <w:contextualSpacing/>
        <w:jc w:val="both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0C765349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华池县山庄乡山庄小学</w:t>
      </w:r>
    </w:p>
    <w:p w14:paraId="104DAE91">
      <w:pPr>
        <w:adjustRightInd w:val="0"/>
        <w:snapToGrid w:val="0"/>
        <w:spacing w:line="640" w:lineRule="exact"/>
        <w:ind w:right="1120"/>
        <w:contextualSpacing/>
        <w:jc w:val="center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                             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03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6B682E28">
      <w:pPr>
        <w:adjustRightInd w:val="0"/>
        <w:snapToGrid w:val="0"/>
        <w:spacing w:line="640" w:lineRule="exact"/>
        <w:ind w:right="1120"/>
        <w:contextualSpacing/>
        <w:jc w:val="both"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 w14:paraId="360B0F35">
      <w:pPr>
        <w:adjustRightInd w:val="0"/>
        <w:snapToGrid w:val="0"/>
        <w:spacing w:line="640" w:lineRule="exact"/>
        <w:ind w:right="1120"/>
        <w:contextualSpacing/>
        <w:jc w:val="both"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华池县山庄乡山庄小学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02BCADBD">
      <w:pPr>
        <w:adjustRightInd w:val="0"/>
        <w:snapToGrid w:val="0"/>
        <w:spacing w:line="640" w:lineRule="exact"/>
        <w:ind w:left="1278" w:leftChars="456" w:right="1120" w:hanging="320" w:hangingChars="100"/>
        <w:contextualSpacing/>
        <w:jc w:val="both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华池县山庄乡山庄小学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22DB4760">
      <w:pPr>
        <w:tabs>
          <w:tab w:val="left" w:pos="1272"/>
        </w:tabs>
      </w:pPr>
    </w:p>
    <w:sectPr>
      <w:pgSz w:w="11906" w:h="16838"/>
      <w:pgMar w:top="850" w:right="1134" w:bottom="850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E7B1F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115273A"/>
    <w:rsid w:val="013712F7"/>
    <w:rsid w:val="02523BBC"/>
    <w:rsid w:val="02E03DF9"/>
    <w:rsid w:val="056F1060"/>
    <w:rsid w:val="06CC6B21"/>
    <w:rsid w:val="07283BBC"/>
    <w:rsid w:val="079E3E7E"/>
    <w:rsid w:val="08752E31"/>
    <w:rsid w:val="0BC33EB3"/>
    <w:rsid w:val="113741D2"/>
    <w:rsid w:val="139A7BF0"/>
    <w:rsid w:val="13DF3855"/>
    <w:rsid w:val="1674297A"/>
    <w:rsid w:val="18330BA7"/>
    <w:rsid w:val="1CBC1628"/>
    <w:rsid w:val="1D34261E"/>
    <w:rsid w:val="1DE877AA"/>
    <w:rsid w:val="269C3827"/>
    <w:rsid w:val="26A10E3D"/>
    <w:rsid w:val="2725381D"/>
    <w:rsid w:val="27985D9D"/>
    <w:rsid w:val="28CA642A"/>
    <w:rsid w:val="29345F99"/>
    <w:rsid w:val="2B2838DB"/>
    <w:rsid w:val="2DED3C13"/>
    <w:rsid w:val="32B67A1F"/>
    <w:rsid w:val="34936269"/>
    <w:rsid w:val="34C672AB"/>
    <w:rsid w:val="361E6007"/>
    <w:rsid w:val="386A72E1"/>
    <w:rsid w:val="390F1C37"/>
    <w:rsid w:val="3ACD24DE"/>
    <w:rsid w:val="42A05423"/>
    <w:rsid w:val="42CE4911"/>
    <w:rsid w:val="42DF08CC"/>
    <w:rsid w:val="43520A7A"/>
    <w:rsid w:val="43C71A8C"/>
    <w:rsid w:val="47B2664E"/>
    <w:rsid w:val="4AF8077D"/>
    <w:rsid w:val="4B0435C5"/>
    <w:rsid w:val="4C433C79"/>
    <w:rsid w:val="50812FC2"/>
    <w:rsid w:val="5153670D"/>
    <w:rsid w:val="527E074E"/>
    <w:rsid w:val="5358761E"/>
    <w:rsid w:val="539F032F"/>
    <w:rsid w:val="56393C72"/>
    <w:rsid w:val="579503FF"/>
    <w:rsid w:val="57E00F16"/>
    <w:rsid w:val="59550E1F"/>
    <w:rsid w:val="5A706581"/>
    <w:rsid w:val="5C1170D3"/>
    <w:rsid w:val="5D7719D5"/>
    <w:rsid w:val="5F702B80"/>
    <w:rsid w:val="5F8B5C0B"/>
    <w:rsid w:val="60535296"/>
    <w:rsid w:val="62650996"/>
    <w:rsid w:val="63212B0F"/>
    <w:rsid w:val="63BE3F69"/>
    <w:rsid w:val="64395C36"/>
    <w:rsid w:val="647B7A37"/>
    <w:rsid w:val="651A387E"/>
    <w:rsid w:val="65F91B21"/>
    <w:rsid w:val="66A650D9"/>
    <w:rsid w:val="69BD4C13"/>
    <w:rsid w:val="6AFE1987"/>
    <w:rsid w:val="6BF568E6"/>
    <w:rsid w:val="6E105C5A"/>
    <w:rsid w:val="6EFE1F56"/>
    <w:rsid w:val="6FAD572A"/>
    <w:rsid w:val="71DA6B37"/>
    <w:rsid w:val="727F515C"/>
    <w:rsid w:val="72FD2525"/>
    <w:rsid w:val="751A5610"/>
    <w:rsid w:val="7671125F"/>
    <w:rsid w:val="777059BB"/>
    <w:rsid w:val="78106856"/>
    <w:rsid w:val="78C7785D"/>
    <w:rsid w:val="78DD0E2E"/>
    <w:rsid w:val="79FD0732"/>
    <w:rsid w:val="7A252A8D"/>
    <w:rsid w:val="7A3C7DD6"/>
    <w:rsid w:val="7B5D0004"/>
    <w:rsid w:val="7CB63E70"/>
    <w:rsid w:val="7EF7251E"/>
    <w:rsid w:val="7F1C1F84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autoRedefine/>
    <w:qFormat/>
    <w:uiPriority w:val="0"/>
    <w:pPr>
      <w:jc w:val="left"/>
    </w:p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annotation subject"/>
    <w:basedOn w:val="3"/>
    <w:next w:val="3"/>
    <w:link w:val="20"/>
    <w:autoRedefine/>
    <w:qFormat/>
    <w:uiPriority w:val="0"/>
    <w:rPr>
      <w:b/>
      <w:bCs/>
    </w:rPr>
  </w:style>
  <w:style w:type="character" w:styleId="11">
    <w:name w:val="line number"/>
    <w:autoRedefine/>
    <w:qFormat/>
    <w:uiPriority w:val="0"/>
  </w:style>
  <w:style w:type="character" w:styleId="12">
    <w:name w:val="annotation reference"/>
    <w:autoRedefine/>
    <w:qFormat/>
    <w:uiPriority w:val="0"/>
    <w:rPr>
      <w:sz w:val="21"/>
      <w:szCs w:val="21"/>
    </w:rPr>
  </w:style>
  <w:style w:type="character" w:customStyle="1" w:styleId="13">
    <w:name w:val="页脚 Char"/>
    <w:link w:val="5"/>
    <w:qFormat/>
    <w:uiPriority w:val="0"/>
    <w:rPr>
      <w:sz w:val="18"/>
      <w:szCs w:val="18"/>
    </w:rPr>
  </w:style>
  <w:style w:type="character" w:customStyle="1" w:styleId="14">
    <w:name w:val="页眉 Char"/>
    <w:link w:val="6"/>
    <w:autoRedefine/>
    <w:qFormat/>
    <w:uiPriority w:val="0"/>
    <w:rPr>
      <w:sz w:val="18"/>
      <w:szCs w:val="18"/>
    </w:rPr>
  </w:style>
  <w:style w:type="paragraph" w:styleId="15">
    <w:name w:val="List Paragraph"/>
    <w:basedOn w:val="1"/>
    <w:qFormat/>
    <w:uiPriority w:val="0"/>
    <w:pPr>
      <w:ind w:firstLine="420" w:firstLineChars="200"/>
    </w:pPr>
  </w:style>
  <w:style w:type="character" w:customStyle="1" w:styleId="16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7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8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9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20">
    <w:name w:val="批注主题 Char"/>
    <w:link w:val="8"/>
    <w:qFormat/>
    <w:uiPriority w:val="0"/>
    <w:rPr>
      <w:b/>
      <w:bCs/>
      <w:kern w:val="2"/>
      <w:sz w:val="21"/>
      <w:szCs w:val="22"/>
    </w:rPr>
  </w:style>
  <w:style w:type="character" w:customStyle="1" w:styleId="21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2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3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4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11</Pages>
  <Words>3904</Words>
  <Characters>4224</Characters>
  <Lines>68</Lines>
  <Paragraphs>19</Paragraphs>
  <TotalTime>0</TotalTime>
  <ScaleCrop>false</ScaleCrop>
  <LinksUpToDate>false</LinksUpToDate>
  <CharactersWithSpaces>4321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边继东</cp:lastModifiedBy>
  <cp:lastPrinted>2022-02-15T15:45:00Z</cp:lastPrinted>
  <dcterms:modified xsi:type="dcterms:W3CDTF">2026-03-16T00:43:11Z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7D0ABC64C35343ADADCC7013FB1873CF_13</vt:lpwstr>
  </property>
  <property fmtid="{D5CDD505-2E9C-101B-9397-08002B2CF9AE}" pid="4" name="KSOTemplateDocerSaveRecord">
    <vt:lpwstr>eyJoZGlkIjoiMjAzMWQwYmI5Nzk4NWQwMzViNjQ5MDZlYjEyMTAxMTkiLCJ1c2VySWQiOiIzNDQwNDE1MjIifQ==</vt:lpwstr>
  </property>
</Properties>
</file>