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3D173358">
      <w:pPr>
        <w:spacing w:line="660" w:lineRule="exact"/>
        <w:jc w:val="center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华池县自然资源局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731BDEFC">
      <w:pPr>
        <w:spacing w:before="100" w:after="100"/>
        <w:ind w:firstLine="600" w:firstLineChars="200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  <w:lang w:val="en-US" w:eastAsia="zh-CN"/>
        </w:rPr>
        <w:t>根据县委办发（2019）13号中共华池县委办公室 华池县人民政府办公室关于印发《华池县机构改革方案》的通知文件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  <w:t>精神，县国土资源局主要履行土地资源、矿产资源的规划、管理、保护、合理开发利用及测绘行业的管理等工作职能。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7BC1A8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4B34B8FD">
      <w:pPr>
        <w:pStyle w:val="8"/>
        <w:shd w:val="clear" w:color="auto" w:fill="FFFFFF"/>
        <w:spacing w:before="0" w:beforeAutospacing="0" w:after="0" w:afterAutospacing="0" w:line="560" w:lineRule="exact"/>
        <w:ind w:firstLine="600" w:firstLineChars="200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  <w:t>纳入202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  <w:t>年预算编制范围的是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  <w:lang w:val="en-US" w:eastAsia="zh-CN"/>
        </w:rPr>
        <w:t>华池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666666"/>
          <w:spacing w:val="0"/>
          <w:sz w:val="30"/>
          <w:szCs w:val="30"/>
          <w:shd w:val="clear" w:color="auto" w:fill="FFFFFF"/>
        </w:rPr>
        <w:t>县自然资源局部门本级，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包括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个职能股室，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个二级事业单位和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个基层自然资源管理所。局机关内设办公室、财务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室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、政策法规股、耕地保护监督股等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个职能股室，下辖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华池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县不动产登记中心、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华池县草原监理站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个二级事业单位和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</w:rPr>
        <w:t>个基层自然资源管理所。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 w:bidi="ar-SA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026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年度，我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单位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共有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编制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101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名，其中：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行政编制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15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名，事业编制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86</w:t>
      </w:r>
      <w:r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。财政供养总人数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115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人，其中：在职人员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115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auto"/>
          <w:spacing w:val="0"/>
          <w:sz w:val="30"/>
          <w:szCs w:val="30"/>
          <w:shd w:val="clear" w:color="auto" w:fill="FFFFFF"/>
          <w:lang w:val="en-US" w:eastAsia="zh-CN"/>
        </w:rPr>
        <w:t>人。</w:t>
      </w:r>
    </w:p>
    <w:p w14:paraId="316EA88B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（二）参照公务员法管理单位</w:t>
      </w:r>
    </w:p>
    <w:p w14:paraId="038E8F1B">
      <w:pPr>
        <w:spacing w:line="600" w:lineRule="exact"/>
        <w:ind w:firstLine="640" w:firstLineChars="200"/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本单位下属有2个参照公务员管理二级单位，包括华池县退耕还林（草）办公室、</w:t>
      </w:r>
    </w:p>
    <w:p w14:paraId="6F8AA4F7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（三）直属事业单位</w:t>
      </w:r>
    </w:p>
    <w:p w14:paraId="1A18BC42">
      <w:pPr>
        <w:spacing w:line="600" w:lineRule="exact"/>
        <w:ind w:firstLine="640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本单位下属有13个事业单位，包括华池县林业草原综合事务中心、华池县公益林补偿工作管理办公室、华池县林草资源管护中心、华池县不动产登记事务中心、华池县自然资源调查中心、华池县地质环境监测站、华池县土地开发储备中心、华池县土地开发整理中心、华池县柔远自然资源所、华池县悦乐自然资源所、华池县五蛟自然资源所、华池县元城自然资源所、华池县山庄自然资源所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3188.55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3188.55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3188.55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    万元，占XX.XX%；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    万元，占XX.XX%；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    万元，占XX.XX%。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3188.55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2"/>
          <w:rFonts w:hint="default" w:hAnsi="仿宋"/>
        </w:rPr>
        <w:t>其中：基本支出</w:t>
      </w:r>
      <w:r>
        <w:rPr>
          <w:rStyle w:val="23"/>
          <w:rFonts w:hint="eastAsia" w:ascii="仿宋_GB2312" w:hAnsi="仿宋" w:eastAsia="仿宋_GB2312"/>
          <w:lang w:val="en-US" w:eastAsia="zh-CN"/>
        </w:rPr>
        <w:t>1939.98</w:t>
      </w:r>
      <w:r>
        <w:rPr>
          <w:rStyle w:val="22"/>
          <w:rFonts w:hint="default" w:hAnsi="仿宋"/>
        </w:rPr>
        <w:t>万元， 占</w:t>
      </w:r>
      <w:r>
        <w:rPr>
          <w:rStyle w:val="22"/>
          <w:rFonts w:hint="eastAsia" w:hAnsi="仿宋" w:eastAsia="仿宋_GB2312"/>
          <w:lang w:val="en-US" w:eastAsia="zh-CN"/>
        </w:rPr>
        <w:t>60.84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； 项目支出</w:t>
      </w:r>
      <w:r>
        <w:rPr>
          <w:rStyle w:val="22"/>
          <w:rFonts w:hint="eastAsia" w:hAnsi="仿宋" w:eastAsia="仿宋_GB2312"/>
          <w:lang w:val="en-US" w:eastAsia="zh-CN"/>
        </w:rPr>
        <w:t>1248.57</w:t>
      </w:r>
      <w:r>
        <w:rPr>
          <w:rStyle w:val="22"/>
          <w:rFonts w:hint="default" w:hAnsi="仿宋"/>
        </w:rPr>
        <w:t>万元，占</w:t>
      </w:r>
      <w:r>
        <w:rPr>
          <w:rStyle w:val="23"/>
          <w:rFonts w:hint="eastAsia" w:ascii="仿宋_GB2312" w:hAnsi="仿宋" w:eastAsia="仿宋_GB2312"/>
          <w:lang w:val="en-US" w:eastAsia="zh-CN"/>
        </w:rPr>
        <w:t>39.16</w:t>
      </w:r>
      <w:r>
        <w:rPr>
          <w:rStyle w:val="23"/>
          <w:rFonts w:hint="eastAsia" w:ascii="仿宋_GB2312" w:hAnsi="仿宋" w:eastAsia="仿宋_GB2312"/>
        </w:rPr>
        <w:t>%</w:t>
      </w:r>
      <w:r>
        <w:rPr>
          <w:rStyle w:val="22"/>
          <w:rFonts w:hint="default" w:hAnsi="仿宋"/>
        </w:rPr>
        <w:t>； 上年结转</w:t>
      </w:r>
      <w:r>
        <w:rPr>
          <w:rStyle w:val="23"/>
          <w:rFonts w:hint="eastAsia" w:ascii="仿宋_GB2312" w:hAnsi="仿宋" w:eastAsia="仿宋_GB2312"/>
        </w:rPr>
        <w:t xml:space="preserve">    </w:t>
      </w:r>
      <w:r>
        <w:rPr>
          <w:rStyle w:val="22"/>
          <w:rFonts w:hint="default" w:hAnsi="仿宋"/>
        </w:rPr>
        <w:t>万元， 占</w:t>
      </w:r>
      <w:r>
        <w:rPr>
          <w:rStyle w:val="23"/>
          <w:rFonts w:hint="eastAsia" w:ascii="仿宋_GB2312" w:hAnsi="仿宋" w:eastAsia="仿宋_GB2312"/>
        </w:rPr>
        <w:t xml:space="preserve">   %</w:t>
      </w:r>
      <w:r>
        <w:rPr>
          <w:rStyle w:val="22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3"/>
          <w:rFonts w:hint="eastAsia" w:ascii="仿宋_GB2312" w:hAnsi="仿宋" w:eastAsia="仿宋_GB2312"/>
          <w:lang w:eastAsia="zh-CN"/>
        </w:rPr>
        <w:t>202</w:t>
      </w:r>
      <w:r>
        <w:rPr>
          <w:rStyle w:val="23"/>
          <w:rFonts w:hint="default" w:ascii="仿宋_GB2312" w:hAnsi="仿宋" w:eastAsia="仿宋_GB2312"/>
          <w:lang w:val="en-US" w:eastAsia="zh-CN"/>
        </w:rPr>
        <w:t>6</w:t>
      </w:r>
      <w:r>
        <w:rPr>
          <w:rStyle w:val="22"/>
          <w:rFonts w:hint="default" w:hAnsi="仿宋"/>
        </w:rPr>
        <w:t>年一般公共预算当年支出</w:t>
      </w:r>
      <w:r>
        <w:rPr>
          <w:rStyle w:val="23"/>
          <w:rFonts w:hint="eastAsia" w:ascii="仿宋_GB2312" w:hAnsi="仿宋" w:eastAsia="仿宋_GB2312"/>
          <w:lang w:val="en-US" w:eastAsia="zh-CN"/>
        </w:rPr>
        <w:t>3188.55</w:t>
      </w:r>
      <w:r>
        <w:rPr>
          <w:rStyle w:val="22"/>
          <w:rFonts w:hint="default" w:hAnsi="仿宋"/>
        </w:rPr>
        <w:t>万元，包括：一般公共服务支出</w:t>
      </w:r>
      <w:r>
        <w:rPr>
          <w:rStyle w:val="23"/>
          <w:rFonts w:hint="eastAsia" w:ascii="仿宋_GB2312" w:hAnsi="仿宋" w:eastAsia="仿宋_GB2312"/>
        </w:rPr>
        <w:t xml:space="preserve">   </w:t>
      </w:r>
      <w:r>
        <w:rPr>
          <w:rStyle w:val="22"/>
          <w:rFonts w:hint="default" w:hAnsi="仿宋"/>
        </w:rPr>
        <w:t>万元、公共安全支出</w:t>
      </w:r>
      <w:r>
        <w:rPr>
          <w:rStyle w:val="23"/>
          <w:rFonts w:hint="eastAsia" w:ascii="仿宋_GB2312" w:hAnsi="仿宋" w:eastAsia="仿宋_GB2312"/>
        </w:rPr>
        <w:t xml:space="preserve">  </w:t>
      </w:r>
      <w:r>
        <w:rPr>
          <w:rStyle w:val="22"/>
          <w:rFonts w:hint="default" w:hAnsi="仿宋"/>
        </w:rPr>
        <w:t>万元、教育支出</w:t>
      </w:r>
      <w:r>
        <w:rPr>
          <w:rStyle w:val="23"/>
          <w:rFonts w:hint="eastAsia" w:ascii="仿宋_GB2312" w:hAnsi="仿宋" w:eastAsia="仿宋_GB2312"/>
        </w:rPr>
        <w:t xml:space="preserve">   </w:t>
      </w:r>
      <w:r>
        <w:rPr>
          <w:rStyle w:val="22"/>
          <w:rFonts w:hint="default" w:hAnsi="仿宋"/>
        </w:rPr>
        <w:t>万元、科学技术支出</w:t>
      </w:r>
      <w:r>
        <w:rPr>
          <w:rStyle w:val="23"/>
          <w:rFonts w:hint="eastAsia" w:ascii="仿宋_GB2312" w:hAnsi="仿宋" w:eastAsia="仿宋_GB2312"/>
        </w:rPr>
        <w:t xml:space="preserve">   </w:t>
      </w:r>
      <w:r>
        <w:rPr>
          <w:rStyle w:val="22"/>
          <w:rFonts w:hint="default" w:hAnsi="仿宋"/>
        </w:rPr>
        <w:t>万元、社会保障和就业支出</w:t>
      </w:r>
      <w:r>
        <w:rPr>
          <w:rStyle w:val="23"/>
          <w:rFonts w:hint="eastAsia" w:ascii="仿宋_GB2312" w:hAnsi="仿宋" w:eastAsia="仿宋_GB2312"/>
          <w:lang w:val="en-US" w:eastAsia="zh-CN"/>
        </w:rPr>
        <w:t>282.75</w:t>
      </w:r>
      <w:r>
        <w:rPr>
          <w:rStyle w:val="22"/>
          <w:rFonts w:hint="default" w:hAnsi="仿宋"/>
        </w:rPr>
        <w:t>万元、卫生健康支出</w:t>
      </w:r>
      <w:r>
        <w:rPr>
          <w:rStyle w:val="22"/>
          <w:rFonts w:hint="eastAsia" w:hAnsi="仿宋" w:eastAsia="仿宋_GB2312"/>
          <w:lang w:val="en-US" w:eastAsia="zh-CN"/>
        </w:rPr>
        <w:t>97.45万元、农林水支出496.49万元、自然资源海洋气象等支出2164.5万元、住房保障支出135.29万元、灾害防治及应急管理支出2.08万元、</w:t>
      </w:r>
      <w:r>
        <w:rPr>
          <w:rStyle w:val="22"/>
          <w:rFonts w:hint="default" w:hAnsi="仿宋"/>
        </w:rPr>
        <w:t>其他支出</w:t>
      </w:r>
      <w:r>
        <w:rPr>
          <w:rStyle w:val="23"/>
          <w:rFonts w:hint="eastAsia" w:ascii="仿宋_GB2312" w:hAnsi="仿宋" w:eastAsia="仿宋_GB2312"/>
        </w:rPr>
        <w:t xml:space="preserve">   </w:t>
      </w:r>
      <w:r>
        <w:rPr>
          <w:rStyle w:val="22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1939.98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2.26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人员经费增加，职工社会保险增加。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1823.61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116.37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3597376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1248.57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648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52.74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本年度项目安排增加。</w:t>
      </w:r>
    </w:p>
    <w:p w14:paraId="3629A6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    个，主要主要是项目1、项目2、项目3……。</w:t>
      </w:r>
    </w:p>
    <w:p w14:paraId="6F5722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个，主要是主要是森林保险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13.56万元</w:t>
      </w:r>
      <w:r>
        <w:rPr>
          <w:rFonts w:hint="eastAsia" w:ascii="仿宋_GB2312" w:hAnsi="仿宋" w:eastAsia="仿宋_GB2312"/>
          <w:sz w:val="32"/>
          <w:szCs w:val="32"/>
        </w:rPr>
        <w:t>、生态护林员保险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19.93万元</w:t>
      </w:r>
      <w:r>
        <w:rPr>
          <w:rFonts w:hint="eastAsia" w:ascii="仿宋_GB2312" w:hAnsi="仿宋" w:eastAsia="仿宋_GB2312"/>
          <w:sz w:val="32"/>
          <w:szCs w:val="32"/>
        </w:rPr>
        <w:t>、生态及地质灾害避险搬迁项目贷款贴息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DD7CC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个，主要是地质灾害隐患点监测经费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2.08万元</w:t>
      </w:r>
      <w:r>
        <w:rPr>
          <w:rFonts w:hint="eastAsia" w:ascii="仿宋_GB2312" w:hAnsi="仿宋" w:eastAsia="仿宋_GB2312"/>
          <w:sz w:val="32"/>
          <w:szCs w:val="32"/>
        </w:rPr>
        <w:t>、自然资源统一确权登记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50万元</w:t>
      </w:r>
      <w:r>
        <w:rPr>
          <w:rFonts w:hint="eastAsia" w:ascii="仿宋_GB2312" w:hAnsi="仿宋" w:eastAsia="仿宋_GB2312"/>
          <w:sz w:val="32"/>
          <w:szCs w:val="32"/>
        </w:rPr>
        <w:t>、义务植树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万元、华池县国土空间等相关规划编制200万元、华池县自然资源局2026年自然资源事务，测绘、评估、林草监测等业务费用300万元、亚行贷款丝绸之路沿线地区生态治理与保护项目华池子项目150万元、2025年甘肃省庆阳市“三北”工程林草湿荒一体化保护修复项目华池县中幼林抚育、退化林修复100万元，不动产登记中心日常办公及不动产权证书、不动产登记证明订购费用10万元，华池县乡镇街道国有建设用地、集体建设用地及房屋所有权数据整合项目10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37D018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292.75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27.84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职工保险基数增加。</w:t>
      </w:r>
    </w:p>
    <w:p w14:paraId="704354C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97.45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5.48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职工保险基数增加。</w:t>
      </w:r>
    </w:p>
    <w:p w14:paraId="7AF1C4A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3.自然资源海洋气象等支出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2164.5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210.57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预算项目增加。</w:t>
      </w:r>
    </w:p>
    <w:p w14:paraId="0FE00CE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4、住房保障支出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135.29</w:t>
      </w:r>
      <w:r>
        <w:rPr>
          <w:rFonts w:hint="eastAsia" w:ascii="仿宋_GB2312" w:eastAsia="仿宋_GB2312"/>
          <w:color w:val="000000"/>
          <w:sz w:val="32"/>
          <w:szCs w:val="32"/>
        </w:rPr>
        <w:t>万元，比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5.86</w:t>
      </w:r>
      <w:r>
        <w:rPr>
          <w:rFonts w:hint="eastAsia" w:ascii="仿宋_GB2312" w:eastAsia="仿宋_GB2312"/>
          <w:color w:val="000000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人员工资增加。</w:t>
      </w:r>
    </w:p>
    <w:p w14:paraId="156CBF95">
      <w:pPr>
        <w:pStyle w:val="2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5.农林水支出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496.49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448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预算项目增加。</w:t>
      </w:r>
    </w:p>
    <w:p w14:paraId="205AF879">
      <w:pPr>
        <w:pStyle w:val="2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6.灾害防治及应急管理支出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2.08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预算项目无变化。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1A1EA64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 万元，增长（下降）   %，增长（下降）的主要原因是……。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0.5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sz w:val="32"/>
          <w:szCs w:val="32"/>
        </w:rPr>
        <w:t xml:space="preserve"> 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公务接待减少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CC6752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    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年预算增加（减少）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%，增长（下降）的主要原因是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年预算增加（减少）   万元，增长（下降）   %，增长（下降）的主要原因是……。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1A3C893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 万元，增长（下降）   %，增长（下降）的主要原因是……。</w:t>
      </w:r>
    </w:p>
    <w:p w14:paraId="0C1AA7BE">
      <w:pPr>
        <w:widowControl/>
        <w:spacing w:line="64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89.92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17.78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19.77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公用经费支出减少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3FD1C8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2130.78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2130.78</w:t>
      </w:r>
      <w:r>
        <w:rPr>
          <w:rFonts w:hint="eastAsia" w:ascii="仿宋_GB2312" w:hAnsi="仿宋" w:eastAsia="仿宋_GB2312"/>
          <w:sz w:val="32"/>
          <w:szCs w:val="32"/>
        </w:rPr>
        <w:t>万元，政府采购工程预算    万元，政府采购服务预算    万元。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年，部门（单位）面向中小企业预留政府采购项目预算金额  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2130.78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2534.49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11284.96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1576.99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64.04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     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     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77905BD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年使用政府性基金预算拨款安排支出  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  万元，增长（下降）    %。</w:t>
      </w:r>
    </w:p>
    <w:p w14:paraId="1924DC8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1．交通运输支出（ 类） 民航发展基金支出（ 款） 民航安全（ 项）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 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   万元，主要原因是……。</w:t>
      </w:r>
    </w:p>
    <w:p w14:paraId="5B6FFB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</w:rPr>
        <w:t>……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说明:如果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年未安排政府性基金预算支出，请写成“未安排预算，政府性基金预算支出情况表为空表。”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7AE6C95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年本部门/单位涉及非税收入，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年计划征收    万元。其中：中央（省级）批准设立   个，主要是   费、  费……，分别计划征收   万元、  万元……。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说明：如果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年无非税收入，请写成“本部门/单位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。”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1CFB37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部门/单位预算安排的经济社会发展类项目公开项目文本信息，包括项目名称、项目概况、立项依据、实施主体、实施周期、实施计划、年度预算安排、预期总体目标等内容。没有经济社会发展类项目支出的部门/单位可公开其他类项目。</w:t>
      </w:r>
    </w:p>
    <w:p w14:paraId="6B23741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</w:p>
    <w:p w14:paraId="3208073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</w:t>
      </w:r>
    </w:p>
    <w:p w14:paraId="4A3CDD7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</w:p>
    <w:p w14:paraId="4926F7A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</w:p>
    <w:p w14:paraId="4AB6895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</w:p>
    <w:p w14:paraId="75155F7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</w:p>
    <w:p w14:paraId="7B870A6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</w:p>
    <w:p w14:paraId="472FB6D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7、预期总体目标：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说明：如果本部门没有一般公共预算的项目支出预算，则写“本部门/单位年初预算未安排项目支出，无重点项目说明。”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1B8A02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年，部门管理转移支付 </w:t>
      </w:r>
      <w:r>
        <w:rPr>
          <w:rFonts w:ascii="仿宋_GB2312" w:hAnsi="仿宋" w:eastAsia="仿宋_GB2312"/>
          <w:sz w:val="32"/>
          <w:szCs w:val="3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 万元，增长（下降）   %，增长（下降）的主要原因是……。</w:t>
      </w:r>
    </w:p>
    <w:p w14:paraId="5F0DA0E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（有转移支付时使用）</w:t>
      </w:r>
    </w:p>
    <w:p w14:paraId="3E9B6DF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1.一般性转移支付   万元，具体项目有：</w:t>
      </w:r>
    </w:p>
    <w:p w14:paraId="4ADBF1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(1)项目1    万元；</w:t>
      </w:r>
    </w:p>
    <w:p w14:paraId="79629C8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(2)项目2    万元；</w:t>
      </w:r>
    </w:p>
    <w:p w14:paraId="4F1B5AE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(3)项目3    万元</w:t>
      </w:r>
    </w:p>
    <w:p w14:paraId="2F8BEB9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……</w:t>
      </w:r>
    </w:p>
    <w:p w14:paraId="4295EA1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2.专项转移支付    万元，具体项目有：</w:t>
      </w:r>
    </w:p>
    <w:p w14:paraId="3DB02A8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(1)项目1    万元；</w:t>
      </w:r>
    </w:p>
    <w:p w14:paraId="53DAC3D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(2)项目2    万元；</w:t>
      </w:r>
    </w:p>
    <w:p w14:paraId="0650AC6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(3)项目3    万元</w:t>
      </w:r>
    </w:p>
    <w:p w14:paraId="4EBFD3F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……</w:t>
      </w:r>
    </w:p>
    <w:p w14:paraId="5F8FC55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3.政府性基金转移支付    万元，具体项目有：</w:t>
      </w:r>
    </w:p>
    <w:p w14:paraId="7CC2013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(1)项目1    万元；</w:t>
      </w:r>
    </w:p>
    <w:p w14:paraId="16EE098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(2)项目2    万元；</w:t>
      </w:r>
    </w:p>
    <w:p w14:paraId="38AECBE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(3)项目3    万元</w:t>
      </w:r>
    </w:p>
    <w:p w14:paraId="7714681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……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备注: 如果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年无部门/单位管理转移支付，请写成“未安排预算，部门/单位管理转移支付表为空表。”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5FC3794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年使用国有资本经营预算拨款安排支出  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  万元，增长（下降）  %。</w:t>
      </w:r>
    </w:p>
    <w:p w14:paraId="2B31899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1.国有资本经营预算支出（ 类）解决历史遗留问题及改革成本支出（ 款）国有企业改革成本支出（项）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年预算数为  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  万元，主要原因是……。</w:t>
      </w:r>
    </w:p>
    <w:p w14:paraId="2B41ADE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</w:rPr>
        <w:t>……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备注：1.分科目到项级进行说明，请参考一般公共预算和政府性基金的要求。2.如果 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楷体" w:eastAsia="仿宋_GB2312"/>
          <w:sz w:val="32"/>
          <w:szCs w:val="32"/>
        </w:rPr>
        <w:t>年未安排国有资本经营预算支出，请写成“未安排预算，国有资本经营预算支出情况表为空表。”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   个，公开率为    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月绩效运行监控项目   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   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   个，完成率为    %。“双监控”发现存在的问题和主要原因是：……(需自行完善编辑)。开展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hAnsi="仿宋" w:eastAsia="仿宋_GB2312"/>
          <w:sz w:val="32"/>
          <w:szCs w:val="32"/>
        </w:rPr>
        <w:t>月绩效运行监控项目   个，占本部门（单位）项目的    %。截至10月底，如期完成预算执行和绩效目标指标值的项目   个，完成率为    %。“双监控”发现存在的问题和主要原因是：……。绩效运行监控在部门内部通报整改情况：……(需自行完善编辑)。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   个，其中，部门（单位）整体支出   个，项目支出   个，转移支付项目   个，绩效自评覆盖率为    %。绩效自评结果随部门决算报送财政和随决算公开情况：┄┄(需自行完善编辑)。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  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   个，增长率/压减率   %。同时对政策和项目资金管理作出调整的   个。</w:t>
      </w:r>
      <w:bookmarkStart w:id="0" w:name="_GoBack"/>
      <w:bookmarkEnd w:id="0"/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年，纳入部门/单位预算绩效目标管理的项目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   个、三级指标   个；项目支出绩效目标围绕成本指标、产出指标、效益指标、满意度指标四个维度，设置二级指标   个、三级指标   个。各项绩效目标内容指向明确、细化量化、合理可行，符合规定的格式要求。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CA7FF0F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49B31ED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……</w:t>
      </w:r>
    </w:p>
    <w:p w14:paraId="460CD359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2FC9AB6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4" w:eastAsia="仿宋_GB2312"/>
          <w:b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（请部门/单位对编制中涉及的专业名词进行补充解释）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453FCEB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7BF108C1">
      <w:pPr>
        <w:adjustRightInd w:val="0"/>
        <w:snapToGrid w:val="0"/>
        <w:spacing w:line="640" w:lineRule="exact"/>
        <w:ind w:right="96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××部门/单位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</w:rPr>
        <w:t>年  月  日</w:t>
      </w:r>
    </w:p>
    <w:p w14:paraId="104DAE91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E90257E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2.××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名称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22DB4760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6"/>
      <w:jc w:val="center"/>
    </w:pPr>
  </w:p>
  <w:p w14:paraId="18AFAB9B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647ECA"/>
    <w:rsid w:val="02E03DF9"/>
    <w:rsid w:val="04732647"/>
    <w:rsid w:val="06FC0676"/>
    <w:rsid w:val="0D580A46"/>
    <w:rsid w:val="113741D2"/>
    <w:rsid w:val="18330BA7"/>
    <w:rsid w:val="1BB13D28"/>
    <w:rsid w:val="1D34261E"/>
    <w:rsid w:val="329B2BE5"/>
    <w:rsid w:val="36DF7544"/>
    <w:rsid w:val="376C1F3C"/>
    <w:rsid w:val="381D6186"/>
    <w:rsid w:val="42A05423"/>
    <w:rsid w:val="45EA5721"/>
    <w:rsid w:val="4B46773A"/>
    <w:rsid w:val="4C433C79"/>
    <w:rsid w:val="527E074E"/>
    <w:rsid w:val="56393C72"/>
    <w:rsid w:val="574978B0"/>
    <w:rsid w:val="579503FF"/>
    <w:rsid w:val="59B10DAF"/>
    <w:rsid w:val="5D9F2949"/>
    <w:rsid w:val="60535296"/>
    <w:rsid w:val="67786A75"/>
    <w:rsid w:val="72FD2525"/>
    <w:rsid w:val="74033B6B"/>
    <w:rsid w:val="76E71522"/>
    <w:rsid w:val="78106856"/>
    <w:rsid w:val="7FBF303C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99"/>
    <w:pPr>
      <w:spacing w:after="120" w:line="480" w:lineRule="auto"/>
      <w:ind w:left="420" w:leftChars="200"/>
    </w:pPr>
    <w:rPr>
      <w:szCs w:val="24"/>
    </w:rPr>
  </w:style>
  <w:style w:type="paragraph" w:styleId="4">
    <w:name w:val="annotation text"/>
    <w:basedOn w:val="1"/>
    <w:link w:val="20"/>
    <w:autoRedefine/>
    <w:qFormat/>
    <w:uiPriority w:val="0"/>
    <w:pPr>
      <w:jc w:val="left"/>
    </w:pPr>
  </w:style>
  <w:style w:type="paragraph" w:styleId="5">
    <w:name w:val="Balloon Text"/>
    <w:basedOn w:val="1"/>
    <w:link w:val="17"/>
    <w:qFormat/>
    <w:uiPriority w:val="0"/>
    <w:rPr>
      <w:sz w:val="18"/>
      <w:szCs w:val="18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annotation subject"/>
    <w:basedOn w:val="4"/>
    <w:next w:val="4"/>
    <w:link w:val="21"/>
    <w:autoRedefine/>
    <w:qFormat/>
    <w:uiPriority w:val="0"/>
    <w:rPr>
      <w:b/>
      <w:bCs/>
    </w:rPr>
  </w:style>
  <w:style w:type="character" w:styleId="12">
    <w:name w:val="line number"/>
    <w:autoRedefine/>
    <w:qFormat/>
    <w:uiPriority w:val="0"/>
  </w:style>
  <w:style w:type="character" w:styleId="13">
    <w:name w:val="annotation reference"/>
    <w:autoRedefine/>
    <w:qFormat/>
    <w:uiPriority w:val="0"/>
    <w:rPr>
      <w:sz w:val="21"/>
      <w:szCs w:val="21"/>
    </w:rPr>
  </w:style>
  <w:style w:type="character" w:customStyle="1" w:styleId="14">
    <w:name w:val="页脚 Char"/>
    <w:link w:val="6"/>
    <w:qFormat/>
    <w:uiPriority w:val="0"/>
    <w:rPr>
      <w:sz w:val="18"/>
      <w:szCs w:val="18"/>
    </w:rPr>
  </w:style>
  <w:style w:type="character" w:customStyle="1" w:styleId="15">
    <w:name w:val="页眉 Char"/>
    <w:link w:val="7"/>
    <w:autoRedefine/>
    <w:qFormat/>
    <w:uiPriority w:val="0"/>
    <w:rPr>
      <w:sz w:val="18"/>
      <w:szCs w:val="18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5"/>
    <w:qFormat/>
    <w:uiPriority w:val="0"/>
    <w:rPr>
      <w:kern w:val="2"/>
      <w:sz w:val="18"/>
      <w:szCs w:val="18"/>
    </w:rPr>
  </w:style>
  <w:style w:type="character" w:customStyle="1" w:styleId="18">
    <w:name w:val="标题 1 Char"/>
    <w:link w:val="3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9">
    <w:name w:val="TOC Heading"/>
    <w:basedOn w:val="3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20">
    <w:name w:val="批注文字 Char"/>
    <w:link w:val="4"/>
    <w:qFormat/>
    <w:uiPriority w:val="0"/>
    <w:rPr>
      <w:kern w:val="2"/>
      <w:sz w:val="21"/>
      <w:szCs w:val="22"/>
    </w:rPr>
  </w:style>
  <w:style w:type="character" w:customStyle="1" w:styleId="21">
    <w:name w:val="批注主题 Char"/>
    <w:link w:val="9"/>
    <w:qFormat/>
    <w:uiPriority w:val="0"/>
    <w:rPr>
      <w:b/>
      <w:bCs/>
      <w:kern w:val="2"/>
      <w:sz w:val="21"/>
      <w:szCs w:val="22"/>
    </w:rPr>
  </w:style>
  <w:style w:type="character" w:customStyle="1" w:styleId="22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16</Pages>
  <Words>5693</Words>
  <Characters>6212</Characters>
  <Lines>68</Lines>
  <Paragraphs>19</Paragraphs>
  <TotalTime>25</TotalTime>
  <ScaleCrop>false</ScaleCrop>
  <LinksUpToDate>false</LinksUpToDate>
  <CharactersWithSpaces>6540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田晓霞</cp:lastModifiedBy>
  <cp:lastPrinted>2022-02-15T15:45:00Z</cp:lastPrinted>
  <dcterms:modified xsi:type="dcterms:W3CDTF">2026-03-10T08:51:02Z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eyJoZGlkIjoiMGE4NjY5OTQ1MDk5ZDc3ZWFkN2JkMTQ2NDZiY2ZkZWYiLCJ1c2VySWQiOiI3MDQ1OTg0NjMifQ==</vt:lpwstr>
  </property>
</Properties>
</file>