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keepNext w:val="0"/>
        <w:keepLines w:val="0"/>
        <w:pageBreakBefore w:val="0"/>
        <w:kinsoku/>
        <w:wordWrap/>
        <w:overflowPunct/>
        <w:topLinePunct w:val="0"/>
        <w:autoSpaceDE/>
        <w:autoSpaceDN/>
        <w:bidi w:val="0"/>
        <w:spacing w:line="560" w:lineRule="exact"/>
        <w:jc w:val="center"/>
        <w:textAlignment w:val="auto"/>
        <w:rPr>
          <w:rFonts w:ascii="宋体" w:hAnsi="宋体" w:cs="宋体"/>
          <w:b/>
          <w:bCs/>
          <w:kern w:val="0"/>
          <w:sz w:val="44"/>
          <w:szCs w:val="44"/>
        </w:rPr>
      </w:pPr>
    </w:p>
    <w:p w14:paraId="0065D364">
      <w:pPr>
        <w:keepNext w:val="0"/>
        <w:keepLines w:val="0"/>
        <w:pageBreakBefore w:val="0"/>
        <w:kinsoku/>
        <w:wordWrap/>
        <w:overflowPunct/>
        <w:topLinePunct w:val="0"/>
        <w:autoSpaceDE/>
        <w:autoSpaceDN/>
        <w:bidi w:val="0"/>
        <w:spacing w:line="560" w:lineRule="exact"/>
        <w:jc w:val="center"/>
        <w:textAlignment w:val="auto"/>
        <w:rPr>
          <w:rFonts w:ascii="宋体" w:hAnsi="宋体" w:cs="宋体"/>
          <w:b/>
          <w:bCs/>
          <w:kern w:val="0"/>
          <w:sz w:val="44"/>
          <w:szCs w:val="44"/>
        </w:rPr>
      </w:pPr>
    </w:p>
    <w:p w14:paraId="5AF7918B">
      <w:pPr>
        <w:keepNext w:val="0"/>
        <w:keepLines w:val="0"/>
        <w:pageBreakBefore w:val="0"/>
        <w:kinsoku/>
        <w:wordWrap/>
        <w:overflowPunct/>
        <w:topLinePunct w:val="0"/>
        <w:autoSpaceDE/>
        <w:autoSpaceDN/>
        <w:bidi w:val="0"/>
        <w:spacing w:line="560" w:lineRule="exact"/>
        <w:jc w:val="center"/>
        <w:textAlignment w:val="auto"/>
        <w:rPr>
          <w:rFonts w:ascii="宋体" w:hAnsi="宋体" w:cs="宋体"/>
          <w:b/>
          <w:bCs/>
          <w:kern w:val="0"/>
          <w:sz w:val="44"/>
          <w:szCs w:val="44"/>
        </w:rPr>
      </w:pPr>
    </w:p>
    <w:p w14:paraId="742D83C0">
      <w:pPr>
        <w:keepNext w:val="0"/>
        <w:keepLines w:val="0"/>
        <w:pageBreakBefore w:val="0"/>
        <w:kinsoku/>
        <w:wordWrap/>
        <w:overflowPunct/>
        <w:topLinePunct w:val="0"/>
        <w:autoSpaceDE/>
        <w:autoSpaceDN/>
        <w:bidi w:val="0"/>
        <w:spacing w:line="560" w:lineRule="exact"/>
        <w:jc w:val="center"/>
        <w:textAlignment w:val="auto"/>
        <w:rPr>
          <w:rFonts w:hint="eastAsia" w:ascii="宋体" w:hAnsi="宋体" w:cs="宋体"/>
          <w:b/>
          <w:bCs/>
          <w:kern w:val="0"/>
          <w:sz w:val="44"/>
          <w:szCs w:val="44"/>
          <w:lang w:val="en-US" w:eastAsia="zh-CN"/>
        </w:rPr>
      </w:pPr>
      <w:r>
        <w:rPr>
          <w:rFonts w:hint="eastAsia" w:ascii="宋体" w:hAnsi="宋体" w:cs="宋体"/>
          <w:b/>
          <w:bCs/>
          <w:kern w:val="0"/>
          <w:sz w:val="44"/>
          <w:szCs w:val="44"/>
          <w:lang w:val="en-US" w:eastAsia="zh-CN"/>
        </w:rPr>
        <w:t>华池县统计局</w:t>
      </w:r>
    </w:p>
    <w:p w14:paraId="67ACC143">
      <w:pPr>
        <w:keepNext w:val="0"/>
        <w:keepLines w:val="0"/>
        <w:pageBreakBefore w:val="0"/>
        <w:kinsoku/>
        <w:wordWrap/>
        <w:overflowPunct/>
        <w:topLinePunct w:val="0"/>
        <w:autoSpaceDE/>
        <w:autoSpaceDN/>
        <w:bidi w:val="0"/>
        <w:spacing w:line="560" w:lineRule="exact"/>
        <w:jc w:val="center"/>
        <w:textAlignment w:val="auto"/>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年</w:t>
      </w:r>
      <w:r>
        <w:rPr>
          <w:rFonts w:hint="eastAsia" w:ascii="宋体" w:hAnsi="宋体" w:cs="宋体"/>
          <w:b/>
          <w:bCs/>
          <w:kern w:val="0"/>
          <w:sz w:val="44"/>
          <w:szCs w:val="44"/>
          <w:lang w:eastAsia="zh-CN"/>
        </w:rPr>
        <w:t>单位</w:t>
      </w:r>
      <w:r>
        <w:rPr>
          <w:rFonts w:hint="eastAsia" w:ascii="宋体" w:hAnsi="宋体" w:cs="宋体"/>
          <w:b/>
          <w:bCs/>
          <w:kern w:val="0"/>
          <w:sz w:val="44"/>
          <w:szCs w:val="44"/>
        </w:rPr>
        <w:t xml:space="preserve">预算公开情况说明 </w:t>
      </w:r>
    </w:p>
    <w:p w14:paraId="23298934">
      <w:pPr>
        <w:keepNext w:val="0"/>
        <w:keepLines w:val="0"/>
        <w:pageBreakBefore w:val="0"/>
        <w:kinsoku/>
        <w:wordWrap/>
        <w:overflowPunct/>
        <w:topLinePunct w:val="0"/>
        <w:autoSpaceDE/>
        <w:autoSpaceDN/>
        <w:bidi w:val="0"/>
        <w:spacing w:line="560" w:lineRule="exact"/>
        <w:jc w:val="center"/>
        <w:textAlignment w:val="auto"/>
        <w:rPr>
          <w:rFonts w:ascii="宋体" w:hAnsi="宋体" w:cs="宋体"/>
          <w:b/>
          <w:bCs/>
          <w:kern w:val="0"/>
          <w:sz w:val="44"/>
          <w:szCs w:val="44"/>
        </w:rPr>
      </w:pPr>
      <w:r>
        <w:rPr>
          <w:rFonts w:hint="eastAsia" w:ascii="宋体" w:hAnsi="宋体" w:cs="宋体"/>
          <w:b/>
          <w:bCs/>
          <w:kern w:val="0"/>
          <w:sz w:val="44"/>
          <w:szCs w:val="44"/>
        </w:rPr>
        <w:t>目  录</w:t>
      </w:r>
    </w:p>
    <w:p w14:paraId="404A4908">
      <w:pPr>
        <w:keepNext w:val="0"/>
        <w:keepLines w:val="0"/>
        <w:pageBreakBefore w:val="0"/>
        <w:kinsoku/>
        <w:wordWrap/>
        <w:overflowPunct/>
        <w:topLinePunct w:val="0"/>
        <w:autoSpaceDE/>
        <w:autoSpaceDN/>
        <w:bidi w:val="0"/>
        <w:spacing w:line="560" w:lineRule="exact"/>
        <w:jc w:val="center"/>
        <w:textAlignment w:val="auto"/>
        <w:rPr>
          <w:rFonts w:ascii="宋体" w:hAnsi="宋体" w:cs="宋体"/>
          <w:b/>
          <w:bCs/>
          <w:kern w:val="0"/>
          <w:sz w:val="44"/>
          <w:szCs w:val="44"/>
        </w:rPr>
      </w:pPr>
    </w:p>
    <w:p w14:paraId="581C7286">
      <w:pPr>
        <w:keepNext w:val="0"/>
        <w:keepLines w:val="0"/>
        <w:pageBreakBefore w:val="0"/>
        <w:kinsoku/>
        <w:wordWrap/>
        <w:overflowPunct/>
        <w:topLinePunct w:val="0"/>
        <w:autoSpaceDE/>
        <w:autoSpaceDN/>
        <w:bidi w:val="0"/>
        <w:spacing w:line="560" w:lineRule="exact"/>
        <w:jc w:val="center"/>
        <w:textAlignment w:val="auto"/>
        <w:rPr>
          <w:rFonts w:ascii="黑体" w:eastAsia="黑体"/>
          <w:color w:val="000000"/>
          <w:sz w:val="18"/>
          <w:szCs w:val="18"/>
        </w:rPr>
      </w:pPr>
    </w:p>
    <w:p w14:paraId="53002029">
      <w:pPr>
        <w:keepNext w:val="0"/>
        <w:keepLines w:val="0"/>
        <w:pageBreakBefore w:val="0"/>
        <w:kinsoku/>
        <w:wordWrap/>
        <w:overflowPunct/>
        <w:topLinePunct w:val="0"/>
        <w:autoSpaceDE/>
        <w:autoSpaceDN/>
        <w:bidi w:val="0"/>
        <w:spacing w:line="560" w:lineRule="exact"/>
        <w:ind w:firstLine="602" w:firstLineChars="200"/>
        <w:jc w:val="left"/>
        <w:textAlignment w:val="auto"/>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第一部分 </w:t>
      </w:r>
      <w:r>
        <w:rPr>
          <w:rFonts w:hint="eastAsia" w:ascii="仿宋_GB2312" w:hAnsi="仿宋" w:eastAsia="仿宋_GB2312"/>
          <w:b/>
          <w:color w:val="000000"/>
          <w:sz w:val="30"/>
          <w:szCs w:val="30"/>
          <w:lang w:eastAsia="zh-CN"/>
        </w:rPr>
        <w:t>单位</w:t>
      </w:r>
      <w:r>
        <w:rPr>
          <w:rFonts w:hint="eastAsia" w:ascii="仿宋_GB2312" w:hAnsi="仿宋" w:eastAsia="仿宋_GB2312"/>
          <w:b/>
          <w:color w:val="000000"/>
          <w:sz w:val="30"/>
          <w:szCs w:val="30"/>
        </w:rPr>
        <w:t>基本概况</w:t>
      </w:r>
    </w:p>
    <w:p w14:paraId="70C024E0">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一、</w:t>
      </w:r>
      <w:r>
        <w:rPr>
          <w:rFonts w:hint="eastAsia" w:ascii="仿宋_GB2312" w:hAnsi="仿宋" w:eastAsia="仿宋_GB2312"/>
          <w:color w:val="000000"/>
          <w:sz w:val="30"/>
          <w:szCs w:val="30"/>
          <w:lang w:eastAsia="zh-CN"/>
        </w:rPr>
        <w:t>单位</w:t>
      </w:r>
      <w:r>
        <w:rPr>
          <w:rFonts w:hint="eastAsia" w:ascii="仿宋_GB2312" w:hAnsi="仿宋" w:eastAsia="仿宋_GB2312"/>
          <w:color w:val="000000"/>
          <w:sz w:val="30"/>
          <w:szCs w:val="30"/>
        </w:rPr>
        <w:t>职责</w:t>
      </w:r>
    </w:p>
    <w:p w14:paraId="4D83AF2B">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keepNext w:val="0"/>
        <w:keepLines w:val="0"/>
        <w:pageBreakBefore w:val="0"/>
        <w:kinsoku/>
        <w:wordWrap/>
        <w:overflowPunct/>
        <w:topLinePunct w:val="0"/>
        <w:autoSpaceDE/>
        <w:autoSpaceDN/>
        <w:bidi w:val="0"/>
        <w:spacing w:line="560" w:lineRule="exact"/>
        <w:ind w:firstLine="602" w:firstLineChars="200"/>
        <w:jc w:val="left"/>
        <w:textAlignment w:val="auto"/>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w:t>
      </w:r>
      <w:r>
        <w:rPr>
          <w:rFonts w:hint="eastAsia" w:ascii="仿宋_GB2312" w:hAnsi="仿宋" w:eastAsia="仿宋_GB2312"/>
          <w:b/>
          <w:color w:val="000000"/>
          <w:sz w:val="30"/>
          <w:szCs w:val="30"/>
          <w:lang w:eastAsia="zh-CN"/>
        </w:rPr>
        <w:t>单位</w:t>
      </w:r>
      <w:r>
        <w:rPr>
          <w:rFonts w:hint="eastAsia" w:ascii="仿宋_GB2312" w:hAnsi="仿宋" w:eastAsia="仿宋_GB2312"/>
          <w:b/>
          <w:color w:val="000000"/>
          <w:sz w:val="30"/>
          <w:szCs w:val="30"/>
        </w:rPr>
        <w:t>预算情况说明</w:t>
      </w:r>
    </w:p>
    <w:p w14:paraId="44EBD670">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keepNext w:val="0"/>
        <w:keepLines w:val="0"/>
        <w:pageBreakBefore w:val="0"/>
        <w:kinsoku/>
        <w:wordWrap/>
        <w:overflowPunct/>
        <w:topLinePunct w:val="0"/>
        <w:autoSpaceDE/>
        <w:autoSpaceDN/>
        <w:bidi w:val="0"/>
        <w:spacing w:line="560" w:lineRule="exact"/>
        <w:ind w:firstLine="602" w:firstLineChars="200"/>
        <w:jc w:val="left"/>
        <w:textAlignment w:val="auto"/>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w:t>
      </w:r>
      <w:r>
        <w:rPr>
          <w:rFonts w:hint="eastAsia" w:ascii="仿宋_GB2312" w:hAnsi="仿宋" w:eastAsia="仿宋_GB2312"/>
          <w:b/>
          <w:color w:val="000000"/>
          <w:sz w:val="30"/>
          <w:szCs w:val="30"/>
          <w:lang w:eastAsia="zh-CN"/>
        </w:rPr>
        <w:t>单位</w:t>
      </w:r>
      <w:r>
        <w:rPr>
          <w:rFonts w:hint="eastAsia" w:ascii="仿宋_GB2312" w:hAnsi="仿宋" w:eastAsia="仿宋_GB2312"/>
          <w:b/>
          <w:color w:val="000000"/>
          <w:sz w:val="30"/>
          <w:szCs w:val="30"/>
        </w:rPr>
        <w:t>预算公开表</w:t>
      </w:r>
    </w:p>
    <w:p w14:paraId="3FD2078A">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一、</w:t>
      </w:r>
      <w:r>
        <w:rPr>
          <w:rFonts w:hint="eastAsia" w:ascii="仿宋_GB2312" w:hAnsi="仿宋" w:eastAsia="仿宋_GB2312"/>
          <w:color w:val="000000"/>
          <w:sz w:val="30"/>
          <w:szCs w:val="30"/>
          <w:lang w:eastAsia="zh-CN"/>
        </w:rPr>
        <w:t>单位</w:t>
      </w:r>
      <w:r>
        <w:rPr>
          <w:rFonts w:hint="eastAsia" w:ascii="仿宋_GB2312" w:hAnsi="仿宋" w:eastAsia="仿宋_GB2312"/>
          <w:color w:val="000000"/>
          <w:sz w:val="30"/>
          <w:szCs w:val="30"/>
        </w:rPr>
        <w:t>收支总体情况表</w:t>
      </w:r>
    </w:p>
    <w:p w14:paraId="72142C80">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二、</w:t>
      </w:r>
      <w:r>
        <w:rPr>
          <w:rFonts w:hint="eastAsia" w:ascii="仿宋_GB2312" w:hAnsi="仿宋" w:eastAsia="仿宋_GB2312"/>
          <w:color w:val="000000"/>
          <w:sz w:val="30"/>
          <w:szCs w:val="30"/>
          <w:lang w:eastAsia="zh-CN"/>
        </w:rPr>
        <w:t>单位</w:t>
      </w:r>
      <w:r>
        <w:rPr>
          <w:rFonts w:hint="eastAsia" w:ascii="仿宋_GB2312" w:hAnsi="仿宋" w:eastAsia="仿宋_GB2312"/>
          <w:color w:val="000000"/>
          <w:sz w:val="30"/>
          <w:szCs w:val="30"/>
        </w:rPr>
        <w:t>收入总体情况表</w:t>
      </w:r>
    </w:p>
    <w:p w14:paraId="45966E8E">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三、</w:t>
      </w:r>
      <w:r>
        <w:rPr>
          <w:rFonts w:hint="eastAsia" w:ascii="仿宋_GB2312" w:hAnsi="仿宋" w:eastAsia="仿宋_GB2312"/>
          <w:color w:val="000000"/>
          <w:sz w:val="30"/>
          <w:szCs w:val="30"/>
          <w:lang w:eastAsia="zh-CN"/>
        </w:rPr>
        <w:t>单位</w:t>
      </w:r>
      <w:r>
        <w:rPr>
          <w:rFonts w:hint="eastAsia" w:ascii="仿宋_GB2312" w:hAnsi="仿宋" w:eastAsia="仿宋_GB2312"/>
          <w:color w:val="000000"/>
          <w:sz w:val="30"/>
          <w:szCs w:val="30"/>
        </w:rPr>
        <w:t>支出总体情况表</w:t>
      </w:r>
    </w:p>
    <w:p w14:paraId="675B8204">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keepNext w:val="0"/>
        <w:keepLines w:val="0"/>
        <w:pageBreakBefore w:val="0"/>
        <w:kinsoku/>
        <w:wordWrap/>
        <w:overflowPunct/>
        <w:topLinePunct w:val="0"/>
        <w:autoSpaceDE/>
        <w:autoSpaceDN/>
        <w:bidi w:val="0"/>
        <w:spacing w:line="560" w:lineRule="exact"/>
        <w:ind w:firstLine="600" w:firstLineChars="200"/>
        <w:jc w:val="left"/>
        <w:textAlignment w:val="auto"/>
        <w:rPr>
          <w:rFonts w:ascii="仿宋_GB2312" w:hAnsi="仿宋" w:eastAsia="仿宋_GB2312"/>
          <w:color w:val="000000"/>
          <w:sz w:val="30"/>
          <w:szCs w:val="30"/>
        </w:rPr>
      </w:pPr>
      <w:r>
        <w:rPr>
          <w:rFonts w:hint="eastAsia" w:ascii="仿宋_GB2312" w:hAnsi="仿宋" w:eastAsia="仿宋_GB2312"/>
          <w:color w:val="000000"/>
          <w:sz w:val="30"/>
          <w:szCs w:val="30"/>
        </w:rPr>
        <w:t>十三、</w:t>
      </w:r>
      <w:r>
        <w:rPr>
          <w:rFonts w:hint="eastAsia" w:ascii="仿宋_GB2312" w:hAnsi="仿宋" w:eastAsia="仿宋_GB2312"/>
          <w:color w:val="000000"/>
          <w:sz w:val="30"/>
          <w:szCs w:val="30"/>
          <w:lang w:eastAsia="zh-CN"/>
        </w:rPr>
        <w:t>单位</w:t>
      </w:r>
      <w:r>
        <w:rPr>
          <w:rFonts w:hint="eastAsia" w:ascii="仿宋_GB2312" w:hAnsi="仿宋" w:eastAsia="仿宋_GB2312"/>
          <w:color w:val="000000"/>
          <w:sz w:val="30"/>
          <w:szCs w:val="30"/>
        </w:rPr>
        <w:t>整体支出绩效目标表和项目支出绩效目标表</w:t>
      </w:r>
    </w:p>
    <w:p w14:paraId="7F85859C">
      <w:pPr>
        <w:keepNext w:val="0"/>
        <w:keepLines w:val="0"/>
        <w:pageBreakBefore w:val="0"/>
        <w:kinsoku/>
        <w:wordWrap/>
        <w:overflowPunct/>
        <w:topLinePunct w:val="0"/>
        <w:autoSpaceDE/>
        <w:autoSpaceDN/>
        <w:bidi w:val="0"/>
        <w:spacing w:line="560" w:lineRule="exact"/>
        <w:jc w:val="center"/>
        <w:textAlignment w:val="auto"/>
        <w:rPr>
          <w:rFonts w:ascii="仿宋_GB2312" w:hAnsi="宋体" w:eastAsia="仿宋_GB2312" w:cs="宋体"/>
          <w:b/>
          <w:bCs/>
          <w:kern w:val="0"/>
          <w:sz w:val="44"/>
          <w:szCs w:val="44"/>
        </w:rPr>
      </w:pPr>
    </w:p>
    <w:p w14:paraId="6DBFCF8A">
      <w:pPr>
        <w:keepNext w:val="0"/>
        <w:keepLines w:val="0"/>
        <w:pageBreakBefore w:val="0"/>
        <w:kinsoku/>
        <w:wordWrap/>
        <w:overflowPunct/>
        <w:topLinePunct w:val="0"/>
        <w:autoSpaceDE/>
        <w:autoSpaceDN/>
        <w:bidi w:val="0"/>
        <w:spacing w:line="560" w:lineRule="exact"/>
        <w:ind w:firstLine="562" w:firstLineChars="200"/>
        <w:textAlignment w:val="auto"/>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keepNext w:val="0"/>
        <w:keepLines w:val="0"/>
        <w:pageBreakBefore w:val="0"/>
        <w:kinsoku/>
        <w:wordWrap/>
        <w:overflowPunct/>
        <w:topLinePunct w:val="0"/>
        <w:autoSpaceDE/>
        <w:autoSpaceDN/>
        <w:bidi w:val="0"/>
        <w:spacing w:line="560" w:lineRule="exact"/>
        <w:ind w:firstLine="643" w:firstLineChars="200"/>
        <w:textAlignment w:val="auto"/>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keepNext w:val="0"/>
        <w:keepLines w:val="0"/>
        <w:pageBreakBefore w:val="0"/>
        <w:kinsoku/>
        <w:wordWrap/>
        <w:overflowPunct/>
        <w:topLinePunct w:val="0"/>
        <w:autoSpaceDE/>
        <w:autoSpaceDN/>
        <w:bidi w:val="0"/>
        <w:spacing w:line="560" w:lineRule="exact"/>
        <w:ind w:firstLine="640" w:firstLineChars="20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keepNext w:val="0"/>
        <w:keepLines w:val="0"/>
        <w:pageBreakBefore w:val="0"/>
        <w:kinsoku/>
        <w:wordWrap/>
        <w:overflowPunct/>
        <w:topLinePunct w:val="0"/>
        <w:autoSpaceDE/>
        <w:autoSpaceDN/>
        <w:bidi w:val="0"/>
        <w:spacing w:line="560" w:lineRule="exact"/>
        <w:ind w:firstLine="640" w:firstLineChars="200"/>
        <w:textAlignment w:val="auto"/>
        <w:rPr>
          <w:rFonts w:ascii="黑体" w:hAnsi="黑体" w:eastAsia="黑体" w:cs="宋体"/>
          <w:kern w:val="0"/>
          <w:sz w:val="32"/>
          <w:szCs w:val="32"/>
        </w:rPr>
      </w:pPr>
      <w:r>
        <w:rPr>
          <w:rFonts w:hint="eastAsia" w:ascii="黑体" w:hAnsi="黑体" w:eastAsia="黑体" w:cs="宋体"/>
          <w:kern w:val="0"/>
          <w:sz w:val="32"/>
          <w:szCs w:val="32"/>
        </w:rPr>
        <w:t>一、</w:t>
      </w:r>
      <w:r>
        <w:rPr>
          <w:rFonts w:hint="eastAsia" w:ascii="黑体" w:hAnsi="黑体" w:eastAsia="黑体" w:cs="宋体"/>
          <w:kern w:val="0"/>
          <w:sz w:val="32"/>
          <w:szCs w:val="32"/>
          <w:lang w:eastAsia="zh-CN"/>
        </w:rPr>
        <w:t>单位</w:t>
      </w:r>
      <w:r>
        <w:rPr>
          <w:rFonts w:hint="eastAsia" w:ascii="黑体" w:hAnsi="黑体" w:eastAsia="黑体" w:cs="宋体"/>
          <w:kern w:val="0"/>
          <w:sz w:val="32"/>
          <w:szCs w:val="32"/>
        </w:rPr>
        <w:t>职责</w:t>
      </w:r>
    </w:p>
    <w:p w14:paraId="29E31EC0">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1、贯彻国家统计局工作方面的法律、法规和方针、政策；拟定全县统计改革、统计建设规划；组织指导全县统计基层基础建设工作；监督检查统计法规的实施，查处统计违法行为。</w:t>
      </w:r>
    </w:p>
    <w:p w14:paraId="29CAE989">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承担辖区内农村经济社会、工业、固定资产投资、建筑业、房地产、能源、节能减排、批发零售贸易和餐饮业、劳动工资、科技、文化产业、服务业、社会、交通、运输、邮电、通讯、GDP等专业统计年报和定期报表的布置、收集、审核、汇总、上报及国民经济核算和社会发展评估工作。</w:t>
      </w:r>
    </w:p>
    <w:p w14:paraId="09C1FC8E">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3、承担城市住户、人口、劳动力、规模以下工业和限额以下住宿餐饮业等抽样调查工作。</w:t>
      </w:r>
    </w:p>
    <w:p w14:paraId="6FA34D41">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4、负责组织实施国务院统一安排的重大国情国力普查工作。</w:t>
      </w:r>
    </w:p>
    <w:p w14:paraId="72C7C1B3">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5、负责本行政区域内统计工作的组织、协调、监督、指导和管理，拟定、审批地方性统计调查项目和统计制度，设计、制发地方性统计报表，检查、清理非法报表，审查、公布地方性统计资料，组织、协调联合完成跨行业统计调查任务。</w:t>
      </w:r>
    </w:p>
    <w:p w14:paraId="153AA19E">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6、负责汇集统计资料、编印统计年鉴、编发统计内刊、提供统计信息、开展统计分析、进行调查研究，完成地方补充和社会委托统计调查项目，为各级领导、经济主体和社会公众提供信息、咨询、监督服务。</w:t>
      </w:r>
    </w:p>
    <w:p w14:paraId="6EA1E3D6">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黑体" w:hAnsi="黑体" w:eastAsia="黑体" w:cs="宋体"/>
          <w:kern w:val="0"/>
          <w:sz w:val="32"/>
          <w:szCs w:val="32"/>
        </w:rPr>
      </w:pPr>
      <w:r>
        <w:rPr>
          <w:rFonts w:hint="eastAsia" w:ascii="黑体" w:hAnsi="黑体" w:eastAsia="黑体" w:cs="宋体"/>
          <w:kern w:val="0"/>
          <w:sz w:val="32"/>
          <w:szCs w:val="32"/>
        </w:rPr>
        <w:t>二、机构设置情况</w:t>
      </w:r>
    </w:p>
    <w:p w14:paraId="0CCA2CC7">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（一）机关内设机构</w:t>
      </w:r>
    </w:p>
    <w:p w14:paraId="63F4466C">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1、人秘综合股。协助局主要负责人处理局机关日常工作；协助局领导班子成员统筹协调局机关各项工作；负责局机关党的 建设、党风廉政建设、宣传、意识形态、精神文明建设、统战、政法、综治、维稳、信访、政务、会务、提案、编制、人事、文秘、机要、保密、档案、督察、应急、招商引资及工会、共青团、妇女等工作；负责局机关规章制度建设；承办督办局党组会议、局务会议决定事项；组织实施年度目标责任和公务员、事业人员年终考核；负责局机关财务、资产、社保、后勤服务等工作；负责计划生育、退休老干部工作；负责局机关四类13项行政职权 履职工作；负责县政务服务中心统计窗口工作任务，定期更新政务“一网通办”信息；做好基本单位名录库建设；做好统计用区 划代码和城乡划分代码编制工作。负责实施国民经济核算、投入产出调查、邮政、电信、移动、联通统计调查；对全县国民经济 运行进行监测，提出宏观调控咨询建议；建立绿色发展评价体系 建设；发布统计数据，整理编辑综合性统计资料；编发《华池发 展年鉴》;编发统计月报；实施部门统计工作目标管理考核；督查部门统计基层基础建设；搜集、整理各部门统计资料，对有关统计数据进行汇总、评估、审核、上报和分析；及时提交《统计呈阅件》预警；参与大型普查和统计调查的临时性工作，承办市统计局和国家统计局庆阳调查队、县统计局交办的有关工作。</w:t>
      </w:r>
    </w:p>
    <w:p w14:paraId="46B24759">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执法监督股。负责统计系统统计行风建设；负责全县统计法律、法规的宣传、培训；开展“双随机”统计执法检查；依法组织查处违法案件；开展统计案卷评查、报送和管理工作；起草全县统计领域的规范性文件；负责全县统计领域规范性文件的审查和备案工作；组织开展统计巡查；负责局机关统计干部培训教育工作；负责全县统计从业人员继续教育工作；负责局机关干部法律知识考试组织工作；负责统计系统依法行政监督管理工作；落实全县统计系统普法任务；负责实施统计设计管理和新建部门统计调查项目管理工作；建立防范和惩治统计造假问责制、 弄虚作假党政同责责任体系；建立统计机构负责人防范和惩治统计造假、弄虚作假责任制；建立党政领导干部违规干预统计工作 记录制度；建立党政领导干部统计造假“一票否决制”;完善全 县统计执法人才库；落实统计信用管理办法和失信企业信息公示  和联合惩戒制度；做好统计从业人员统计信用档案管理工作；承 办局机关的行政复议、行政赔偿案件和行政诉讼的应诉代理工作；组织行政处罚听证工作；参与大型普查和统计调查的临时性工作，承办市统计局和国家统计局庆阳调查队、县统计局交办的有关工作。</w:t>
      </w:r>
    </w:p>
    <w:p w14:paraId="5F0BBB53">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3、农业农村股。负责实施全县农业普查以及农林牧渔业统计、农村基本情况统计、乡镇统计网络建设及维护；进行农业经济核算；采集、汇总乡镇和涉农部门的统计资料，对有关数据进行评估分析；督查乡镇统计基层基础建设；负责对乡镇和涉农部门统计人员的培训；做好农村经济的监测预警；实施乡镇统计工作目标管理考核；参与相关专业统计和临时性调查工作，承办市统计局和国家统计局庆阳调查队、县统计局交办的有关工作。</w:t>
      </w:r>
    </w:p>
    <w:p w14:paraId="2BE9D591">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4、工业投资股。负责实施全县经济普查以及工业、能源统计；负责统计信息化建设和统计网络运维，抓好统计网络安全等级划分，提升统计信息网络运维管理及信息安全管理水平；对全县主要耗能行业和重点耗能企业进行统计监测；编制全县能源平衡表；搜集、整理工业和信息化等部门的统计资料，对相关统计数据进行汇总、评估和分析。负责实施全县固定资产投资、建筑业、房地产业统计以及重大建设项目调查、新开工项目入库统计；搜集、整理有关部门的统计资料，对有关统计数据进行汇总、审核、评估和分析；做好全县投资监测预警；培训指导相关业务人员工作；参与大型普查和统计调查的临时性工作，承办市统计局和国家统计局庆阳调查队、县统计局交办的有关工作。</w:t>
      </w:r>
    </w:p>
    <w:p w14:paraId="7E3D1E7B">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5、商贸社会股。负责实施全县人口普查以及贸易、科技发展、服务业、劳动就业、社会保障、文化产业、旅游、社情民意等统计调查；搜集、整理商贸流通和社会事业等部门的统计资料，对有关统计数据进行汇总、评估和分析；培训相关业务统计人员；参与相关专业统计和临时性调查工作，承办市统计局和国家统计局庆阳调查队、县统计局交办的有关工作。</w:t>
      </w:r>
    </w:p>
    <w:p w14:paraId="154D8898">
      <w:pPr>
        <w:keepNext w:val="0"/>
        <w:keepLines w:val="0"/>
        <w:pageBreakBefore w:val="0"/>
        <w:kinsoku/>
        <w:wordWrap/>
        <w:overflowPunct/>
        <w:topLinePunct w:val="0"/>
        <w:autoSpaceDE/>
        <w:autoSpaceDN/>
        <w:bidi w:val="0"/>
        <w:spacing w:line="560" w:lineRule="exact"/>
        <w:ind w:firstLine="640" w:firstLineChars="200"/>
        <w:textAlignment w:val="auto"/>
        <w:rPr>
          <w:rFonts w:ascii="黑体" w:hAnsi="黑体" w:eastAsia="黑体" w:cs="宋体"/>
          <w:kern w:val="0"/>
          <w:sz w:val="32"/>
          <w:szCs w:val="32"/>
        </w:rPr>
      </w:pPr>
      <w:r>
        <w:rPr>
          <w:rFonts w:hint="eastAsia" w:ascii="黑体" w:hAnsi="黑体" w:eastAsia="黑体" w:cs="宋体"/>
          <w:kern w:val="0"/>
          <w:sz w:val="32"/>
          <w:szCs w:val="32"/>
        </w:rPr>
        <w:t>三、</w:t>
      </w:r>
      <w:r>
        <w:rPr>
          <w:rFonts w:hint="eastAsia" w:ascii="黑体" w:hAnsi="黑体" w:eastAsia="黑体" w:cs="宋体"/>
          <w:kern w:val="0"/>
          <w:sz w:val="32"/>
          <w:szCs w:val="32"/>
          <w:lang w:eastAsia="zh-CN"/>
        </w:rPr>
        <w:t>单位</w:t>
      </w:r>
      <w:r>
        <w:rPr>
          <w:rFonts w:hint="eastAsia" w:ascii="黑体" w:hAnsi="黑体" w:eastAsia="黑体" w:cs="宋体"/>
          <w:kern w:val="0"/>
          <w:sz w:val="32"/>
          <w:szCs w:val="32"/>
        </w:rPr>
        <w:t>收支总体情况</w:t>
      </w:r>
    </w:p>
    <w:p w14:paraId="10AF1836">
      <w:pPr>
        <w:keepNext w:val="0"/>
        <w:keepLines w:val="0"/>
        <w:pageBreakBefore w:val="0"/>
        <w:kinsoku/>
        <w:wordWrap/>
        <w:overflowPunct/>
        <w:topLinePunct w:val="0"/>
        <w:autoSpaceDE/>
        <w:autoSpaceDN/>
        <w:bidi w:val="0"/>
        <w:spacing w:line="560" w:lineRule="exact"/>
        <w:ind w:firstLine="640" w:firstLineChars="20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eastAsia="zh-CN"/>
        </w:rPr>
        <w:t>单位</w:t>
      </w:r>
      <w:r>
        <w:rPr>
          <w:rFonts w:hint="eastAsia" w:ascii="仿宋_GB2312" w:hAnsi="仿宋" w:eastAsia="仿宋_GB2312" w:cs="宋体"/>
          <w:kern w:val="0"/>
          <w:sz w:val="32"/>
          <w:szCs w:val="32"/>
        </w:rPr>
        <w:t>收支包括机关预算和直属单位预算在内的汇总情况。</w:t>
      </w:r>
    </w:p>
    <w:p w14:paraId="02D85CDC">
      <w:pPr>
        <w:keepNext w:val="0"/>
        <w:keepLines w:val="0"/>
        <w:pageBreakBefore w:val="0"/>
        <w:kinsoku/>
        <w:wordWrap/>
        <w:overflowPunct/>
        <w:topLinePunct w:val="0"/>
        <w:autoSpaceDE/>
        <w:autoSpaceDN/>
        <w:bidi w:val="0"/>
        <w:spacing w:line="560" w:lineRule="exact"/>
        <w:ind w:firstLine="640" w:firstLineChars="20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499.87</w:t>
      </w:r>
      <w:r>
        <w:rPr>
          <w:rFonts w:hint="eastAsia" w:ascii="仿宋_GB2312" w:hAnsi="仿宋" w:eastAsia="仿宋_GB2312" w:cs="宋体"/>
          <w:kern w:val="0"/>
          <w:sz w:val="32"/>
          <w:szCs w:val="32"/>
        </w:rPr>
        <w:t>万元。按照综合预算的原则，</w:t>
      </w:r>
      <w:r>
        <w:rPr>
          <w:rFonts w:hint="eastAsia" w:ascii="仿宋_GB2312" w:hAnsi="仿宋" w:eastAsia="仿宋_GB2312" w:cs="宋体"/>
          <w:kern w:val="0"/>
          <w:sz w:val="32"/>
          <w:szCs w:val="32"/>
          <w:lang w:eastAsia="zh-CN"/>
        </w:rPr>
        <w:t>单位</w:t>
      </w:r>
      <w:r>
        <w:rPr>
          <w:rFonts w:hint="eastAsia" w:ascii="仿宋_GB2312" w:hAnsi="仿宋" w:eastAsia="仿宋_GB2312" w:cs="宋体"/>
          <w:kern w:val="0"/>
          <w:sz w:val="32"/>
          <w:szCs w:val="32"/>
        </w:rPr>
        <w:t>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78846D78">
      <w:pPr>
        <w:keepNext w:val="0"/>
        <w:keepLines w:val="0"/>
        <w:pageBreakBefore w:val="0"/>
        <w:kinsoku/>
        <w:wordWrap/>
        <w:overflowPunct/>
        <w:topLinePunct w:val="0"/>
        <w:autoSpaceDE/>
        <w:autoSpaceDN/>
        <w:bidi w:val="0"/>
        <w:spacing w:line="560" w:lineRule="exact"/>
        <w:ind w:firstLine="643" w:firstLineChars="200"/>
        <w:textAlignment w:val="auto"/>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keepNext w:val="0"/>
        <w:keepLines w:val="0"/>
        <w:pageBreakBefore w:val="0"/>
        <w:widowControl/>
        <w:kinsoku/>
        <w:wordWrap/>
        <w:overflowPunct/>
        <w:topLinePunct w:val="0"/>
        <w:autoSpaceDE/>
        <w:autoSpaceDN/>
        <w:bidi w:val="0"/>
        <w:spacing w:line="560" w:lineRule="exact"/>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499.87</w:t>
      </w:r>
      <w:r>
        <w:rPr>
          <w:rFonts w:hint="eastAsia" w:ascii="仿宋_GB2312" w:hAnsi="仿宋" w:eastAsia="仿宋_GB2312"/>
          <w:sz w:val="32"/>
          <w:szCs w:val="32"/>
        </w:rPr>
        <w:t>万元（详见</w:t>
      </w:r>
      <w:r>
        <w:rPr>
          <w:rFonts w:hint="eastAsia" w:ascii="仿宋_GB2312" w:hAnsi="仿宋" w:eastAsia="仿宋_GB2312"/>
          <w:sz w:val="32"/>
          <w:szCs w:val="32"/>
          <w:lang w:eastAsia="zh-CN"/>
        </w:rPr>
        <w:t>单位</w:t>
      </w:r>
      <w:r>
        <w:rPr>
          <w:rFonts w:hint="eastAsia" w:ascii="仿宋_GB2312" w:hAnsi="仿宋" w:eastAsia="仿宋_GB2312"/>
          <w:sz w:val="32"/>
          <w:szCs w:val="32"/>
        </w:rPr>
        <w:t>预算公开表1,2）。包括：</w:t>
      </w:r>
    </w:p>
    <w:p w14:paraId="14E911E5">
      <w:pPr>
        <w:keepNext w:val="0"/>
        <w:keepLines w:val="0"/>
        <w:pageBreakBefore w:val="0"/>
        <w:widowControl/>
        <w:kinsoku/>
        <w:wordWrap/>
        <w:overflowPunct/>
        <w:topLinePunct w:val="0"/>
        <w:autoSpaceDE/>
        <w:autoSpaceDN/>
        <w:bidi w:val="0"/>
        <w:spacing w:line="560" w:lineRule="exact"/>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一般公共预算收入499.87万元，占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6DC38958">
      <w:pPr>
        <w:keepNext w:val="0"/>
        <w:keepLines w:val="0"/>
        <w:pageBreakBefore w:val="0"/>
        <w:widowControl/>
        <w:kinsoku/>
        <w:wordWrap/>
        <w:overflowPunct/>
        <w:topLinePunct w:val="0"/>
        <w:autoSpaceDE/>
        <w:autoSpaceDN/>
        <w:bidi w:val="0"/>
        <w:spacing w:line="560" w:lineRule="exact"/>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 xml:space="preserve">政府性基金预算收入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7ABC9C50">
      <w:pPr>
        <w:keepNext w:val="0"/>
        <w:keepLines w:val="0"/>
        <w:pageBreakBefore w:val="0"/>
        <w:widowControl/>
        <w:kinsoku/>
        <w:wordWrap/>
        <w:overflowPunct/>
        <w:topLinePunct w:val="0"/>
        <w:autoSpaceDE/>
        <w:autoSpaceDN/>
        <w:bidi w:val="0"/>
        <w:spacing w:line="560" w:lineRule="exact"/>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上年结转收入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745038EB">
      <w:pPr>
        <w:keepNext w:val="0"/>
        <w:keepLines w:val="0"/>
        <w:pageBreakBefore w:val="0"/>
        <w:widowControl/>
        <w:kinsoku/>
        <w:wordWrap/>
        <w:overflowPunct/>
        <w:topLinePunct w:val="0"/>
        <w:autoSpaceDE/>
        <w:autoSpaceDN/>
        <w:bidi w:val="0"/>
        <w:spacing w:line="560" w:lineRule="exact"/>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2217B580">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499.87</w:t>
      </w:r>
      <w:r>
        <w:rPr>
          <w:rFonts w:hint="eastAsia" w:ascii="仿宋_GB2312" w:hAnsi="仿宋" w:eastAsia="仿宋_GB2312"/>
          <w:sz w:val="32"/>
          <w:szCs w:val="32"/>
        </w:rPr>
        <w:t>万元（详见</w:t>
      </w:r>
      <w:r>
        <w:rPr>
          <w:rFonts w:hint="eastAsia" w:ascii="仿宋_GB2312" w:hAnsi="仿宋" w:eastAsia="仿宋_GB2312"/>
          <w:sz w:val="32"/>
          <w:szCs w:val="32"/>
          <w:lang w:eastAsia="zh-CN"/>
        </w:rPr>
        <w:t>单位</w:t>
      </w:r>
      <w:r>
        <w:rPr>
          <w:rFonts w:hint="eastAsia" w:ascii="仿宋_GB2312" w:hAnsi="仿宋" w:eastAsia="仿宋_GB2312"/>
          <w:sz w:val="32"/>
          <w:szCs w:val="32"/>
        </w:rPr>
        <w:t>预算公开表3）。</w:t>
      </w:r>
      <w:r>
        <w:rPr>
          <w:rStyle w:val="20"/>
          <w:rFonts w:hint="default" w:hAnsi="仿宋"/>
        </w:rPr>
        <w:t>其中：基本支出</w:t>
      </w:r>
      <w:r>
        <w:rPr>
          <w:rStyle w:val="21"/>
          <w:rFonts w:hint="eastAsia" w:ascii="仿宋_GB2312" w:hAnsi="仿宋" w:eastAsia="仿宋_GB2312"/>
          <w:lang w:val="en-US" w:eastAsia="zh-CN"/>
        </w:rPr>
        <w:t>327.41</w:t>
      </w:r>
      <w:r>
        <w:rPr>
          <w:rStyle w:val="20"/>
          <w:rFonts w:hint="default" w:hAnsi="仿宋"/>
        </w:rPr>
        <w:t>万元， 占</w:t>
      </w:r>
      <w:r>
        <w:rPr>
          <w:rStyle w:val="20"/>
          <w:rFonts w:hint="eastAsia" w:hAnsi="仿宋" w:eastAsia="仿宋_GB2312"/>
          <w:lang w:val="en-US" w:eastAsia="zh-CN"/>
        </w:rPr>
        <w:t>65.5</w:t>
      </w:r>
      <w:r>
        <w:rPr>
          <w:rStyle w:val="21"/>
          <w:rFonts w:hint="eastAsia" w:ascii="仿宋_GB2312" w:hAnsi="仿宋" w:eastAsia="仿宋_GB2312"/>
        </w:rPr>
        <w:t>%</w:t>
      </w:r>
      <w:r>
        <w:rPr>
          <w:rStyle w:val="20"/>
          <w:rFonts w:hint="default" w:hAnsi="仿宋"/>
        </w:rPr>
        <w:t>；项目支出</w:t>
      </w:r>
      <w:r>
        <w:rPr>
          <w:rStyle w:val="20"/>
          <w:rFonts w:hint="eastAsia" w:hAnsi="仿宋" w:eastAsia="仿宋_GB2312"/>
          <w:lang w:val="en-US" w:eastAsia="zh-CN"/>
        </w:rPr>
        <w:t>172.46</w:t>
      </w:r>
      <w:r>
        <w:rPr>
          <w:rStyle w:val="20"/>
          <w:rFonts w:hint="default" w:hAnsi="仿宋"/>
        </w:rPr>
        <w:t>万元，占</w:t>
      </w:r>
      <w:r>
        <w:rPr>
          <w:rStyle w:val="21"/>
          <w:rFonts w:hint="eastAsia" w:ascii="仿宋_GB2312" w:hAnsi="仿宋" w:eastAsia="仿宋_GB2312"/>
          <w:lang w:val="en-US" w:eastAsia="zh-CN"/>
        </w:rPr>
        <w:t>34.5</w:t>
      </w:r>
      <w:r>
        <w:rPr>
          <w:rStyle w:val="21"/>
          <w:rFonts w:hint="eastAsia" w:ascii="仿宋_GB2312" w:hAnsi="仿宋" w:eastAsia="仿宋_GB2312"/>
        </w:rPr>
        <w:t>%</w:t>
      </w:r>
      <w:r>
        <w:rPr>
          <w:rStyle w:val="20"/>
          <w:rFonts w:hint="default" w:hAnsi="仿宋"/>
        </w:rPr>
        <w:t>；上年结转</w:t>
      </w:r>
      <w:r>
        <w:rPr>
          <w:rStyle w:val="21"/>
          <w:rFonts w:hint="eastAsia" w:ascii="仿宋_GB2312" w:hAnsi="仿宋" w:eastAsia="仿宋_GB2312"/>
          <w:lang w:val="en-US" w:eastAsia="zh-CN"/>
        </w:rPr>
        <w:t>0</w:t>
      </w:r>
      <w:r>
        <w:rPr>
          <w:rStyle w:val="20"/>
          <w:rFonts w:hint="default" w:hAnsi="仿宋"/>
        </w:rPr>
        <w:t>万元， 占</w:t>
      </w:r>
      <w:r>
        <w:rPr>
          <w:rStyle w:val="21"/>
          <w:rFonts w:hint="eastAsia" w:ascii="仿宋_GB2312" w:hAnsi="仿宋" w:eastAsia="仿宋_GB2312"/>
          <w:lang w:val="en-US" w:eastAsia="zh-CN"/>
        </w:rPr>
        <w:t>0</w:t>
      </w:r>
      <w:r>
        <w:rPr>
          <w:rStyle w:val="21"/>
          <w:rFonts w:hint="eastAsia" w:ascii="仿宋_GB2312" w:hAnsi="仿宋" w:eastAsia="仿宋_GB2312"/>
        </w:rPr>
        <w:t>%</w:t>
      </w:r>
      <w:r>
        <w:rPr>
          <w:rStyle w:val="20"/>
          <w:rFonts w:hint="default" w:hAnsi="仿宋"/>
        </w:rPr>
        <w:t>。</w:t>
      </w:r>
    </w:p>
    <w:p w14:paraId="7D7ADD50">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Style w:val="21"/>
          <w:rFonts w:hint="eastAsia" w:ascii="仿宋_GB2312" w:hAnsi="仿宋" w:eastAsia="仿宋_GB2312"/>
          <w:lang w:eastAsia="zh-CN"/>
        </w:rPr>
        <w:t>202</w:t>
      </w:r>
      <w:r>
        <w:rPr>
          <w:rStyle w:val="21"/>
          <w:rFonts w:hint="default" w:ascii="仿宋_GB2312" w:hAnsi="仿宋" w:eastAsia="仿宋_GB2312"/>
          <w:lang w:val="en-US" w:eastAsia="zh-CN"/>
        </w:rPr>
        <w:t>6</w:t>
      </w:r>
      <w:r>
        <w:rPr>
          <w:rStyle w:val="20"/>
          <w:rFonts w:hint="default" w:hAnsi="仿宋"/>
        </w:rPr>
        <w:t>年一般公共预算当年支出</w:t>
      </w:r>
      <w:r>
        <w:rPr>
          <w:rStyle w:val="21"/>
          <w:rFonts w:hint="eastAsia" w:ascii="仿宋_GB2312" w:hAnsi="仿宋" w:eastAsia="仿宋_GB2312"/>
        </w:rPr>
        <w:t>499.87</w:t>
      </w:r>
      <w:r>
        <w:rPr>
          <w:rStyle w:val="20"/>
          <w:rFonts w:hint="default" w:hAnsi="仿宋"/>
        </w:rPr>
        <w:t>万元，包括：一般公共服务支出</w:t>
      </w:r>
      <w:r>
        <w:rPr>
          <w:rStyle w:val="21"/>
          <w:rFonts w:hint="eastAsia" w:ascii="仿宋_GB2312" w:hAnsi="仿宋" w:eastAsia="仿宋_GB2312"/>
        </w:rPr>
        <w:t>414.54</w:t>
      </w:r>
      <w:r>
        <w:rPr>
          <w:rStyle w:val="20"/>
          <w:rFonts w:hint="default" w:hAnsi="仿宋"/>
        </w:rPr>
        <w:t>万元、公共安全支出</w:t>
      </w:r>
      <w:r>
        <w:rPr>
          <w:rStyle w:val="21"/>
          <w:rFonts w:hint="eastAsia" w:ascii="仿宋_GB2312" w:hAnsi="仿宋" w:eastAsia="仿宋_GB2312"/>
          <w:lang w:val="en-US" w:eastAsia="zh-CN"/>
        </w:rPr>
        <w:t>0</w:t>
      </w:r>
      <w:r>
        <w:rPr>
          <w:rStyle w:val="20"/>
          <w:rFonts w:hint="default" w:hAnsi="仿宋"/>
        </w:rPr>
        <w:t>万元、教育支出</w:t>
      </w:r>
      <w:r>
        <w:rPr>
          <w:rStyle w:val="21"/>
          <w:rFonts w:hint="eastAsia" w:ascii="仿宋_GB2312" w:hAnsi="仿宋" w:eastAsia="仿宋_GB2312"/>
        </w:rPr>
        <w:t xml:space="preserve"> </w:t>
      </w:r>
      <w:r>
        <w:rPr>
          <w:rStyle w:val="21"/>
          <w:rFonts w:hint="eastAsia" w:ascii="仿宋_GB2312" w:hAnsi="仿宋" w:eastAsia="仿宋_GB2312"/>
          <w:lang w:val="en-US" w:eastAsia="zh-CN"/>
        </w:rPr>
        <w:t>0</w:t>
      </w:r>
      <w:r>
        <w:rPr>
          <w:rStyle w:val="20"/>
          <w:rFonts w:hint="default" w:hAnsi="仿宋"/>
        </w:rPr>
        <w:t>万元、科学技术支出</w:t>
      </w:r>
      <w:r>
        <w:rPr>
          <w:rStyle w:val="21"/>
          <w:rFonts w:hint="eastAsia" w:ascii="仿宋_GB2312" w:hAnsi="仿宋" w:eastAsia="仿宋_GB2312"/>
          <w:lang w:val="en-US" w:eastAsia="zh-CN"/>
        </w:rPr>
        <w:t>0</w:t>
      </w:r>
      <w:r>
        <w:rPr>
          <w:rStyle w:val="20"/>
          <w:rFonts w:hint="default" w:hAnsi="仿宋"/>
        </w:rPr>
        <w:t>万元、社会保障和就业支出</w:t>
      </w:r>
      <w:r>
        <w:rPr>
          <w:rStyle w:val="21"/>
          <w:rFonts w:hint="eastAsia" w:ascii="仿宋_GB2312" w:hAnsi="仿宋" w:eastAsia="仿宋_GB2312"/>
        </w:rPr>
        <w:t>46.71</w:t>
      </w:r>
      <w:r>
        <w:rPr>
          <w:rStyle w:val="20"/>
          <w:rFonts w:hint="default" w:hAnsi="仿宋"/>
        </w:rPr>
        <w:t>万元、卫生健康支出</w:t>
      </w:r>
      <w:r>
        <w:rPr>
          <w:rStyle w:val="21"/>
          <w:rFonts w:hint="eastAsia" w:ascii="仿宋_GB2312" w:hAnsi="仿宋" w:eastAsia="仿宋_GB2312"/>
          <w:lang w:val="en-US" w:eastAsia="zh-CN"/>
        </w:rPr>
        <w:t>16.11</w:t>
      </w:r>
      <w:r>
        <w:rPr>
          <w:rStyle w:val="20"/>
          <w:rFonts w:hint="default" w:hAnsi="仿宋"/>
        </w:rPr>
        <w:t>万元</w:t>
      </w:r>
      <w:r>
        <w:rPr>
          <w:rStyle w:val="20"/>
          <w:rFonts w:hint="eastAsia" w:hAnsi="仿宋" w:eastAsia="仿宋_GB2312"/>
          <w:lang w:eastAsia="zh-CN"/>
        </w:rPr>
        <w:t>、住房保障支出22.51</w:t>
      </w:r>
      <w:r>
        <w:rPr>
          <w:rStyle w:val="20"/>
          <w:rFonts w:hint="eastAsia" w:hAnsi="仿宋" w:eastAsia="仿宋_GB2312"/>
          <w:lang w:val="en-US" w:eastAsia="zh-CN"/>
        </w:rPr>
        <w:t>万元</w:t>
      </w:r>
      <w:r>
        <w:rPr>
          <w:rStyle w:val="20"/>
          <w:rFonts w:hint="default" w:hAnsi="仿宋"/>
        </w:rPr>
        <w:t>。</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w:t>
      </w:r>
      <w:r>
        <w:rPr>
          <w:rFonts w:hint="eastAsia" w:ascii="仿宋_GB2312" w:hAnsi="微软雅黑" w:eastAsia="仿宋_GB2312"/>
          <w:sz w:val="32"/>
          <w:szCs w:val="32"/>
          <w:lang w:eastAsia="zh-CN"/>
        </w:rPr>
        <w:t>单位</w:t>
      </w:r>
      <w:r>
        <w:rPr>
          <w:rFonts w:hint="eastAsia" w:ascii="仿宋_GB2312" w:hAnsi="微软雅黑" w:eastAsia="仿宋_GB2312"/>
          <w:sz w:val="32"/>
          <w:szCs w:val="32"/>
        </w:rPr>
        <w:t>预算公开表4,5,6,7）</w:t>
      </w:r>
      <w:r>
        <w:rPr>
          <w:rFonts w:hint="eastAsia" w:ascii="仿宋_GB2312" w:hAnsi="仿宋" w:eastAsia="仿宋_GB2312"/>
          <w:sz w:val="32"/>
          <w:szCs w:val="32"/>
        </w:rPr>
        <w:t>：</w:t>
      </w:r>
    </w:p>
    <w:p w14:paraId="59725234">
      <w:pPr>
        <w:keepNext w:val="0"/>
        <w:keepLines w:val="0"/>
        <w:pageBreakBefore w:val="0"/>
        <w:kinsoku/>
        <w:wordWrap/>
        <w:overflowPunct/>
        <w:topLinePunct w:val="0"/>
        <w:autoSpaceDE/>
        <w:autoSpaceDN/>
        <w:bidi w:val="0"/>
        <w:spacing w:line="56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keepNext w:val="0"/>
        <w:keepLines w:val="0"/>
        <w:pageBreakBefore w:val="0"/>
        <w:widowControl/>
        <w:kinsoku/>
        <w:wordWrap/>
        <w:overflowPunct/>
        <w:topLinePunct w:val="0"/>
        <w:autoSpaceDE/>
        <w:autoSpaceDN/>
        <w:bidi w:val="0"/>
        <w:spacing w:line="560" w:lineRule="exact"/>
        <w:ind w:firstLine="640" w:firstLineChars="200"/>
        <w:contextualSpacing/>
        <w:jc w:val="left"/>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年基本支出327.41万元，比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314.46</w:t>
      </w:r>
      <w:r>
        <w:rPr>
          <w:rFonts w:hint="eastAsia" w:ascii="仿宋_GB2312" w:hAnsi="仿宋" w:eastAsia="仿宋_GB2312"/>
          <w:sz w:val="32"/>
          <w:szCs w:val="32"/>
        </w:rPr>
        <w:t>万元增加</w:t>
      </w:r>
      <w:r>
        <w:rPr>
          <w:rFonts w:hint="eastAsia" w:ascii="仿宋_GB2312" w:hAnsi="仿宋" w:eastAsia="仿宋_GB2312"/>
          <w:sz w:val="32"/>
          <w:szCs w:val="32"/>
          <w:lang w:val="en-US" w:eastAsia="zh-CN"/>
        </w:rPr>
        <w:t>12.95</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4</w:t>
      </w:r>
      <w:r>
        <w:rPr>
          <w:rFonts w:hint="eastAsia" w:ascii="仿宋_GB2312" w:hAnsi="仿宋" w:eastAsia="仿宋_GB2312"/>
          <w:sz w:val="32"/>
          <w:szCs w:val="32"/>
        </w:rPr>
        <w:t>%，增长的主要原因是</w:t>
      </w:r>
      <w:r>
        <w:rPr>
          <w:rFonts w:hint="eastAsia" w:ascii="仿宋_GB2312" w:hAnsi="仿宋" w:eastAsia="仿宋_GB2312"/>
          <w:sz w:val="32"/>
          <w:szCs w:val="32"/>
          <w:lang w:val="en-US" w:eastAsia="zh-CN"/>
        </w:rPr>
        <w:t>2026年人员工资是2025年调标以后的工资，较2025年预算数预算增长幅度过大。</w:t>
      </w:r>
    </w:p>
    <w:p w14:paraId="70883497">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299.88</w:t>
      </w:r>
      <w:r>
        <w:rPr>
          <w:rFonts w:hint="eastAsia" w:ascii="仿宋_GB2312" w:hAnsi="仿宋" w:eastAsia="仿宋_GB2312"/>
          <w:sz w:val="32"/>
          <w:szCs w:val="32"/>
        </w:rPr>
        <w:t>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14:paraId="5167C9CF">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27.53</w:t>
      </w:r>
      <w:r>
        <w:rPr>
          <w:rFonts w:hint="eastAsia" w:ascii="仿宋_GB2312" w:hAnsi="仿宋" w:eastAsia="仿宋_GB2312"/>
          <w:sz w:val="32"/>
          <w:szCs w:val="32"/>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14:paraId="47B79818">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35973761">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hint="eastAsia" w:ascii="仿宋_GB2312" w:hAnsi="仿宋" w:eastAsia="仿宋_GB2312"/>
          <w:sz w:val="32"/>
          <w:szCs w:val="32"/>
          <w:lang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172.46</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42.32</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30</w:t>
      </w:r>
      <w:r>
        <w:rPr>
          <w:rFonts w:hint="eastAsia" w:ascii="仿宋_GB2312" w:hAnsi="仿宋" w:eastAsia="仿宋_GB2312"/>
          <w:sz w:val="32"/>
          <w:szCs w:val="32"/>
        </w:rPr>
        <w:t xml:space="preserve"> %，增长的主要原因是</w:t>
      </w:r>
      <w:r>
        <w:rPr>
          <w:rFonts w:hint="eastAsia" w:ascii="仿宋_GB2312" w:hAnsi="仿宋" w:eastAsia="仿宋_GB2312"/>
          <w:sz w:val="32"/>
          <w:szCs w:val="32"/>
          <w:lang w:val="en-US" w:eastAsia="zh-CN"/>
        </w:rPr>
        <w:t>增加</w:t>
      </w:r>
      <w:r>
        <w:rPr>
          <w:rFonts w:hint="eastAsia" w:ascii="仿宋_GB2312" w:hAnsi="仿宋" w:eastAsia="仿宋_GB2312"/>
          <w:sz w:val="32"/>
          <w:szCs w:val="32"/>
        </w:rPr>
        <w:t>第四次全国农业普查经费</w:t>
      </w:r>
      <w:r>
        <w:rPr>
          <w:rFonts w:hint="eastAsia" w:ascii="仿宋_GB2312" w:hAnsi="仿宋" w:eastAsia="仿宋_GB2312"/>
          <w:sz w:val="32"/>
          <w:szCs w:val="32"/>
          <w:lang w:eastAsia="zh-CN"/>
        </w:rPr>
        <w:t>。</w:t>
      </w:r>
    </w:p>
    <w:p w14:paraId="2DD7CC27">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lang w:eastAsia="zh-CN"/>
        </w:rPr>
        <w:t>部门专项</w:t>
      </w:r>
      <w:r>
        <w:rPr>
          <w:rFonts w:hint="eastAsia" w:ascii="仿宋_GB2312" w:hAnsi="仿宋" w:eastAsia="仿宋_GB2312"/>
          <w:sz w:val="32"/>
          <w:szCs w:val="32"/>
          <w:lang w:val="en-US" w:eastAsia="zh-CN"/>
        </w:rPr>
        <w:t>5</w:t>
      </w:r>
      <w:r>
        <w:rPr>
          <w:rFonts w:hint="eastAsia" w:ascii="仿宋_GB2312" w:hAnsi="仿宋" w:eastAsia="仿宋_GB2312"/>
          <w:sz w:val="32"/>
          <w:szCs w:val="32"/>
        </w:rPr>
        <w:t>个，主要是项目1、城乡住户“一体化”记账户补助</w:t>
      </w:r>
      <w:r>
        <w:rPr>
          <w:rFonts w:hint="eastAsia" w:ascii="仿宋_GB2312" w:hAnsi="仿宋" w:eastAsia="仿宋_GB2312"/>
          <w:sz w:val="32"/>
          <w:szCs w:val="32"/>
          <w:lang w:eastAsia="zh-CN"/>
        </w:rPr>
        <w:t>，</w:t>
      </w:r>
      <w:r>
        <w:rPr>
          <w:rFonts w:hint="eastAsia" w:ascii="仿宋_GB2312" w:hAnsi="仿宋" w:eastAsia="仿宋_GB2312"/>
          <w:sz w:val="32"/>
          <w:szCs w:val="32"/>
        </w:rPr>
        <w:t>项目2、劳动力调查、农产量调查和农村住户调查业务经费</w:t>
      </w:r>
      <w:r>
        <w:rPr>
          <w:rFonts w:hint="eastAsia" w:ascii="仿宋_GB2312" w:hAnsi="仿宋" w:eastAsia="仿宋_GB2312"/>
          <w:sz w:val="32"/>
          <w:szCs w:val="32"/>
          <w:lang w:eastAsia="zh-CN"/>
        </w:rPr>
        <w:t>，</w:t>
      </w:r>
      <w:r>
        <w:rPr>
          <w:rFonts w:hint="eastAsia" w:ascii="仿宋_GB2312" w:hAnsi="仿宋" w:eastAsia="仿宋_GB2312"/>
          <w:sz w:val="32"/>
          <w:szCs w:val="32"/>
        </w:rPr>
        <w:t>项目3入库“四上”企业补助</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项目4《华池发展年鉴（2026）》印刷费，项目5、第四次全国农业普查经费</w:t>
      </w:r>
      <w:r>
        <w:rPr>
          <w:rFonts w:hint="eastAsia" w:ascii="仿宋_GB2312" w:hAnsi="仿宋" w:eastAsia="仿宋_GB2312"/>
          <w:sz w:val="32"/>
          <w:szCs w:val="32"/>
        </w:rPr>
        <w:t>。</w:t>
      </w:r>
    </w:p>
    <w:p w14:paraId="2CA5B858">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0F0C7468">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TimesNewRomanPS-BoldMT" w:eastAsia="仿宋_GB2312"/>
          <w:bCs/>
          <w:color w:val="000000"/>
          <w:sz w:val="32"/>
          <w:szCs w:val="32"/>
        </w:rPr>
      </w:pPr>
      <w:r>
        <w:rPr>
          <w:rFonts w:hint="eastAsia" w:ascii="仿宋_GB2312" w:hAnsi="TimesNewRomanPS-BoldMT" w:eastAsia="仿宋_GB2312"/>
          <w:bCs/>
          <w:color w:val="000000"/>
          <w:sz w:val="32"/>
          <w:szCs w:val="32"/>
        </w:rPr>
        <w:t>1、一般公共服务（类）统计信息事务（款）行政运行（项）202</w:t>
      </w:r>
      <w:r>
        <w:rPr>
          <w:rFonts w:hint="eastAsia" w:ascii="仿宋_GB2312" w:hAnsi="TimesNewRomanPS-BoldMT" w:eastAsia="仿宋_GB2312"/>
          <w:bCs/>
          <w:color w:val="000000"/>
          <w:sz w:val="32"/>
          <w:szCs w:val="32"/>
          <w:lang w:val="en-US" w:eastAsia="zh-CN"/>
        </w:rPr>
        <w:t>6</w:t>
      </w:r>
      <w:r>
        <w:rPr>
          <w:rFonts w:hint="eastAsia" w:ascii="仿宋_GB2312" w:hAnsi="TimesNewRomanPS-BoldMT" w:eastAsia="仿宋_GB2312"/>
          <w:bCs/>
          <w:color w:val="000000"/>
          <w:sz w:val="32"/>
          <w:szCs w:val="32"/>
        </w:rPr>
        <w:t xml:space="preserve"> 年预算数为</w:t>
      </w:r>
      <w:r>
        <w:rPr>
          <w:rFonts w:hint="eastAsia" w:ascii="仿宋_GB2312" w:hAnsi="TimesNewRomanPS-BoldMT" w:eastAsia="仿宋_GB2312"/>
          <w:bCs/>
          <w:color w:val="000000"/>
          <w:sz w:val="32"/>
          <w:szCs w:val="32"/>
          <w:lang w:val="en-US" w:eastAsia="zh-CN"/>
        </w:rPr>
        <w:t>242.08</w:t>
      </w:r>
      <w:r>
        <w:rPr>
          <w:rFonts w:hint="eastAsia" w:ascii="仿宋_GB2312" w:hAnsi="TimesNewRomanPS-BoldMT" w:eastAsia="仿宋_GB2312"/>
          <w:bCs/>
          <w:color w:val="000000"/>
          <w:sz w:val="32"/>
          <w:szCs w:val="32"/>
        </w:rPr>
        <w:t>万元，比202</w:t>
      </w:r>
      <w:r>
        <w:rPr>
          <w:rFonts w:hint="eastAsia" w:ascii="仿宋_GB2312" w:hAnsi="TimesNewRomanPS-BoldMT" w:eastAsia="仿宋_GB2312"/>
          <w:bCs/>
          <w:color w:val="000000"/>
          <w:sz w:val="32"/>
          <w:szCs w:val="32"/>
          <w:lang w:val="en-US" w:eastAsia="zh-CN"/>
        </w:rPr>
        <w:t>5</w:t>
      </w:r>
      <w:r>
        <w:rPr>
          <w:rFonts w:hint="eastAsia" w:ascii="仿宋_GB2312" w:hAnsi="TimesNewRomanPS-BoldMT" w:eastAsia="仿宋_GB2312"/>
          <w:bCs/>
          <w:color w:val="000000"/>
          <w:sz w:val="32"/>
          <w:szCs w:val="32"/>
        </w:rPr>
        <w:t>年预算</w:t>
      </w:r>
      <w:r>
        <w:rPr>
          <w:rFonts w:hint="eastAsia" w:ascii="仿宋_GB2312" w:hAnsi="TimesNewRomanPSMT" w:eastAsia="仿宋_GB2312"/>
          <w:color w:val="000000"/>
          <w:sz w:val="32"/>
          <w:szCs w:val="32"/>
          <w:lang w:val="en-US" w:eastAsia="zh-CN"/>
        </w:rPr>
        <w:t>233.33</w:t>
      </w:r>
      <w:r>
        <w:rPr>
          <w:rFonts w:hint="eastAsia" w:ascii="仿宋_GB2312" w:hAnsi="TimesNewRomanPS-BoldMT" w:eastAsia="仿宋_GB2312"/>
          <w:bCs/>
          <w:color w:val="000000"/>
          <w:sz w:val="32"/>
          <w:szCs w:val="32"/>
        </w:rPr>
        <w:t>万元</w:t>
      </w:r>
      <w:r>
        <w:rPr>
          <w:rFonts w:hint="eastAsia" w:ascii="仿宋_GB2312" w:hAnsi="TimesNewRomanPS-BoldMT" w:eastAsia="仿宋_GB2312"/>
          <w:bCs/>
          <w:color w:val="000000"/>
          <w:sz w:val="32"/>
          <w:szCs w:val="32"/>
          <w:lang w:val="en-US" w:eastAsia="zh-CN"/>
        </w:rPr>
        <w:t>增加</w:t>
      </w:r>
      <w:r>
        <w:rPr>
          <w:rFonts w:hint="eastAsia" w:ascii="仿宋_GB2312" w:hAnsi="TimesNewRomanPS-BoldMT" w:eastAsia="仿宋_GB2312"/>
          <w:bCs/>
          <w:color w:val="000000"/>
          <w:sz w:val="32"/>
          <w:szCs w:val="32"/>
        </w:rPr>
        <w:t>，主要原因是2025年比2024年减少1人。</w:t>
      </w:r>
    </w:p>
    <w:p w14:paraId="3454A327">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TimesNewRomanPS-BoldMT" w:eastAsia="仿宋_GB2312"/>
          <w:bCs/>
          <w:color w:val="000000"/>
          <w:sz w:val="32"/>
          <w:szCs w:val="32"/>
        </w:rPr>
      </w:pPr>
      <w:r>
        <w:rPr>
          <w:rFonts w:hint="eastAsia" w:ascii="仿宋_GB2312" w:hAnsi="TimesNewRomanPS-BoldMT" w:eastAsia="仿宋_GB2312"/>
          <w:bCs/>
          <w:color w:val="000000"/>
          <w:sz w:val="32"/>
          <w:szCs w:val="32"/>
        </w:rPr>
        <w:t>2、一般公共服务（类）统计信息事务（款）专项统计业务（项）2025年预算数为</w:t>
      </w:r>
      <w:r>
        <w:rPr>
          <w:rFonts w:hint="eastAsia" w:ascii="仿宋_GB2312" w:hAnsi="TimesNewRomanPS-BoldMT" w:eastAsia="仿宋_GB2312"/>
          <w:bCs/>
          <w:color w:val="000000"/>
          <w:sz w:val="32"/>
          <w:szCs w:val="32"/>
          <w:lang w:val="en-US" w:eastAsia="zh-CN"/>
        </w:rPr>
        <w:t>172.46</w:t>
      </w:r>
      <w:r>
        <w:rPr>
          <w:rFonts w:hint="eastAsia" w:ascii="仿宋_GB2312" w:hAnsi="TimesNewRomanPS-BoldMT" w:eastAsia="仿宋_GB2312"/>
          <w:bCs/>
          <w:color w:val="000000"/>
          <w:sz w:val="32"/>
          <w:szCs w:val="32"/>
        </w:rPr>
        <w:t>万元，比202</w:t>
      </w:r>
      <w:r>
        <w:rPr>
          <w:rFonts w:hint="eastAsia" w:ascii="仿宋_GB2312" w:hAnsi="TimesNewRomanPS-BoldMT" w:eastAsia="仿宋_GB2312"/>
          <w:bCs/>
          <w:color w:val="000000"/>
          <w:sz w:val="32"/>
          <w:szCs w:val="32"/>
          <w:lang w:val="en-US" w:eastAsia="zh-CN"/>
        </w:rPr>
        <w:t>5</w:t>
      </w:r>
      <w:r>
        <w:rPr>
          <w:rFonts w:hint="eastAsia" w:ascii="仿宋_GB2312" w:hAnsi="TimesNewRomanPS-BoldMT" w:eastAsia="仿宋_GB2312"/>
          <w:bCs/>
          <w:color w:val="000000"/>
          <w:sz w:val="32"/>
          <w:szCs w:val="32"/>
        </w:rPr>
        <w:t>年预算</w:t>
      </w:r>
      <w:r>
        <w:rPr>
          <w:rFonts w:hint="eastAsia" w:ascii="仿宋_GB2312" w:hAnsi="TimesNewRomanPS-BoldMT" w:eastAsia="仿宋_GB2312"/>
          <w:bCs/>
          <w:color w:val="000000"/>
          <w:sz w:val="32"/>
          <w:szCs w:val="32"/>
          <w:lang w:val="en-US" w:eastAsia="zh-CN"/>
        </w:rPr>
        <w:t>130.14增加42.32</w:t>
      </w:r>
      <w:r>
        <w:rPr>
          <w:rFonts w:hint="eastAsia" w:ascii="仿宋_GB2312" w:hAnsi="TimesNewRomanPS-BoldMT" w:eastAsia="仿宋_GB2312"/>
          <w:bCs/>
          <w:color w:val="000000"/>
          <w:sz w:val="32"/>
          <w:szCs w:val="32"/>
        </w:rPr>
        <w:t>万元，主要原因是</w:t>
      </w:r>
      <w:r>
        <w:rPr>
          <w:rFonts w:hint="eastAsia" w:ascii="仿宋_GB2312" w:hAnsi="TimesNewRomanPS-BoldMT" w:eastAsia="仿宋_GB2312"/>
          <w:bCs/>
          <w:color w:val="000000"/>
          <w:sz w:val="32"/>
          <w:szCs w:val="32"/>
          <w:lang w:val="en-US" w:eastAsia="zh-CN"/>
        </w:rPr>
        <w:t>2026年预算增加了第四次全国农业普查经费</w:t>
      </w:r>
      <w:r>
        <w:rPr>
          <w:rFonts w:hint="eastAsia" w:ascii="仿宋_GB2312" w:hAnsi="TimesNewRomanPS-BoldMT" w:eastAsia="仿宋_GB2312"/>
          <w:bCs/>
          <w:color w:val="000000"/>
          <w:sz w:val="32"/>
          <w:szCs w:val="32"/>
        </w:rPr>
        <w:t>。</w:t>
      </w:r>
    </w:p>
    <w:p w14:paraId="275FC0BF">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TimesNewRomanPS-BoldMT" w:eastAsia="仿宋_GB2312"/>
          <w:bCs/>
          <w:color w:val="000000"/>
          <w:sz w:val="32"/>
          <w:szCs w:val="32"/>
        </w:rPr>
      </w:pPr>
      <w:r>
        <w:rPr>
          <w:rFonts w:hint="eastAsia" w:ascii="仿宋_GB2312" w:hAnsi="TimesNewRomanPS-BoldMT" w:eastAsia="仿宋_GB2312"/>
          <w:bCs/>
          <w:color w:val="000000"/>
          <w:sz w:val="32"/>
          <w:szCs w:val="32"/>
        </w:rPr>
        <w:t>3、社会保障和就业（类）行政事业单位养老（款）机关事业单位基本养老保险缴费（项）202</w:t>
      </w:r>
      <w:r>
        <w:rPr>
          <w:rFonts w:hint="eastAsia" w:ascii="仿宋_GB2312" w:hAnsi="TimesNewRomanPS-BoldMT" w:eastAsia="仿宋_GB2312"/>
          <w:bCs/>
          <w:color w:val="000000"/>
          <w:sz w:val="32"/>
          <w:szCs w:val="32"/>
          <w:lang w:val="en-US" w:eastAsia="zh-CN"/>
        </w:rPr>
        <w:t>6</w:t>
      </w:r>
      <w:r>
        <w:rPr>
          <w:rFonts w:hint="eastAsia" w:ascii="仿宋_GB2312" w:hAnsi="TimesNewRomanPS-BoldMT" w:eastAsia="仿宋_GB2312"/>
          <w:bCs/>
          <w:color w:val="000000"/>
          <w:sz w:val="32"/>
          <w:szCs w:val="32"/>
        </w:rPr>
        <w:t>年预算数为</w:t>
      </w:r>
      <w:r>
        <w:rPr>
          <w:rFonts w:hint="eastAsia" w:ascii="仿宋_GB2312" w:hAnsi="TimesNewRomanPS-BoldMT" w:eastAsia="仿宋_GB2312"/>
          <w:bCs/>
          <w:color w:val="000000"/>
          <w:sz w:val="32"/>
          <w:szCs w:val="32"/>
          <w:lang w:val="en-US" w:eastAsia="zh-CN"/>
        </w:rPr>
        <w:t>30.01</w:t>
      </w:r>
      <w:r>
        <w:rPr>
          <w:rFonts w:hint="eastAsia" w:ascii="仿宋_GB2312" w:hAnsi="TimesNewRomanPS-BoldMT" w:eastAsia="仿宋_GB2312"/>
          <w:bCs/>
          <w:color w:val="000000"/>
          <w:sz w:val="32"/>
          <w:szCs w:val="32"/>
        </w:rPr>
        <w:t>万元，比20</w:t>
      </w:r>
      <w:r>
        <w:rPr>
          <w:rFonts w:hint="eastAsia" w:ascii="仿宋_GB2312" w:hAnsi="TimesNewRomanPS-BoldMT" w:eastAsia="仿宋_GB2312"/>
          <w:bCs/>
          <w:color w:val="000000"/>
          <w:sz w:val="32"/>
          <w:szCs w:val="32"/>
          <w:lang w:val="en-US" w:eastAsia="zh-CN"/>
        </w:rPr>
        <w:t>25</w:t>
      </w:r>
      <w:r>
        <w:rPr>
          <w:rFonts w:hint="eastAsia" w:ascii="仿宋_GB2312" w:hAnsi="TimesNewRomanPS-BoldMT" w:eastAsia="仿宋_GB2312"/>
          <w:bCs/>
          <w:color w:val="000000"/>
          <w:sz w:val="32"/>
          <w:szCs w:val="32"/>
        </w:rPr>
        <w:t>年预算28.01增加</w:t>
      </w:r>
      <w:r>
        <w:rPr>
          <w:rFonts w:hint="eastAsia" w:ascii="仿宋_GB2312" w:hAnsi="TimesNewRomanPS-BoldMT" w:eastAsia="仿宋_GB2312"/>
          <w:bCs/>
          <w:color w:val="000000"/>
          <w:sz w:val="32"/>
          <w:szCs w:val="32"/>
          <w:lang w:val="en-US" w:eastAsia="zh-CN"/>
        </w:rPr>
        <w:t>2</w:t>
      </w:r>
      <w:r>
        <w:rPr>
          <w:rFonts w:hint="eastAsia" w:ascii="仿宋_GB2312" w:hAnsi="TimesNewRomanPS-BoldMT" w:eastAsia="仿宋_GB2312"/>
          <w:bCs/>
          <w:color w:val="000000"/>
          <w:sz w:val="32"/>
          <w:szCs w:val="32"/>
        </w:rPr>
        <w:t>万元，主要原因是202</w:t>
      </w:r>
      <w:r>
        <w:rPr>
          <w:rFonts w:hint="eastAsia" w:ascii="仿宋_GB2312" w:hAnsi="TimesNewRomanPS-BoldMT" w:eastAsia="仿宋_GB2312"/>
          <w:bCs/>
          <w:color w:val="000000"/>
          <w:sz w:val="32"/>
          <w:szCs w:val="32"/>
          <w:lang w:val="en-US" w:eastAsia="zh-CN"/>
        </w:rPr>
        <w:t>6</w:t>
      </w:r>
      <w:r>
        <w:rPr>
          <w:rFonts w:hint="eastAsia" w:ascii="仿宋_GB2312" w:hAnsi="TimesNewRomanPS-BoldMT" w:eastAsia="仿宋_GB2312"/>
          <w:bCs/>
          <w:color w:val="000000"/>
          <w:sz w:val="32"/>
          <w:szCs w:val="32"/>
        </w:rPr>
        <w:t>年养老保险核定基数比202</w:t>
      </w:r>
      <w:r>
        <w:rPr>
          <w:rFonts w:hint="eastAsia" w:ascii="仿宋_GB2312" w:hAnsi="TimesNewRomanPS-BoldMT" w:eastAsia="仿宋_GB2312"/>
          <w:bCs/>
          <w:color w:val="000000"/>
          <w:sz w:val="32"/>
          <w:szCs w:val="32"/>
          <w:lang w:val="en-US" w:eastAsia="zh-CN"/>
        </w:rPr>
        <w:t>5</w:t>
      </w:r>
      <w:r>
        <w:rPr>
          <w:rFonts w:hint="eastAsia" w:ascii="仿宋_GB2312" w:hAnsi="TimesNewRomanPS-BoldMT" w:eastAsia="仿宋_GB2312"/>
          <w:bCs/>
          <w:color w:val="000000"/>
          <w:sz w:val="32"/>
          <w:szCs w:val="32"/>
        </w:rPr>
        <w:t>年增多。</w:t>
      </w:r>
    </w:p>
    <w:p w14:paraId="29D53CEA">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TimesNewRomanPS-BoldMT" w:eastAsia="仿宋_GB2312"/>
          <w:bCs/>
          <w:color w:val="000000"/>
          <w:sz w:val="32"/>
          <w:szCs w:val="32"/>
        </w:rPr>
      </w:pPr>
      <w:r>
        <w:rPr>
          <w:rFonts w:hint="eastAsia" w:ascii="仿宋_GB2312" w:hAnsi="TimesNewRomanPS-BoldMT" w:eastAsia="仿宋_GB2312"/>
          <w:bCs/>
          <w:color w:val="000000"/>
          <w:sz w:val="32"/>
          <w:szCs w:val="32"/>
        </w:rPr>
        <w:t>4、社会保障和就业（类）行政事业单位养老（款）机关事业单位职业年金缴费（项）202</w:t>
      </w:r>
      <w:r>
        <w:rPr>
          <w:rFonts w:hint="eastAsia" w:ascii="仿宋_GB2312" w:hAnsi="TimesNewRomanPS-BoldMT" w:eastAsia="仿宋_GB2312"/>
          <w:bCs/>
          <w:color w:val="000000"/>
          <w:sz w:val="32"/>
          <w:szCs w:val="32"/>
          <w:lang w:val="en-US" w:eastAsia="zh-CN"/>
        </w:rPr>
        <w:t>6</w:t>
      </w:r>
      <w:r>
        <w:rPr>
          <w:rFonts w:hint="eastAsia" w:ascii="仿宋_GB2312" w:hAnsi="TimesNewRomanPS-BoldMT" w:eastAsia="仿宋_GB2312"/>
          <w:bCs/>
          <w:color w:val="000000"/>
          <w:sz w:val="32"/>
          <w:szCs w:val="32"/>
        </w:rPr>
        <w:t>年预算数为</w:t>
      </w:r>
      <w:r>
        <w:rPr>
          <w:rFonts w:hint="eastAsia" w:ascii="仿宋_GB2312" w:hAnsi="TimesNewRomanPS-BoldMT" w:eastAsia="仿宋_GB2312"/>
          <w:bCs/>
          <w:color w:val="000000"/>
          <w:sz w:val="32"/>
          <w:szCs w:val="32"/>
          <w:lang w:val="en-US" w:eastAsia="zh-CN"/>
        </w:rPr>
        <w:t>15</w:t>
      </w:r>
      <w:r>
        <w:rPr>
          <w:rFonts w:hint="eastAsia" w:ascii="仿宋_GB2312" w:hAnsi="TimesNewRomanPS-BoldMT" w:eastAsia="仿宋_GB2312"/>
          <w:bCs/>
          <w:color w:val="000000"/>
          <w:sz w:val="32"/>
          <w:szCs w:val="32"/>
        </w:rPr>
        <w:t>万元，比202</w:t>
      </w:r>
      <w:r>
        <w:rPr>
          <w:rFonts w:hint="eastAsia" w:ascii="仿宋_GB2312" w:hAnsi="TimesNewRomanPS-BoldMT" w:eastAsia="仿宋_GB2312"/>
          <w:bCs/>
          <w:color w:val="000000"/>
          <w:sz w:val="32"/>
          <w:szCs w:val="32"/>
          <w:lang w:val="en-US" w:eastAsia="zh-CN"/>
        </w:rPr>
        <w:t>5</w:t>
      </w:r>
      <w:r>
        <w:rPr>
          <w:rFonts w:hint="eastAsia" w:ascii="仿宋_GB2312" w:hAnsi="TimesNewRomanPS-BoldMT" w:eastAsia="仿宋_GB2312"/>
          <w:bCs/>
          <w:color w:val="000000"/>
          <w:sz w:val="32"/>
          <w:szCs w:val="32"/>
        </w:rPr>
        <w:t>年预算</w:t>
      </w:r>
      <w:r>
        <w:rPr>
          <w:rFonts w:hint="eastAsia" w:ascii="仿宋_GB2312" w:hAnsi="TimesNewRomanPS-BoldMT" w:eastAsia="仿宋_GB2312"/>
          <w:bCs/>
          <w:color w:val="000000"/>
          <w:sz w:val="32"/>
          <w:szCs w:val="32"/>
          <w:lang w:val="en-US" w:eastAsia="zh-CN"/>
        </w:rPr>
        <w:t>14万元</w:t>
      </w:r>
      <w:r>
        <w:rPr>
          <w:rFonts w:hint="eastAsia" w:ascii="仿宋_GB2312" w:hAnsi="TimesNewRomanPS-BoldMT" w:eastAsia="仿宋_GB2312"/>
          <w:bCs/>
          <w:color w:val="000000"/>
          <w:sz w:val="32"/>
          <w:szCs w:val="32"/>
        </w:rPr>
        <w:t xml:space="preserve">增加 </w:t>
      </w:r>
      <w:r>
        <w:rPr>
          <w:rFonts w:hint="eastAsia" w:ascii="仿宋_GB2312" w:hAnsi="TimesNewRomanPS-BoldMT" w:eastAsia="仿宋_GB2312"/>
          <w:bCs/>
          <w:color w:val="000000"/>
          <w:sz w:val="32"/>
          <w:szCs w:val="32"/>
          <w:lang w:val="en-US" w:eastAsia="zh-CN"/>
        </w:rPr>
        <w:t>1</w:t>
      </w:r>
      <w:r>
        <w:rPr>
          <w:rFonts w:hint="eastAsia" w:ascii="仿宋_GB2312" w:hAnsi="TimesNewRomanPS-BoldMT" w:eastAsia="仿宋_GB2312"/>
          <w:bCs/>
          <w:color w:val="000000"/>
          <w:sz w:val="32"/>
          <w:szCs w:val="32"/>
        </w:rPr>
        <w:t>万元， 主要原因是202</w:t>
      </w:r>
      <w:r>
        <w:rPr>
          <w:rFonts w:hint="eastAsia" w:ascii="仿宋_GB2312" w:hAnsi="TimesNewRomanPS-BoldMT" w:eastAsia="仿宋_GB2312"/>
          <w:bCs/>
          <w:color w:val="000000"/>
          <w:sz w:val="32"/>
          <w:szCs w:val="32"/>
          <w:lang w:val="en-US" w:eastAsia="zh-CN"/>
        </w:rPr>
        <w:t>6</w:t>
      </w:r>
      <w:r>
        <w:rPr>
          <w:rFonts w:hint="eastAsia" w:ascii="仿宋_GB2312" w:hAnsi="TimesNewRomanPS-BoldMT" w:eastAsia="仿宋_GB2312"/>
          <w:bCs/>
          <w:color w:val="000000"/>
          <w:sz w:val="32"/>
          <w:szCs w:val="32"/>
        </w:rPr>
        <w:t>年职业年金核定基数比202</w:t>
      </w:r>
      <w:r>
        <w:rPr>
          <w:rFonts w:hint="eastAsia" w:ascii="仿宋_GB2312" w:hAnsi="TimesNewRomanPS-BoldMT" w:eastAsia="仿宋_GB2312"/>
          <w:bCs/>
          <w:color w:val="000000"/>
          <w:sz w:val="32"/>
          <w:szCs w:val="32"/>
          <w:lang w:val="en-US" w:eastAsia="zh-CN"/>
        </w:rPr>
        <w:t>5</w:t>
      </w:r>
      <w:r>
        <w:rPr>
          <w:rFonts w:hint="eastAsia" w:ascii="仿宋_GB2312" w:hAnsi="TimesNewRomanPS-BoldMT" w:eastAsia="仿宋_GB2312"/>
          <w:bCs/>
          <w:color w:val="000000"/>
          <w:sz w:val="32"/>
          <w:szCs w:val="32"/>
        </w:rPr>
        <w:t>年增多。</w:t>
      </w:r>
    </w:p>
    <w:p w14:paraId="7FA16BAE">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TimesNewRomanPS-BoldMT" w:eastAsia="仿宋_GB2312"/>
          <w:bCs/>
          <w:color w:val="000000"/>
          <w:sz w:val="32"/>
          <w:szCs w:val="32"/>
        </w:rPr>
      </w:pPr>
      <w:r>
        <w:rPr>
          <w:rFonts w:hint="eastAsia" w:ascii="仿宋_GB2312" w:hAnsi="TimesNewRomanPS-BoldMT" w:eastAsia="仿宋_GB2312"/>
          <w:bCs/>
          <w:color w:val="000000"/>
          <w:sz w:val="32"/>
          <w:szCs w:val="32"/>
        </w:rPr>
        <w:t>5、社会保障和就业（类）其他社会保障和就业（款）其他社会保障和就业（项）202</w:t>
      </w:r>
      <w:r>
        <w:rPr>
          <w:rFonts w:hint="eastAsia" w:ascii="仿宋_GB2312" w:hAnsi="TimesNewRomanPS-BoldMT" w:eastAsia="仿宋_GB2312"/>
          <w:bCs/>
          <w:color w:val="000000"/>
          <w:sz w:val="32"/>
          <w:szCs w:val="32"/>
          <w:lang w:val="en-US" w:eastAsia="zh-CN"/>
        </w:rPr>
        <w:t>6</w:t>
      </w:r>
      <w:r>
        <w:rPr>
          <w:rFonts w:hint="eastAsia" w:ascii="仿宋_GB2312" w:hAnsi="TimesNewRomanPS-BoldMT" w:eastAsia="仿宋_GB2312"/>
          <w:bCs/>
          <w:color w:val="000000"/>
          <w:sz w:val="32"/>
          <w:szCs w:val="32"/>
        </w:rPr>
        <w:t>年预算数为</w:t>
      </w:r>
      <w:r>
        <w:rPr>
          <w:rFonts w:hint="eastAsia" w:ascii="仿宋_GB2312" w:hAnsi="TimesNewRomanPS-BoldMT" w:eastAsia="仿宋_GB2312"/>
          <w:bCs/>
          <w:color w:val="000000"/>
          <w:sz w:val="32"/>
          <w:szCs w:val="32"/>
          <w:lang w:val="en-US" w:eastAsia="zh-CN"/>
        </w:rPr>
        <w:t>1.7</w:t>
      </w:r>
      <w:r>
        <w:rPr>
          <w:rFonts w:hint="eastAsia" w:ascii="仿宋_GB2312" w:hAnsi="TimesNewRomanPS-BoldMT" w:eastAsia="仿宋_GB2312"/>
          <w:bCs/>
          <w:color w:val="000000"/>
          <w:sz w:val="32"/>
          <w:szCs w:val="32"/>
        </w:rPr>
        <w:t>万元，比202</w:t>
      </w:r>
      <w:r>
        <w:rPr>
          <w:rFonts w:hint="eastAsia" w:ascii="仿宋_GB2312" w:hAnsi="TimesNewRomanPS-BoldMT" w:eastAsia="仿宋_GB2312"/>
          <w:bCs/>
          <w:color w:val="000000"/>
          <w:sz w:val="32"/>
          <w:szCs w:val="32"/>
          <w:lang w:val="en-US" w:eastAsia="zh-CN"/>
        </w:rPr>
        <w:t>5</w:t>
      </w:r>
      <w:r>
        <w:rPr>
          <w:rFonts w:hint="eastAsia" w:ascii="仿宋_GB2312" w:hAnsi="TimesNewRomanPS-BoldMT" w:eastAsia="仿宋_GB2312"/>
          <w:bCs/>
          <w:color w:val="000000"/>
          <w:sz w:val="32"/>
          <w:szCs w:val="32"/>
        </w:rPr>
        <w:t>年预算3.26万元</w:t>
      </w:r>
      <w:r>
        <w:rPr>
          <w:rFonts w:hint="eastAsia" w:ascii="仿宋_GB2312" w:hAnsi="TimesNewRomanPS-BoldMT" w:eastAsia="仿宋_GB2312"/>
          <w:bCs/>
          <w:color w:val="000000"/>
          <w:sz w:val="32"/>
          <w:szCs w:val="32"/>
          <w:lang w:val="en-US" w:eastAsia="zh-CN"/>
        </w:rPr>
        <w:t>减少1.56</w:t>
      </w:r>
      <w:r>
        <w:rPr>
          <w:rFonts w:hint="eastAsia" w:ascii="仿宋_GB2312" w:hAnsi="TimesNewRomanPS-BoldMT" w:eastAsia="仿宋_GB2312"/>
          <w:bCs/>
          <w:color w:val="000000"/>
          <w:sz w:val="32"/>
          <w:szCs w:val="32"/>
        </w:rPr>
        <w:t>万元，主要原因是202</w:t>
      </w:r>
      <w:r>
        <w:rPr>
          <w:rFonts w:hint="eastAsia" w:ascii="仿宋_GB2312" w:hAnsi="TimesNewRomanPS-BoldMT" w:eastAsia="仿宋_GB2312"/>
          <w:bCs/>
          <w:color w:val="000000"/>
          <w:sz w:val="32"/>
          <w:szCs w:val="32"/>
          <w:lang w:val="en-US" w:eastAsia="zh-CN"/>
        </w:rPr>
        <w:t>6</w:t>
      </w:r>
      <w:r>
        <w:rPr>
          <w:rFonts w:hint="eastAsia" w:ascii="仿宋_GB2312" w:hAnsi="TimesNewRomanPS-BoldMT" w:eastAsia="仿宋_GB2312"/>
          <w:bCs/>
          <w:color w:val="000000"/>
          <w:sz w:val="32"/>
          <w:szCs w:val="32"/>
        </w:rPr>
        <w:t>年增加残疾人保障金预算</w:t>
      </w:r>
      <w:r>
        <w:rPr>
          <w:rFonts w:hint="eastAsia" w:ascii="仿宋_GB2312" w:hAnsi="TimesNewRomanPS-BoldMT" w:eastAsia="仿宋_GB2312"/>
          <w:bCs/>
          <w:color w:val="000000"/>
          <w:sz w:val="32"/>
          <w:szCs w:val="32"/>
          <w:lang w:val="en-US" w:eastAsia="zh-CN"/>
        </w:rPr>
        <w:t>调整到</w:t>
      </w:r>
      <w:r>
        <w:rPr>
          <w:rFonts w:hint="eastAsia" w:ascii="仿宋_GB2312" w:hAnsi="TimesNewRomanPS-BoldMT" w:eastAsia="仿宋_GB2312"/>
          <w:bCs/>
          <w:color w:val="000000"/>
          <w:sz w:val="32"/>
          <w:szCs w:val="32"/>
        </w:rPr>
        <w:t>一般公共服务（类）统计信息事务（款）行政运行（项）</w:t>
      </w:r>
      <w:r>
        <w:rPr>
          <w:rFonts w:hint="eastAsia" w:ascii="仿宋_GB2312" w:hAnsi="TimesNewRomanPS-BoldMT" w:eastAsia="仿宋_GB2312"/>
          <w:bCs/>
          <w:color w:val="000000"/>
          <w:sz w:val="32"/>
          <w:szCs w:val="32"/>
          <w:lang w:val="en-US" w:eastAsia="zh-CN"/>
        </w:rPr>
        <w:t>里</w:t>
      </w:r>
      <w:r>
        <w:rPr>
          <w:rFonts w:hint="eastAsia" w:ascii="仿宋_GB2312" w:hAnsi="TimesNewRomanPS-BoldMT" w:eastAsia="仿宋_GB2312"/>
          <w:bCs/>
          <w:color w:val="000000"/>
          <w:sz w:val="32"/>
          <w:szCs w:val="32"/>
        </w:rPr>
        <w:t>。</w:t>
      </w:r>
    </w:p>
    <w:p w14:paraId="2FB613CD">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TimesNewRomanPS-BoldMT" w:eastAsia="仿宋_GB2312"/>
          <w:bCs/>
          <w:color w:val="000000"/>
          <w:sz w:val="32"/>
          <w:szCs w:val="32"/>
        </w:rPr>
      </w:pPr>
      <w:r>
        <w:rPr>
          <w:rFonts w:hint="eastAsia" w:ascii="仿宋_GB2312" w:hAnsi="TimesNewRomanPS-BoldMT" w:eastAsia="仿宋_GB2312"/>
          <w:bCs/>
          <w:color w:val="000000"/>
          <w:sz w:val="32"/>
          <w:szCs w:val="32"/>
        </w:rPr>
        <w:t>6、卫生健康（类）行政事业单位医疗（款）行政单位医疗（项）202</w:t>
      </w:r>
      <w:r>
        <w:rPr>
          <w:rFonts w:hint="eastAsia" w:ascii="仿宋_GB2312" w:hAnsi="TimesNewRomanPS-BoldMT" w:eastAsia="仿宋_GB2312"/>
          <w:bCs/>
          <w:color w:val="000000"/>
          <w:sz w:val="32"/>
          <w:szCs w:val="32"/>
          <w:lang w:val="en-US" w:eastAsia="zh-CN"/>
        </w:rPr>
        <w:t>6</w:t>
      </w:r>
      <w:r>
        <w:rPr>
          <w:rFonts w:hint="eastAsia" w:ascii="仿宋_GB2312" w:hAnsi="TimesNewRomanPS-BoldMT" w:eastAsia="仿宋_GB2312"/>
          <w:bCs/>
          <w:color w:val="000000"/>
          <w:sz w:val="32"/>
          <w:szCs w:val="32"/>
        </w:rPr>
        <w:t>年预算数为</w:t>
      </w:r>
      <w:r>
        <w:rPr>
          <w:rFonts w:hint="eastAsia" w:ascii="仿宋_GB2312" w:hAnsi="TimesNewRomanPS-BoldMT" w:eastAsia="仿宋_GB2312"/>
          <w:bCs/>
          <w:color w:val="000000"/>
          <w:sz w:val="32"/>
          <w:szCs w:val="32"/>
          <w:lang w:val="en-US" w:eastAsia="zh-CN"/>
        </w:rPr>
        <w:t>16.11</w:t>
      </w:r>
      <w:r>
        <w:rPr>
          <w:rFonts w:hint="eastAsia" w:ascii="仿宋_GB2312" w:hAnsi="TimesNewRomanPS-BoldMT" w:eastAsia="仿宋_GB2312"/>
          <w:bCs/>
          <w:color w:val="000000"/>
          <w:sz w:val="32"/>
          <w:szCs w:val="32"/>
        </w:rPr>
        <w:t>万元，比202</w:t>
      </w:r>
      <w:r>
        <w:rPr>
          <w:rFonts w:hint="eastAsia" w:ascii="仿宋_GB2312" w:hAnsi="TimesNewRomanPS-BoldMT" w:eastAsia="仿宋_GB2312"/>
          <w:bCs/>
          <w:color w:val="000000"/>
          <w:sz w:val="32"/>
          <w:szCs w:val="32"/>
          <w:lang w:val="en-US" w:eastAsia="zh-CN"/>
        </w:rPr>
        <w:t>5</w:t>
      </w:r>
      <w:r>
        <w:rPr>
          <w:rFonts w:hint="eastAsia" w:ascii="仿宋_GB2312" w:hAnsi="TimesNewRomanPS-BoldMT" w:eastAsia="仿宋_GB2312"/>
          <w:bCs/>
          <w:color w:val="000000"/>
          <w:sz w:val="32"/>
          <w:szCs w:val="32"/>
        </w:rPr>
        <w:t>年预算14.86万元</w:t>
      </w:r>
      <w:r>
        <w:rPr>
          <w:rFonts w:hint="eastAsia" w:ascii="仿宋_GB2312" w:hAnsi="TimesNewRomanPS-BoldMT" w:eastAsia="仿宋_GB2312"/>
          <w:bCs/>
          <w:color w:val="000000"/>
          <w:sz w:val="32"/>
          <w:szCs w:val="32"/>
          <w:lang w:val="en-US" w:eastAsia="zh-CN"/>
        </w:rPr>
        <w:t>增加1.25</w:t>
      </w:r>
      <w:r>
        <w:rPr>
          <w:rFonts w:hint="eastAsia" w:ascii="仿宋_GB2312" w:hAnsi="TimesNewRomanPS-BoldMT" w:eastAsia="仿宋_GB2312"/>
          <w:bCs/>
          <w:color w:val="000000"/>
          <w:sz w:val="32"/>
          <w:szCs w:val="32"/>
        </w:rPr>
        <w:t>万元，主要原因是202</w:t>
      </w:r>
      <w:r>
        <w:rPr>
          <w:rFonts w:hint="eastAsia" w:ascii="仿宋_GB2312" w:hAnsi="TimesNewRomanPS-BoldMT" w:eastAsia="仿宋_GB2312"/>
          <w:bCs/>
          <w:color w:val="000000"/>
          <w:sz w:val="32"/>
          <w:szCs w:val="32"/>
          <w:lang w:val="en-US" w:eastAsia="zh-CN"/>
        </w:rPr>
        <w:t>6</w:t>
      </w:r>
      <w:r>
        <w:rPr>
          <w:rFonts w:hint="eastAsia" w:ascii="仿宋_GB2312" w:hAnsi="TimesNewRomanPS-BoldMT" w:eastAsia="仿宋_GB2312"/>
          <w:bCs/>
          <w:color w:val="000000"/>
          <w:sz w:val="32"/>
          <w:szCs w:val="32"/>
        </w:rPr>
        <w:t>年医疗保险核定基数比2025年增多。。</w:t>
      </w:r>
    </w:p>
    <w:p w14:paraId="7540F29D">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TimesNewRomanPS-BoldMT" w:eastAsia="仿宋_GB2312"/>
          <w:bCs/>
          <w:color w:val="000000"/>
          <w:sz w:val="32"/>
          <w:szCs w:val="32"/>
        </w:rPr>
      </w:pPr>
      <w:r>
        <w:rPr>
          <w:rFonts w:hint="eastAsia" w:ascii="仿宋_GB2312" w:hAnsi="TimesNewRomanPS-BoldMT" w:eastAsia="仿宋_GB2312"/>
          <w:bCs/>
          <w:color w:val="000000"/>
          <w:sz w:val="32"/>
          <w:szCs w:val="32"/>
        </w:rPr>
        <w:t>7、住房保障（类）住房改革（款）住房公积金（项）202</w:t>
      </w:r>
      <w:r>
        <w:rPr>
          <w:rFonts w:hint="eastAsia" w:ascii="仿宋_GB2312" w:hAnsi="TimesNewRomanPS-BoldMT" w:eastAsia="仿宋_GB2312"/>
          <w:bCs/>
          <w:color w:val="000000"/>
          <w:sz w:val="32"/>
          <w:szCs w:val="32"/>
          <w:lang w:val="en-US" w:eastAsia="zh-CN"/>
        </w:rPr>
        <w:t>6</w:t>
      </w:r>
      <w:r>
        <w:rPr>
          <w:rFonts w:hint="eastAsia" w:ascii="仿宋_GB2312" w:hAnsi="TimesNewRomanPS-BoldMT" w:eastAsia="仿宋_GB2312"/>
          <w:bCs/>
          <w:color w:val="000000"/>
          <w:sz w:val="32"/>
          <w:szCs w:val="32"/>
        </w:rPr>
        <w:t>年预算数为</w:t>
      </w:r>
      <w:r>
        <w:rPr>
          <w:rFonts w:hint="eastAsia" w:ascii="仿宋_GB2312" w:hAnsi="TimesNewRomanPS-BoldMT" w:eastAsia="仿宋_GB2312"/>
          <w:bCs/>
          <w:color w:val="000000"/>
          <w:sz w:val="32"/>
          <w:szCs w:val="32"/>
          <w:lang w:val="en-US" w:eastAsia="zh-CN"/>
        </w:rPr>
        <w:t>22.51</w:t>
      </w:r>
      <w:r>
        <w:rPr>
          <w:rFonts w:hint="eastAsia" w:ascii="仿宋_GB2312" w:hAnsi="TimesNewRomanPS-BoldMT" w:eastAsia="仿宋_GB2312"/>
          <w:bCs/>
          <w:color w:val="000000"/>
          <w:sz w:val="32"/>
          <w:szCs w:val="32"/>
        </w:rPr>
        <w:t>万元，比202</w:t>
      </w:r>
      <w:r>
        <w:rPr>
          <w:rFonts w:hint="eastAsia" w:ascii="仿宋_GB2312" w:hAnsi="TimesNewRomanPS-BoldMT" w:eastAsia="仿宋_GB2312"/>
          <w:bCs/>
          <w:color w:val="000000"/>
          <w:sz w:val="32"/>
          <w:szCs w:val="32"/>
          <w:lang w:val="en-US" w:eastAsia="zh-CN"/>
        </w:rPr>
        <w:t>5</w:t>
      </w:r>
      <w:r>
        <w:rPr>
          <w:rFonts w:hint="eastAsia" w:ascii="仿宋_GB2312" w:hAnsi="TimesNewRomanPS-BoldMT" w:eastAsia="仿宋_GB2312"/>
          <w:bCs/>
          <w:color w:val="000000"/>
          <w:sz w:val="32"/>
          <w:szCs w:val="32"/>
        </w:rPr>
        <w:t>年预算21万元增加</w:t>
      </w:r>
      <w:r>
        <w:rPr>
          <w:rFonts w:hint="eastAsia" w:ascii="仿宋_GB2312" w:hAnsi="TimesNewRomanPS-BoldMT" w:eastAsia="仿宋_GB2312"/>
          <w:bCs/>
          <w:color w:val="000000"/>
          <w:sz w:val="32"/>
          <w:szCs w:val="32"/>
          <w:lang w:val="en-US" w:eastAsia="zh-CN"/>
        </w:rPr>
        <w:t>1.51</w:t>
      </w:r>
      <w:r>
        <w:rPr>
          <w:rFonts w:hint="eastAsia" w:ascii="仿宋_GB2312" w:hAnsi="TimesNewRomanPS-BoldMT" w:eastAsia="仿宋_GB2312"/>
          <w:bCs/>
          <w:color w:val="000000"/>
          <w:sz w:val="32"/>
          <w:szCs w:val="32"/>
        </w:rPr>
        <w:t>万元， 主要原因是202</w:t>
      </w:r>
      <w:r>
        <w:rPr>
          <w:rFonts w:hint="eastAsia" w:ascii="仿宋_GB2312" w:hAnsi="TimesNewRomanPS-BoldMT" w:eastAsia="仿宋_GB2312"/>
          <w:bCs/>
          <w:color w:val="000000"/>
          <w:sz w:val="32"/>
          <w:szCs w:val="32"/>
          <w:lang w:val="en-US" w:eastAsia="zh-CN"/>
        </w:rPr>
        <w:t>6</w:t>
      </w:r>
      <w:r>
        <w:rPr>
          <w:rFonts w:hint="eastAsia" w:ascii="仿宋_GB2312" w:hAnsi="TimesNewRomanPS-BoldMT" w:eastAsia="仿宋_GB2312"/>
          <w:bCs/>
          <w:color w:val="000000"/>
          <w:sz w:val="32"/>
          <w:szCs w:val="32"/>
        </w:rPr>
        <w:t>年预算公积金核定基数比202</w:t>
      </w:r>
      <w:r>
        <w:rPr>
          <w:rFonts w:hint="eastAsia" w:ascii="仿宋_GB2312" w:hAnsi="TimesNewRomanPS-BoldMT" w:eastAsia="仿宋_GB2312"/>
          <w:bCs/>
          <w:color w:val="000000"/>
          <w:sz w:val="32"/>
          <w:szCs w:val="32"/>
          <w:lang w:val="en-US" w:eastAsia="zh-CN"/>
        </w:rPr>
        <w:t>5</w:t>
      </w:r>
      <w:r>
        <w:rPr>
          <w:rFonts w:hint="eastAsia" w:ascii="仿宋_GB2312" w:hAnsi="TimesNewRomanPS-BoldMT" w:eastAsia="仿宋_GB2312"/>
          <w:bCs/>
          <w:color w:val="000000"/>
          <w:sz w:val="32"/>
          <w:szCs w:val="32"/>
        </w:rPr>
        <w:t>年增加。</w:t>
      </w:r>
    </w:p>
    <w:p w14:paraId="0A65071F">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五、</w:t>
      </w:r>
      <w:r>
        <w:rPr>
          <w:rFonts w:hint="eastAsia" w:ascii="黑体" w:hAnsi="黑体" w:eastAsia="黑体" w:cs="宋体"/>
          <w:kern w:val="0"/>
          <w:sz w:val="32"/>
          <w:szCs w:val="32"/>
          <w:lang w:eastAsia="zh-CN"/>
        </w:rPr>
        <w:t>单位</w:t>
      </w:r>
      <w:r>
        <w:rPr>
          <w:rFonts w:hint="eastAsia" w:ascii="黑体" w:hAnsi="黑体" w:eastAsia="黑体" w:cs="宋体"/>
          <w:kern w:val="0"/>
          <w:sz w:val="32"/>
          <w:szCs w:val="32"/>
        </w:rPr>
        <w:t>一般公共预算财政拨款“三公”经费、培训费、会议费等情况</w:t>
      </w:r>
    </w:p>
    <w:p w14:paraId="1A1EA64C">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6B52960A">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ascii="仿宋_GB2312" w:hAnsi="仿宋" w:eastAsia="仿宋_GB2312" w:cs="宋体"/>
          <w:b/>
          <w:kern w:val="0"/>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0.172</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0.006</w:t>
      </w:r>
      <w:r>
        <w:rPr>
          <w:rFonts w:hint="eastAsia" w:ascii="仿宋_GB2312" w:hAnsi="仿宋" w:eastAsia="仿宋_GB2312"/>
          <w:sz w:val="32"/>
          <w:szCs w:val="32"/>
        </w:rPr>
        <w:t>万元。</w:t>
      </w:r>
    </w:p>
    <w:p w14:paraId="2C1E118B">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1.因公出国（境）费用</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0F5E9B49">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2.公务接待费</w:t>
      </w:r>
      <w:r>
        <w:rPr>
          <w:rFonts w:hint="eastAsia" w:ascii="仿宋_GB2312" w:hAnsi="仿宋" w:eastAsia="仿宋_GB2312"/>
          <w:sz w:val="32"/>
          <w:szCs w:val="32"/>
          <w:lang w:val="en-US" w:eastAsia="zh-CN"/>
        </w:rPr>
        <w:t>0.172</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年预算减少0.006万元，下降0.01%，下降的主要原因是依据“三公”经费相关规定按照不低于3%的比例进行压减。</w:t>
      </w:r>
    </w:p>
    <w:p w14:paraId="6CC67525">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3.公务用车购置及运行维护费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3C18502F">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7ED815EF">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4.培训费</w:t>
      </w:r>
      <w:r>
        <w:rPr>
          <w:rFonts w:hint="eastAsia" w:ascii="仿宋_GB2312" w:hAnsi="仿宋" w:eastAsia="仿宋_GB2312"/>
          <w:sz w:val="32"/>
          <w:szCs w:val="32"/>
          <w:lang w:val="en-US" w:eastAsia="zh-CN"/>
        </w:rPr>
        <w:t>1.35</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持平</w:t>
      </w:r>
      <w:r>
        <w:rPr>
          <w:rFonts w:hint="eastAsia" w:ascii="仿宋_GB2312" w:hAnsi="仿宋" w:eastAsia="仿宋_GB2312"/>
          <w:sz w:val="32"/>
          <w:szCs w:val="32"/>
        </w:rPr>
        <w:t>。</w:t>
      </w:r>
    </w:p>
    <w:p w14:paraId="27BFF129">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0C1AA7BE">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eastAsia="仿宋_GB2312"/>
          <w:sz w:val="32"/>
          <w:szCs w:val="32"/>
        </w:rPr>
      </w:pPr>
      <w:r>
        <w:rPr>
          <w:rFonts w:hint="eastAsia" w:ascii="仿宋_GB2312" w:hAnsi="仿宋" w:eastAsia="仿宋_GB2312"/>
          <w:sz w:val="32"/>
          <w:szCs w:val="32"/>
        </w:rPr>
        <w:t>5.会议费</w:t>
      </w:r>
      <w:r>
        <w:rPr>
          <w:rFonts w:hint="eastAsia" w:ascii="仿宋_GB2312" w:hAnsi="仿宋" w:eastAsia="仿宋_GB2312"/>
          <w:sz w:val="32"/>
          <w:szCs w:val="32"/>
          <w:lang w:val="en-US" w:eastAsia="zh-CN"/>
        </w:rPr>
        <w:t>0.72</w:t>
      </w:r>
      <w:r>
        <w:rPr>
          <w:rFonts w:hint="eastAsia" w:ascii="仿宋_GB2312" w:hAnsi="仿宋" w:eastAsia="仿宋_GB2312"/>
          <w:sz w:val="32"/>
          <w:szCs w:val="32"/>
        </w:rPr>
        <w:t>万元，较2025年预算持平。</w:t>
      </w:r>
    </w:p>
    <w:p w14:paraId="7D35BB7E">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A2D2CF6">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机关运行经费</w:t>
      </w:r>
      <w:r>
        <w:rPr>
          <w:rFonts w:hint="eastAsia" w:ascii="仿宋_GB2312" w:hAnsi="仿宋" w:eastAsia="仿宋_GB2312"/>
          <w:sz w:val="32"/>
          <w:szCs w:val="32"/>
          <w:lang w:val="en-US" w:eastAsia="zh-CN"/>
        </w:rPr>
        <w:t>17.748</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4.372</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20</w:t>
      </w:r>
      <w:r>
        <w:rPr>
          <w:rFonts w:hint="eastAsia" w:ascii="仿宋_GB2312" w:hAnsi="仿宋" w:eastAsia="仿宋_GB2312"/>
          <w:sz w:val="32"/>
          <w:szCs w:val="32"/>
        </w:rPr>
        <w:t xml:space="preserve"> %，下降的主要原因是</w:t>
      </w:r>
      <w:r>
        <w:rPr>
          <w:rFonts w:hint="eastAsia" w:ascii="仿宋_GB2312" w:hAnsi="仿宋" w:eastAsia="仿宋_GB2312"/>
          <w:sz w:val="32"/>
          <w:szCs w:val="32"/>
          <w:lang w:val="en-US" w:eastAsia="zh-CN"/>
        </w:rPr>
        <w:t>福利费较上年减少</w:t>
      </w:r>
      <w:r>
        <w:rPr>
          <w:rFonts w:hint="eastAsia" w:ascii="仿宋_GB2312" w:hAnsi="仿宋" w:eastAsia="仿宋_GB2312"/>
          <w:sz w:val="32"/>
          <w:szCs w:val="32"/>
        </w:rPr>
        <w:t>。</w:t>
      </w:r>
    </w:p>
    <w:p w14:paraId="57B4FFAE">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73FD1C8A">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w:t>
      </w:r>
      <w:r>
        <w:rPr>
          <w:rFonts w:hint="eastAsia" w:ascii="仿宋_GB2312" w:hAnsi="仿宋" w:eastAsia="仿宋_GB2312"/>
          <w:sz w:val="32"/>
          <w:szCs w:val="32"/>
          <w:lang w:eastAsia="zh-CN"/>
        </w:rPr>
        <w:t>单位</w:t>
      </w:r>
      <w:r>
        <w:rPr>
          <w:rFonts w:hint="eastAsia" w:ascii="仿宋_GB2312" w:hAnsi="仿宋" w:eastAsia="仿宋_GB2312"/>
          <w:sz w:val="32"/>
          <w:szCs w:val="32"/>
        </w:rPr>
        <w:t>政府采购预算总额</w:t>
      </w:r>
      <w:r>
        <w:rPr>
          <w:rFonts w:hint="eastAsia" w:ascii="仿宋_GB2312" w:hAnsi="仿宋" w:eastAsia="仿宋_GB2312"/>
          <w:sz w:val="32"/>
          <w:szCs w:val="32"/>
          <w:lang w:val="en-US" w:eastAsia="zh-CN"/>
        </w:rPr>
        <w:t>58.72</w:t>
      </w:r>
      <w:r>
        <w:rPr>
          <w:rFonts w:hint="eastAsia" w:ascii="仿宋_GB2312" w:hAnsi="仿宋" w:eastAsia="仿宋_GB2312"/>
          <w:sz w:val="32"/>
          <w:szCs w:val="32"/>
        </w:rPr>
        <w:t>万元，其中：政府采购货物预算</w:t>
      </w:r>
      <w:r>
        <w:rPr>
          <w:rFonts w:hint="eastAsia" w:ascii="仿宋_GB2312" w:hAnsi="仿宋" w:eastAsia="仿宋_GB2312"/>
          <w:sz w:val="32"/>
          <w:szCs w:val="32"/>
          <w:lang w:val="en-US" w:eastAsia="zh-CN"/>
        </w:rPr>
        <w:t>58.72</w:t>
      </w:r>
      <w:r>
        <w:rPr>
          <w:rFonts w:hint="eastAsia" w:ascii="仿宋_GB2312" w:hAnsi="仿宋" w:eastAsia="仿宋_GB2312"/>
          <w:sz w:val="32"/>
          <w:szCs w:val="32"/>
        </w:rPr>
        <w:t>万元，政府采购工程预算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万元，政府采购服务预算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w:t>
      </w:r>
    </w:p>
    <w:p w14:paraId="51697EF6">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w:t>
      </w:r>
      <w:r>
        <w:rPr>
          <w:rFonts w:hint="eastAsia" w:ascii="仿宋_GB2312" w:hAnsi="仿宋" w:eastAsia="仿宋_GB2312"/>
          <w:sz w:val="32"/>
          <w:szCs w:val="32"/>
          <w:lang w:eastAsia="zh-CN"/>
        </w:rPr>
        <w:t>单位</w:t>
      </w:r>
      <w:r>
        <w:rPr>
          <w:rFonts w:hint="eastAsia" w:ascii="仿宋_GB2312" w:hAnsi="仿宋" w:eastAsia="仿宋_GB2312"/>
          <w:sz w:val="32"/>
          <w:szCs w:val="32"/>
        </w:rPr>
        <w:t>面向中小企业预留政府采购项目预算金额58.72万元，小微企业预留政府采购项目预算金额</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6A193527">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051FECE">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108.77</w:t>
      </w:r>
      <w:r>
        <w:rPr>
          <w:rFonts w:hint="eastAsia" w:ascii="仿宋_GB2312" w:hAnsi="仿宋" w:eastAsia="仿宋_GB2312"/>
          <w:sz w:val="32"/>
          <w:szCs w:val="32"/>
        </w:rPr>
        <w:t>万元。其中：办公用房</w:t>
      </w:r>
      <w:r>
        <w:rPr>
          <w:rFonts w:hint="eastAsia" w:ascii="仿宋_GB2312" w:hAnsi="仿宋" w:eastAsia="仿宋_GB2312"/>
          <w:sz w:val="32"/>
          <w:szCs w:val="32"/>
          <w:lang w:val="en-US" w:eastAsia="zh-CN"/>
        </w:rPr>
        <w:t>0</w:t>
      </w:r>
      <w:r>
        <w:rPr>
          <w:rFonts w:hint="eastAsia" w:ascii="仿宋_GB2312" w:hAnsi="仿宋" w:eastAsia="仿宋_GB2312"/>
          <w:sz w:val="32"/>
          <w:szCs w:val="32"/>
        </w:rPr>
        <w:t>平方米，价值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万元。预算</w:t>
      </w:r>
      <w:r>
        <w:rPr>
          <w:rFonts w:hint="eastAsia" w:ascii="仿宋_GB2312" w:hAnsi="仿宋" w:eastAsia="仿宋_GB2312"/>
          <w:sz w:val="32"/>
          <w:szCs w:val="32"/>
          <w:lang w:eastAsia="zh-CN"/>
        </w:rPr>
        <w:t>单位</w:t>
      </w:r>
      <w:r>
        <w:rPr>
          <w:rFonts w:hint="eastAsia" w:ascii="仿宋_GB2312" w:hAnsi="仿宋" w:eastAsia="仿宋_GB2312"/>
          <w:sz w:val="32"/>
          <w:szCs w:val="32"/>
        </w:rPr>
        <w:t>共有公务用车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rPr>
        <w:t>辆，价值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万元。单价20万元以上的设备价值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32.9</w:t>
      </w:r>
      <w:r>
        <w:rPr>
          <w:rFonts w:hint="eastAsia" w:ascii="仿宋_GB2312" w:hAnsi="仿宋" w:eastAsia="仿宋_GB2312"/>
          <w:sz w:val="32"/>
          <w:szCs w:val="32"/>
        </w:rPr>
        <w:t>万元。</w:t>
      </w:r>
    </w:p>
    <w:p w14:paraId="4AAB33A2">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3D308989">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14:paraId="792B6F08">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0C54ABC8">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本</w:t>
      </w:r>
      <w:r>
        <w:rPr>
          <w:rFonts w:hint="eastAsia" w:ascii="仿宋_GB2312" w:hAnsi="仿宋" w:eastAsia="仿宋_GB2312"/>
          <w:sz w:val="32"/>
          <w:szCs w:val="32"/>
          <w:lang w:eastAsia="zh-CN"/>
        </w:rPr>
        <w:t>单位202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09CA2645">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43D6BECF">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 w:eastAsia="仿宋_GB2312"/>
          <w:sz w:val="32"/>
          <w:szCs w:val="32"/>
        </w:rPr>
      </w:pPr>
      <w:r>
        <w:rPr>
          <w:rFonts w:hint="eastAsia" w:ascii="仿宋_GB2312" w:hAnsi="仿宋" w:eastAsia="仿宋_GB2312"/>
          <w:sz w:val="32"/>
          <w:szCs w:val="32"/>
        </w:rPr>
        <w:t>项目名称：城乡住户“一体化”记账户补助</w:t>
      </w:r>
    </w:p>
    <w:p w14:paraId="77C4DC90">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 w:eastAsia="仿宋_GB2312"/>
          <w:sz w:val="32"/>
          <w:szCs w:val="32"/>
        </w:rPr>
      </w:pPr>
      <w:r>
        <w:rPr>
          <w:rFonts w:hint="eastAsia" w:ascii="仿宋_GB2312" w:hAnsi="仿宋" w:eastAsia="仿宋_GB2312"/>
          <w:sz w:val="32"/>
          <w:szCs w:val="32"/>
        </w:rPr>
        <w:t>1、项目概况：城乡住户“一体化”记账户补助为全县记账户发放记账补助</w:t>
      </w:r>
    </w:p>
    <w:p w14:paraId="732A0DA5">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 w:eastAsia="仿宋_GB2312"/>
          <w:sz w:val="32"/>
          <w:szCs w:val="32"/>
        </w:rPr>
      </w:pPr>
      <w:r>
        <w:rPr>
          <w:rFonts w:hint="eastAsia" w:ascii="仿宋_GB2312" w:hAnsi="仿宋" w:eastAsia="仿宋_GB2312"/>
          <w:sz w:val="32"/>
          <w:szCs w:val="32"/>
        </w:rPr>
        <w:t>2、立项依据：庆政办发〔2012〕288号、华政办发〔2022〕15号</w:t>
      </w:r>
    </w:p>
    <w:p w14:paraId="73F7EC51">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 w:eastAsia="仿宋_GB2312"/>
          <w:sz w:val="32"/>
          <w:szCs w:val="32"/>
        </w:rPr>
      </w:pPr>
      <w:r>
        <w:rPr>
          <w:rFonts w:hint="eastAsia" w:ascii="仿宋_GB2312" w:hAnsi="仿宋" w:eastAsia="仿宋_GB2312"/>
          <w:sz w:val="32"/>
          <w:szCs w:val="32"/>
        </w:rPr>
        <w:t>3、实施主体：华池县统计局</w:t>
      </w:r>
    </w:p>
    <w:p w14:paraId="6A29A098">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 w:eastAsia="仿宋_GB2312"/>
          <w:sz w:val="32"/>
          <w:szCs w:val="32"/>
        </w:rPr>
      </w:pPr>
      <w:r>
        <w:rPr>
          <w:rFonts w:hint="eastAsia" w:ascii="仿宋_GB2312" w:hAnsi="仿宋" w:eastAsia="仿宋_GB2312"/>
          <w:sz w:val="32"/>
          <w:szCs w:val="32"/>
        </w:rPr>
        <w:t>4、实施周期：1年</w:t>
      </w:r>
    </w:p>
    <w:p w14:paraId="58193D2F">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 w:eastAsia="仿宋_GB2312"/>
          <w:sz w:val="32"/>
          <w:szCs w:val="32"/>
        </w:rPr>
      </w:pPr>
      <w:r>
        <w:rPr>
          <w:rFonts w:hint="eastAsia" w:ascii="仿宋_GB2312" w:hAnsi="仿宋" w:eastAsia="仿宋_GB2312"/>
          <w:sz w:val="32"/>
          <w:szCs w:val="32"/>
        </w:rPr>
        <w:t>5、实施计划：2025年发放城乡住户“一体化”记账户补助38.28万元</w:t>
      </w:r>
    </w:p>
    <w:p w14:paraId="0E80B51F">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 w:eastAsia="仿宋_GB2312"/>
          <w:sz w:val="32"/>
          <w:szCs w:val="32"/>
        </w:rPr>
      </w:pPr>
      <w:r>
        <w:rPr>
          <w:rFonts w:hint="eastAsia" w:ascii="仿宋_GB2312" w:hAnsi="仿宋" w:eastAsia="仿宋_GB2312"/>
          <w:sz w:val="32"/>
          <w:szCs w:val="32"/>
        </w:rPr>
        <w:t>6、年度预算安排：38.28万元</w:t>
      </w:r>
    </w:p>
    <w:p w14:paraId="1CE4C9D8">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rPr>
        <w:t xml:space="preserve">7、预期总体目标：住户调查主要反映居民家庭收入和支出状况，开展城乡住户调查一体化改革和全面推广电子记账工作，有利于准确完整地提供全体居民收入更好的满足党和政府了解居民生活状况信息。    </w:t>
      </w:r>
      <w:r>
        <w:rPr>
          <w:rFonts w:hint="eastAsia" w:ascii="仿宋_GB2312" w:hAnsi="仿宋" w:eastAsia="仿宋_GB2312"/>
          <w:sz w:val="32"/>
          <w:szCs w:val="32"/>
          <w:lang w:val="en-US" w:eastAsia="zh-CN"/>
        </w:rPr>
        <w:t xml:space="preserve">      </w:t>
      </w:r>
    </w:p>
    <w:p w14:paraId="51BD7EBF">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5F6CF6AA">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未安排预算，</w:t>
      </w:r>
      <w:r>
        <w:rPr>
          <w:rFonts w:hint="eastAsia" w:ascii="仿宋_GB2312" w:hAnsi="仿宋" w:eastAsia="仿宋_GB2312"/>
          <w:sz w:val="32"/>
          <w:szCs w:val="32"/>
          <w:lang w:eastAsia="zh-CN"/>
        </w:rPr>
        <w:t>单位</w:t>
      </w:r>
      <w:r>
        <w:rPr>
          <w:rFonts w:hint="eastAsia" w:ascii="仿宋_GB2312" w:hAnsi="仿宋" w:eastAsia="仿宋_GB2312"/>
          <w:sz w:val="32"/>
          <w:szCs w:val="32"/>
        </w:rPr>
        <w:t>管理转移支付表为空表。</w:t>
      </w:r>
    </w:p>
    <w:p w14:paraId="57061121">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1565C8AE">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1ED9B130">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545CA32B">
      <w:pPr>
        <w:keepNext w:val="0"/>
        <w:keepLines w:val="0"/>
        <w:pageBreakBefore w:val="0"/>
        <w:widowControl/>
        <w:kinsoku/>
        <w:wordWrap/>
        <w:overflowPunct/>
        <w:topLinePunct w:val="0"/>
        <w:autoSpaceDE/>
        <w:autoSpaceDN/>
        <w:bidi w:val="0"/>
        <w:adjustRightInd w:val="0"/>
        <w:snapToGrid w:val="0"/>
        <w:spacing w:line="560" w:lineRule="exact"/>
        <w:ind w:firstLine="643" w:firstLineChars="200"/>
        <w:contextualSpacing/>
        <w:jc w:val="left"/>
        <w:textAlignment w:val="auto"/>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lang w:eastAsia="zh-CN"/>
        </w:rPr>
        <w:t>单位</w:t>
      </w:r>
      <w:r>
        <w:rPr>
          <w:rFonts w:hint="eastAsia" w:ascii="仿宋_GB2312" w:hAnsi="仿宋" w:eastAsia="仿宋_GB2312"/>
          <w:sz w:val="32"/>
          <w:szCs w:val="32"/>
        </w:rPr>
        <w:t>整体支出和项目绩效目标</w:t>
      </w:r>
      <w:r>
        <w:rPr>
          <w:rFonts w:hint="eastAsia" w:ascii="仿宋_GB2312" w:hAnsi="仿宋" w:eastAsia="仿宋_GB2312"/>
          <w:sz w:val="32"/>
          <w:szCs w:val="32"/>
          <w:lang w:val="en-US" w:eastAsia="zh-CN"/>
        </w:rPr>
        <w:t>9</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8</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58BC8623">
      <w:pPr>
        <w:keepNext w:val="0"/>
        <w:keepLines w:val="0"/>
        <w:pageBreakBefore w:val="0"/>
        <w:widowControl/>
        <w:kinsoku/>
        <w:wordWrap/>
        <w:overflowPunct/>
        <w:topLinePunct w:val="0"/>
        <w:autoSpaceDE/>
        <w:autoSpaceDN/>
        <w:bidi w:val="0"/>
        <w:adjustRightInd w:val="0"/>
        <w:snapToGrid w:val="0"/>
        <w:spacing w:line="560" w:lineRule="exact"/>
        <w:ind w:firstLine="643" w:firstLineChars="200"/>
        <w:contextualSpacing/>
        <w:jc w:val="left"/>
        <w:textAlignment w:val="auto"/>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val="en-US" w:eastAsia="zh-CN"/>
        </w:rPr>
        <w:t>7</w:t>
      </w:r>
      <w:r>
        <w:rPr>
          <w:rFonts w:hint="eastAsia" w:ascii="仿宋_GB2312" w:hAnsi="仿宋" w:eastAsia="仿宋_GB2312"/>
          <w:sz w:val="32"/>
          <w:szCs w:val="32"/>
        </w:rPr>
        <w:t>月，组织开展</w:t>
      </w:r>
      <w:r>
        <w:rPr>
          <w:rFonts w:hint="eastAsia" w:ascii="仿宋_GB2312" w:hAnsi="仿宋" w:eastAsia="仿宋_GB2312"/>
          <w:sz w:val="32"/>
          <w:szCs w:val="32"/>
          <w:lang w:val="en-US" w:eastAsia="zh-CN"/>
        </w:rPr>
        <w:t>1-6</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10</w:t>
      </w:r>
      <w:r>
        <w:rPr>
          <w:rFonts w:hint="eastAsia" w:ascii="仿宋_GB2312" w:hAnsi="仿宋" w:eastAsia="仿宋_GB2312"/>
          <w:sz w:val="32"/>
          <w:szCs w:val="32"/>
        </w:rPr>
        <w:t>个，占本</w:t>
      </w:r>
      <w:r>
        <w:rPr>
          <w:rFonts w:hint="eastAsia" w:ascii="仿宋_GB2312" w:hAnsi="CIDFont+F6" w:eastAsia="仿宋_GB2312"/>
          <w:color w:val="000000"/>
          <w:sz w:val="32"/>
          <w:szCs w:val="32"/>
          <w:lang w:eastAsia="zh-CN"/>
        </w:rPr>
        <w:t>单位</w:t>
      </w:r>
      <w:r>
        <w:rPr>
          <w:rFonts w:hint="eastAsia" w:ascii="仿宋_GB2312" w:hAnsi="仿宋" w:eastAsia="仿宋_GB2312"/>
          <w:sz w:val="32"/>
          <w:szCs w:val="32"/>
        </w:rPr>
        <w:t xml:space="preserve">项目的 </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w:t>
      </w:r>
      <w:r>
        <w:rPr>
          <w:rFonts w:hint="eastAsia" w:ascii="仿宋_GB2312" w:hAnsi="仿宋" w:eastAsia="仿宋_GB2312"/>
          <w:sz w:val="32"/>
          <w:szCs w:val="32"/>
          <w:lang w:val="en-US" w:eastAsia="zh-CN"/>
        </w:rPr>
        <w:t>7</w:t>
      </w:r>
      <w:r>
        <w:rPr>
          <w:rFonts w:hint="eastAsia" w:ascii="仿宋_GB2312" w:hAnsi="仿宋" w:eastAsia="仿宋_GB2312"/>
          <w:sz w:val="32"/>
          <w:szCs w:val="32"/>
        </w:rPr>
        <w:t>月底，如期完成预算执行和绩效目标指标值的项目</w:t>
      </w:r>
      <w:r>
        <w:rPr>
          <w:rFonts w:hint="eastAsia" w:ascii="仿宋_GB2312" w:hAnsi="仿宋" w:eastAsia="仿宋_GB2312"/>
          <w:sz w:val="32"/>
          <w:szCs w:val="32"/>
          <w:lang w:val="en-US" w:eastAsia="zh-CN"/>
        </w:rPr>
        <w:t>10</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%。“双监控”发现存在的问题和主要原因是：本单位对项目支出绩效目标和预算执行过程中发现的预算执行进度偏慢、支出率偏低。开展</w:t>
      </w:r>
      <w:r>
        <w:rPr>
          <w:rFonts w:hint="eastAsia" w:ascii="仿宋_GB2312" w:hAnsi="仿宋" w:eastAsia="仿宋_GB2312"/>
          <w:sz w:val="32"/>
          <w:szCs w:val="32"/>
          <w:lang w:val="en-US" w:eastAsia="zh-CN"/>
        </w:rPr>
        <w:t>1-9</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10</w:t>
      </w:r>
      <w:r>
        <w:rPr>
          <w:rFonts w:hint="eastAsia" w:ascii="仿宋_GB2312" w:hAnsi="仿宋" w:eastAsia="仿宋_GB2312"/>
          <w:sz w:val="32"/>
          <w:szCs w:val="32"/>
        </w:rPr>
        <w:t>个，占本</w:t>
      </w:r>
      <w:r>
        <w:rPr>
          <w:rFonts w:hint="eastAsia" w:ascii="仿宋_GB2312" w:hAnsi="仿宋" w:eastAsia="仿宋_GB2312"/>
          <w:sz w:val="32"/>
          <w:szCs w:val="32"/>
          <w:lang w:eastAsia="zh-CN"/>
        </w:rPr>
        <w:t>单位</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%。截至10月底，如期完成预算执行和绩效目标指标值的项目</w:t>
      </w:r>
      <w:r>
        <w:rPr>
          <w:rFonts w:hint="eastAsia" w:ascii="仿宋_GB2312" w:hAnsi="仿宋" w:eastAsia="仿宋_GB2312"/>
          <w:sz w:val="32"/>
          <w:szCs w:val="32"/>
          <w:lang w:val="en-US" w:eastAsia="zh-CN"/>
        </w:rPr>
        <w:t>10</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本单位对项目支出绩效目标和预算执行过程中发现的预算执行进度偏慢、支出率偏低。绩效运行监控在部门内部通报整改情况：一是预算编制和执行过程中的科学性和严肃性需要进一步加强；二是加强资金使用管理，严格按照预算规定进行资金的审核、支付及财务核算；三是加强支出进度，开展项目进度和资金拨付进度实施监控。</w:t>
      </w:r>
    </w:p>
    <w:p w14:paraId="034CF0D6">
      <w:pPr>
        <w:keepNext w:val="0"/>
        <w:keepLines w:val="0"/>
        <w:pageBreakBefore w:val="0"/>
        <w:widowControl/>
        <w:kinsoku/>
        <w:wordWrap/>
        <w:overflowPunct/>
        <w:topLinePunct w:val="0"/>
        <w:autoSpaceDE/>
        <w:autoSpaceDN/>
        <w:bidi w:val="0"/>
        <w:adjustRightInd w:val="0"/>
        <w:snapToGrid w:val="0"/>
        <w:spacing w:line="560" w:lineRule="exact"/>
        <w:ind w:firstLine="643" w:firstLineChars="200"/>
        <w:contextualSpacing/>
        <w:jc w:val="left"/>
        <w:textAlignment w:val="auto"/>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个，其中，</w:t>
      </w:r>
      <w:r>
        <w:rPr>
          <w:rFonts w:hint="eastAsia" w:ascii="仿宋_GB2312" w:hAnsi="仿宋" w:eastAsia="仿宋_GB2312"/>
          <w:sz w:val="32"/>
          <w:szCs w:val="32"/>
          <w:lang w:eastAsia="zh-CN"/>
        </w:rPr>
        <w:t>单位</w:t>
      </w:r>
      <w:r>
        <w:rPr>
          <w:rFonts w:hint="eastAsia" w:ascii="仿宋_GB2312" w:hAnsi="仿宋" w:eastAsia="仿宋_GB2312"/>
          <w:sz w:val="32"/>
          <w:szCs w:val="32"/>
        </w:rPr>
        <w:t>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0</w:t>
      </w:r>
      <w:r>
        <w:rPr>
          <w:rFonts w:hint="eastAsia" w:ascii="仿宋_GB2312" w:hAnsi="仿宋" w:eastAsia="仿宋_GB2312"/>
          <w:sz w:val="32"/>
          <w:szCs w:val="32"/>
        </w:rPr>
        <w:t>个，转移支付项目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%。绩效自评结果随部门决算报送财政和随决算公开情况：2025年度绩效</w:t>
      </w:r>
      <w:r>
        <w:rPr>
          <w:rFonts w:hint="eastAsia" w:ascii="仿宋_GB2312" w:hAnsi="仿宋" w:eastAsia="仿宋_GB2312"/>
          <w:sz w:val="32"/>
          <w:szCs w:val="32"/>
          <w:lang w:val="en-US" w:eastAsia="zh-CN"/>
        </w:rPr>
        <w:t>自评结果</w:t>
      </w:r>
      <w:r>
        <w:rPr>
          <w:rFonts w:hint="eastAsia" w:ascii="仿宋_GB2312" w:hAnsi="仿宋" w:eastAsia="仿宋_GB2312"/>
          <w:sz w:val="32"/>
          <w:szCs w:val="32"/>
        </w:rPr>
        <w:t>，随</w:t>
      </w:r>
      <w:bookmarkStart w:id="0" w:name="_GoBack"/>
      <w:bookmarkEnd w:id="0"/>
      <w:r>
        <w:rPr>
          <w:rFonts w:hint="eastAsia" w:ascii="仿宋_GB2312" w:hAnsi="仿宋" w:eastAsia="仿宋_GB2312"/>
          <w:sz w:val="32"/>
          <w:szCs w:val="32"/>
        </w:rPr>
        <w:t>部门决算报送财政并随决算公开。</w:t>
      </w:r>
    </w:p>
    <w:p w14:paraId="1B5CB531">
      <w:pPr>
        <w:keepNext w:val="0"/>
        <w:keepLines w:val="0"/>
        <w:pageBreakBefore w:val="0"/>
        <w:widowControl/>
        <w:kinsoku/>
        <w:wordWrap/>
        <w:overflowPunct/>
        <w:topLinePunct w:val="0"/>
        <w:autoSpaceDE/>
        <w:autoSpaceDN/>
        <w:bidi w:val="0"/>
        <w:adjustRightInd w:val="0"/>
        <w:snapToGrid w:val="0"/>
        <w:spacing w:line="560" w:lineRule="exact"/>
        <w:ind w:firstLine="643" w:firstLineChars="200"/>
        <w:contextualSpacing/>
        <w:jc w:val="left"/>
        <w:textAlignment w:val="auto"/>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年度减少部门预算项目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w:t>
      </w:r>
      <w:r>
        <w:rPr>
          <w:rFonts w:hint="eastAsia" w:ascii="仿宋_GB2312" w:hAnsi="仿宋" w:eastAsia="仿宋_GB2312"/>
          <w:sz w:val="32"/>
          <w:szCs w:val="32"/>
          <w:lang w:val="en-US" w:eastAsia="zh-CN"/>
        </w:rPr>
        <w:t>增加部门预算项目1个，</w:t>
      </w:r>
      <w:r>
        <w:rPr>
          <w:rFonts w:hint="eastAsia" w:ascii="仿宋_GB2312" w:hAnsi="仿宋" w:eastAsia="仿宋_GB2312"/>
          <w:sz w:val="32"/>
          <w:szCs w:val="32"/>
        </w:rPr>
        <w:t>增长率</w:t>
      </w:r>
      <w:r>
        <w:rPr>
          <w:rFonts w:hint="eastAsia" w:ascii="仿宋_GB2312" w:hAnsi="仿宋" w:eastAsia="仿宋_GB2312"/>
          <w:sz w:val="32"/>
          <w:szCs w:val="32"/>
          <w:lang w:val="en-US" w:eastAsia="zh-CN"/>
        </w:rPr>
        <w:t>0</w:t>
      </w:r>
      <w:r>
        <w:rPr>
          <w:rFonts w:hint="eastAsia" w:ascii="仿宋_GB2312" w:hAnsi="仿宋" w:eastAsia="仿宋_GB2312"/>
          <w:sz w:val="32"/>
          <w:szCs w:val="32"/>
        </w:rPr>
        <w:t>%。同时对政策和项目资金管理作出调整的</w:t>
      </w:r>
      <w:r>
        <w:rPr>
          <w:rFonts w:hint="eastAsia" w:ascii="仿宋_GB2312" w:hAnsi="仿宋" w:eastAsia="仿宋_GB2312"/>
          <w:sz w:val="32"/>
          <w:szCs w:val="32"/>
          <w:lang w:val="en-US" w:eastAsia="zh-CN"/>
        </w:rPr>
        <w:t>0</w:t>
      </w:r>
      <w:r>
        <w:rPr>
          <w:rFonts w:hint="eastAsia" w:ascii="仿宋_GB2312" w:hAnsi="仿宋" w:eastAsia="仿宋_GB2312"/>
          <w:sz w:val="32"/>
          <w:szCs w:val="32"/>
        </w:rPr>
        <w:t>个。</w:t>
      </w:r>
    </w:p>
    <w:p w14:paraId="7067FDF0">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ED3C404">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w:t>
      </w:r>
      <w:r>
        <w:rPr>
          <w:rFonts w:hint="eastAsia" w:ascii="仿宋_GB2312" w:hAnsi="仿宋" w:eastAsia="仿宋_GB2312"/>
          <w:sz w:val="32"/>
          <w:szCs w:val="32"/>
          <w:lang w:eastAsia="zh-CN"/>
        </w:rPr>
        <w:t>单位</w:t>
      </w:r>
      <w:r>
        <w:rPr>
          <w:rFonts w:hint="eastAsia" w:ascii="仿宋_GB2312" w:hAnsi="仿宋" w:eastAsia="仿宋_GB2312"/>
          <w:sz w:val="32"/>
          <w:szCs w:val="32"/>
        </w:rPr>
        <w:t>预算绩效目标管理的项目</w:t>
      </w:r>
      <w:r>
        <w:rPr>
          <w:rFonts w:hint="eastAsia" w:ascii="仿宋_GB2312" w:hAnsi="仿宋" w:eastAsia="仿宋_GB2312"/>
          <w:sz w:val="32"/>
          <w:szCs w:val="32"/>
          <w:lang w:val="en-US" w:eastAsia="zh-CN"/>
        </w:rPr>
        <w:t>5</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14</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27</w:t>
      </w:r>
      <w:r>
        <w:rPr>
          <w:rFonts w:hint="eastAsia" w:ascii="仿宋_GB2312" w:hAnsi="仿宋" w:eastAsia="仿宋_GB2312"/>
          <w:sz w:val="32"/>
          <w:szCs w:val="32"/>
        </w:rPr>
        <w:t>个；项目支出绩效目标围绕成本指标、产出指标、效益指标、满意度指标四个维度，设置二级指标</w:t>
      </w:r>
      <w:r>
        <w:rPr>
          <w:rFonts w:hint="eastAsia" w:ascii="仿宋_GB2312" w:hAnsi="仿宋" w:eastAsia="仿宋_GB2312"/>
          <w:sz w:val="32"/>
          <w:szCs w:val="32"/>
          <w:lang w:val="en-US" w:eastAsia="zh-CN"/>
        </w:rPr>
        <w:t>30</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58</w:t>
      </w:r>
      <w:r>
        <w:rPr>
          <w:rFonts w:hint="eastAsia" w:ascii="仿宋_GB2312" w:hAnsi="仿宋" w:eastAsia="仿宋_GB2312"/>
          <w:sz w:val="32"/>
          <w:szCs w:val="32"/>
        </w:rPr>
        <w:t>个。各项绩效目标内容指向明确、细化量化、合理可行，符合规定的格式要求。</w:t>
      </w:r>
    </w:p>
    <w:p w14:paraId="1B6BE290">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lang w:eastAsia="zh-CN"/>
        </w:rPr>
        <w:t>单位</w:t>
      </w:r>
      <w:r>
        <w:rPr>
          <w:rFonts w:hint="eastAsia" w:ascii="仿宋_GB2312" w:hAnsi="CIDFont+F6" w:eastAsia="仿宋_GB2312"/>
          <w:color w:val="000000"/>
          <w:sz w:val="32"/>
          <w:szCs w:val="32"/>
        </w:rPr>
        <w:t>支出预算的组成部分，是各</w:t>
      </w:r>
      <w:r>
        <w:rPr>
          <w:rFonts w:hint="eastAsia" w:ascii="仿宋_GB2312" w:hAnsi="CIDFont+F6" w:eastAsia="仿宋_GB2312"/>
          <w:color w:val="000000"/>
          <w:sz w:val="32"/>
          <w:szCs w:val="32"/>
          <w:lang w:eastAsia="zh-CN"/>
        </w:rPr>
        <w:t>单位</w:t>
      </w:r>
      <w:r>
        <w:rPr>
          <w:rFonts w:hint="eastAsia" w:ascii="仿宋_GB2312" w:hAnsi="CIDFont+F6" w:eastAsia="仿宋_GB2312"/>
          <w:color w:val="000000"/>
          <w:sz w:val="32"/>
          <w:szCs w:val="32"/>
        </w:rPr>
        <w:t>为完成其特定的行政任务或事业发展目标，在基本支出预算之外编制的年度项目支出计划。</w:t>
      </w:r>
    </w:p>
    <w:p w14:paraId="3E4D9AA1">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CA7FF0F">
      <w:pPr>
        <w:keepNext w:val="0"/>
        <w:keepLines w:val="0"/>
        <w:pageBreakBefore w:val="0"/>
        <w:kinsoku/>
        <w:wordWrap/>
        <w:overflowPunct/>
        <w:topLinePunct w:val="0"/>
        <w:autoSpaceDE/>
        <w:autoSpaceDN/>
        <w:bidi w:val="0"/>
        <w:adjustRightInd w:val="0"/>
        <w:snapToGrid w:val="0"/>
        <w:spacing w:line="560" w:lineRule="exact"/>
        <w:ind w:firstLine="643" w:firstLineChars="200"/>
        <w:contextualSpacing/>
        <w:textAlignment w:val="auto"/>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18C50624">
      <w:pPr>
        <w:keepNext w:val="0"/>
        <w:keepLines w:val="0"/>
        <w:pageBreakBefore w:val="0"/>
        <w:kinsoku/>
        <w:wordWrap/>
        <w:overflowPunct/>
        <w:topLinePunct w:val="0"/>
        <w:autoSpaceDE/>
        <w:autoSpaceDN/>
        <w:bidi w:val="0"/>
        <w:adjustRightInd w:val="0"/>
        <w:snapToGrid w:val="0"/>
        <w:spacing w:line="560" w:lineRule="exact"/>
        <w:contextualSpacing/>
        <w:jc w:val="right"/>
        <w:textAlignment w:val="auto"/>
        <w:rPr>
          <w:rFonts w:hint="eastAsia" w:ascii="仿宋_GB2312" w:hAnsi="CIDFont+F6" w:eastAsia="仿宋_GB2312"/>
          <w:color w:val="000000"/>
          <w:sz w:val="32"/>
          <w:szCs w:val="32"/>
        </w:rPr>
      </w:pPr>
    </w:p>
    <w:p w14:paraId="453FCEBD">
      <w:pPr>
        <w:keepNext w:val="0"/>
        <w:keepLines w:val="0"/>
        <w:pageBreakBefore w:val="0"/>
        <w:kinsoku/>
        <w:wordWrap/>
        <w:overflowPunct/>
        <w:topLinePunct w:val="0"/>
        <w:autoSpaceDE/>
        <w:autoSpaceDN/>
        <w:bidi w:val="0"/>
        <w:adjustRightInd w:val="0"/>
        <w:snapToGrid w:val="0"/>
        <w:spacing w:line="560" w:lineRule="exact"/>
        <w:contextualSpacing/>
        <w:jc w:val="right"/>
        <w:textAlignment w:val="auto"/>
        <w:rPr>
          <w:rFonts w:hint="eastAsia" w:ascii="仿宋_GB2312" w:hAnsi="CIDFont+F6" w:eastAsia="仿宋_GB2312"/>
          <w:color w:val="000000"/>
          <w:sz w:val="32"/>
          <w:szCs w:val="32"/>
        </w:rPr>
      </w:pPr>
    </w:p>
    <w:p w14:paraId="0526D602">
      <w:pPr>
        <w:keepNext w:val="0"/>
        <w:keepLines w:val="0"/>
        <w:pageBreakBefore w:val="0"/>
        <w:kinsoku/>
        <w:wordWrap/>
        <w:overflowPunct/>
        <w:topLinePunct w:val="0"/>
        <w:autoSpaceDE/>
        <w:autoSpaceDN/>
        <w:bidi w:val="0"/>
        <w:adjustRightInd w:val="0"/>
        <w:snapToGrid w:val="0"/>
        <w:spacing w:line="560" w:lineRule="exact"/>
        <w:ind w:right="1120"/>
        <w:contextualSpacing/>
        <w:jc w:val="right"/>
        <w:textAlignment w:val="auto"/>
        <w:rPr>
          <w:rFonts w:hint="eastAsia" w:ascii="仿宋_GB2312" w:hAnsi="CIDFont+F6" w:eastAsia="仿宋_GB2312"/>
          <w:color w:val="000000"/>
          <w:sz w:val="32"/>
          <w:szCs w:val="32"/>
          <w:lang w:val="en-US" w:eastAsia="zh-CN"/>
        </w:rPr>
      </w:pPr>
      <w:r>
        <w:rPr>
          <w:rFonts w:hint="eastAsia" w:ascii="仿宋_GB2312" w:hAnsi="CIDFont+F6" w:eastAsia="仿宋_GB2312"/>
          <w:color w:val="000000"/>
          <w:sz w:val="32"/>
          <w:szCs w:val="32"/>
          <w:lang w:val="en-US" w:eastAsia="zh-CN"/>
        </w:rPr>
        <w:t>华池县统计局</w:t>
      </w:r>
    </w:p>
    <w:p w14:paraId="77E85168">
      <w:pPr>
        <w:keepNext w:val="0"/>
        <w:keepLines w:val="0"/>
        <w:pageBreakBefore w:val="0"/>
        <w:kinsoku/>
        <w:wordWrap/>
        <w:overflowPunct/>
        <w:topLinePunct w:val="0"/>
        <w:autoSpaceDE/>
        <w:autoSpaceDN/>
        <w:bidi w:val="0"/>
        <w:adjustRightInd w:val="0"/>
        <w:snapToGrid w:val="0"/>
        <w:spacing w:line="560" w:lineRule="exact"/>
        <w:ind w:right="1120"/>
        <w:contextualSpacing/>
        <w:jc w:val="right"/>
        <w:textAlignment w:val="auto"/>
        <w:rPr>
          <w:rFonts w:ascii="仿宋_GB2312" w:eastAsia="仿宋_GB2312"/>
          <w:sz w:val="32"/>
          <w:szCs w:val="32"/>
        </w:rPr>
      </w:pPr>
      <w:r>
        <w:rPr>
          <w:rFonts w:hint="eastAsia" w:ascii="仿宋_GB2312" w:hAnsi="CIDFont+F6" w:eastAsia="仿宋_GB2312"/>
          <w:color w:val="000000"/>
          <w:sz w:val="32"/>
          <w:szCs w:val="32"/>
          <w:lang w:val="en-US" w:eastAsia="zh-CN"/>
        </w:rPr>
        <w:t>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12</w:t>
      </w:r>
      <w:r>
        <w:rPr>
          <w:rFonts w:hint="eastAsia" w:ascii="仿宋_GB2312" w:hAnsi="CIDFont+F6" w:eastAsia="仿宋_GB2312"/>
          <w:color w:val="000000"/>
          <w:sz w:val="32"/>
          <w:szCs w:val="32"/>
        </w:rPr>
        <w:t>日</w:t>
      </w:r>
    </w:p>
    <w:p w14:paraId="104DAE91">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ascii="仿宋_GB2312" w:hAnsi="宋体" w:eastAsia="仿宋_GB2312" w:cs="宋体"/>
          <w:kern w:val="0"/>
          <w:sz w:val="32"/>
          <w:szCs w:val="32"/>
        </w:rPr>
      </w:pPr>
    </w:p>
    <w:p w14:paraId="0358EE45">
      <w:pPr>
        <w:keepNext w:val="0"/>
        <w:keepLines w:val="0"/>
        <w:pageBreakBefore w:val="0"/>
        <w:kinsoku/>
        <w:wordWrap/>
        <w:overflowPunct/>
        <w:topLinePunct w:val="0"/>
        <w:autoSpaceDE/>
        <w:autoSpaceDN/>
        <w:bidi w:val="0"/>
        <w:adjustRightInd w:val="0"/>
        <w:snapToGrid w:val="0"/>
        <w:spacing w:line="560" w:lineRule="exact"/>
        <w:ind w:firstLine="640" w:firstLineChars="200"/>
        <w:contextualSpacing/>
        <w:textAlignment w:val="auto"/>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spacing w:val="-20"/>
          <w:kern w:val="0"/>
          <w:sz w:val="32"/>
          <w:szCs w:val="32"/>
          <w:lang w:val="en-US" w:eastAsia="zh-CN"/>
        </w:rPr>
        <w:t>华池县统计局</w:t>
      </w:r>
      <w:r>
        <w:rPr>
          <w:rFonts w:hint="eastAsia" w:ascii="仿宋_GB2312" w:hAnsi="宋体" w:eastAsia="仿宋_GB2312" w:cs="宋体"/>
          <w:spacing w:val="-20"/>
          <w:kern w:val="0"/>
          <w:sz w:val="32"/>
          <w:szCs w:val="32"/>
        </w:rPr>
        <w:t xml:space="preserve"> </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lang w:eastAsia="zh-CN"/>
        </w:rPr>
        <w:t>单位</w:t>
      </w:r>
      <w:r>
        <w:rPr>
          <w:rFonts w:hint="eastAsia" w:ascii="仿宋_GB2312" w:hAnsi="宋体" w:eastAsia="仿宋_GB2312" w:cs="宋体"/>
          <w:spacing w:val="-20"/>
          <w:kern w:val="0"/>
          <w:sz w:val="32"/>
          <w:szCs w:val="32"/>
        </w:rPr>
        <w:t>预算公开表</w:t>
      </w:r>
    </w:p>
    <w:p w14:paraId="4E90257E">
      <w:pPr>
        <w:keepNext w:val="0"/>
        <w:keepLines w:val="0"/>
        <w:pageBreakBefore w:val="0"/>
        <w:kinsoku/>
        <w:wordWrap/>
        <w:overflowPunct/>
        <w:topLinePunct w:val="0"/>
        <w:autoSpaceDE/>
        <w:autoSpaceDN/>
        <w:bidi w:val="0"/>
        <w:adjustRightInd w:val="0"/>
        <w:snapToGrid w:val="0"/>
        <w:spacing w:line="560" w:lineRule="exact"/>
        <w:ind w:left="1796" w:leftChars="767" w:hanging="185" w:hangingChars="58"/>
        <w:contextualSpacing/>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spacing w:val="-20"/>
          <w:kern w:val="0"/>
          <w:sz w:val="32"/>
          <w:szCs w:val="32"/>
          <w:lang w:val="en-US" w:eastAsia="zh-CN"/>
        </w:rPr>
        <w:t>华池县统计局</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lang w:eastAsia="zh-CN"/>
        </w:rPr>
        <w:t>单位</w:t>
      </w:r>
      <w:r>
        <w:rPr>
          <w:rFonts w:hint="eastAsia" w:ascii="仿宋_GB2312" w:hAnsi="宋体" w:eastAsia="仿宋_GB2312" w:cs="宋体"/>
          <w:kern w:val="0"/>
          <w:sz w:val="32"/>
          <w:szCs w:val="32"/>
        </w:rPr>
        <w:t>整体支出绩效目标及预算项目绩效目标表</w:t>
      </w:r>
    </w:p>
    <w:p w14:paraId="22DB4760">
      <w:pPr>
        <w:keepNext w:val="0"/>
        <w:keepLines w:val="0"/>
        <w:pageBreakBefore w:val="0"/>
        <w:tabs>
          <w:tab w:val="left" w:pos="1272"/>
        </w:tabs>
        <w:kinsoku/>
        <w:wordWrap/>
        <w:overflowPunct/>
        <w:topLinePunct w:val="0"/>
        <w:autoSpaceDE/>
        <w:autoSpaceDN/>
        <w:bidi w:val="0"/>
        <w:spacing w:line="560" w:lineRule="exact"/>
        <w:textAlignment w:val="auto"/>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2C6982"/>
    <w:rsid w:val="02441F1E"/>
    <w:rsid w:val="02E03DF9"/>
    <w:rsid w:val="0422003D"/>
    <w:rsid w:val="0A917CCA"/>
    <w:rsid w:val="0EFB3964"/>
    <w:rsid w:val="10DA414E"/>
    <w:rsid w:val="113741D2"/>
    <w:rsid w:val="120B3B89"/>
    <w:rsid w:val="18330BA7"/>
    <w:rsid w:val="1997072D"/>
    <w:rsid w:val="1CDA72AF"/>
    <w:rsid w:val="1D34261E"/>
    <w:rsid w:val="1DCB6BF8"/>
    <w:rsid w:val="1FF1600F"/>
    <w:rsid w:val="23FC5D5D"/>
    <w:rsid w:val="28D948BF"/>
    <w:rsid w:val="2EE00777"/>
    <w:rsid w:val="32EE71B8"/>
    <w:rsid w:val="370E7E29"/>
    <w:rsid w:val="39DA3FF3"/>
    <w:rsid w:val="39F74718"/>
    <w:rsid w:val="3E210442"/>
    <w:rsid w:val="42A05423"/>
    <w:rsid w:val="4B1F4777"/>
    <w:rsid w:val="4C433C79"/>
    <w:rsid w:val="4D7F5185"/>
    <w:rsid w:val="4F440434"/>
    <w:rsid w:val="527E074E"/>
    <w:rsid w:val="56393C72"/>
    <w:rsid w:val="579503FF"/>
    <w:rsid w:val="5A767910"/>
    <w:rsid w:val="60535296"/>
    <w:rsid w:val="6F814F12"/>
    <w:rsid w:val="72FD2525"/>
    <w:rsid w:val="73F27BAF"/>
    <w:rsid w:val="772067E2"/>
    <w:rsid w:val="772B58B2"/>
    <w:rsid w:val="78106856"/>
    <w:rsid w:val="7AC04896"/>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autoRedefine/>
    <w:qFormat/>
    <w:uiPriority w:val="0"/>
    <w:rPr>
      <w:b/>
      <w:bCs/>
    </w:rPr>
  </w:style>
  <w:style w:type="character" w:styleId="10">
    <w:name w:val="line number"/>
    <w:autoRedefine/>
    <w:qFormat/>
    <w:uiPriority w:val="0"/>
  </w:style>
  <w:style w:type="character" w:styleId="11">
    <w:name w:val="annotation reference"/>
    <w:autoRedefin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autoRedefine/>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autoRedefine/>
    <w:qFormat/>
    <w:uiPriority w:val="0"/>
    <w:rPr>
      <w:rFonts w:ascii="Times New Roman" w:hAnsi="Times New Roman"/>
      <w:b/>
      <w:bCs/>
      <w:kern w:val="44"/>
      <w:sz w:val="44"/>
      <w:szCs w:val="44"/>
    </w:rPr>
  </w:style>
  <w:style w:type="paragraph" w:customStyle="1" w:styleId="1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autoRedefine/>
    <w:qFormat/>
    <w:uiPriority w:val="0"/>
    <w:rPr>
      <w:rFonts w:hint="eastAsia" w:ascii="仿宋_GB2312" w:eastAsia="仿宋_GB2312"/>
      <w:color w:val="000000"/>
      <w:sz w:val="32"/>
      <w:szCs w:val="32"/>
    </w:rPr>
  </w:style>
  <w:style w:type="character" w:customStyle="1" w:styleId="21">
    <w:name w:val="fontstyle21"/>
    <w:autoRedefine/>
    <w:qFormat/>
    <w:uiPriority w:val="0"/>
    <w:rPr>
      <w:rFonts w:hint="default" w:ascii="TimesNewRomanPSMT" w:hAnsi="TimesNewRomanPSMT"/>
      <w:color w:val="000000"/>
      <w:sz w:val="32"/>
      <w:szCs w:val="32"/>
    </w:rPr>
  </w:style>
  <w:style w:type="character" w:customStyle="1" w:styleId="22">
    <w:name w:val="fontstyle11"/>
    <w:autoRedefine/>
    <w:qFormat/>
    <w:uiPriority w:val="0"/>
    <w:rPr>
      <w:rFonts w:hint="eastAsia" w:ascii="仿宋_GB2312" w:eastAsia="仿宋_GB2312"/>
      <w:color w:val="000000"/>
      <w:sz w:val="32"/>
      <w:szCs w:val="32"/>
    </w:rPr>
  </w:style>
  <w:style w:type="character" w:customStyle="1" w:styleId="23">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15</Pages>
  <Words>3199</Words>
  <Characters>3304</Characters>
  <Lines>68</Lines>
  <Paragraphs>19</Paragraphs>
  <TotalTime>36</TotalTime>
  <ScaleCrop>false</ScaleCrop>
  <LinksUpToDate>false</LinksUpToDate>
  <CharactersWithSpaces>3327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1392110434</cp:lastModifiedBy>
  <cp:lastPrinted>2022-02-15T15:45:00Z</cp:lastPrinted>
  <dcterms:modified xsi:type="dcterms:W3CDTF">2026-03-13T01:25:16Z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4746AA2B63644A919A7677ADD6665D0C</vt:lpwstr>
  </property>
  <property fmtid="{D5CDD505-2E9C-101B-9397-08002B2CF9AE}" pid="4" name="KSOTemplateDocerSaveRecord">
    <vt:lpwstr>eyJoZGlkIjoiMTE1Mzc2N2Q4MWNlNjFlYmU3OGM3ZTRiZDQzYjVkMWQiLCJ1c2VySWQiOiIxMTI4ODI3MSJ9</vt:lpwstr>
  </property>
</Properties>
</file>