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lang w:val="en-US" w:eastAsia="zh-CN"/>
        </w:rPr>
        <w:t>华池县民政局</w:t>
      </w:r>
    </w:p>
    <w:p w14:paraId="74115DBE">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49E924E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2F2CF458">
      <w:pPr>
        <w:spacing w:line="579"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（一）贯彻执行国家、省、市关于民政工作的法律法规，拟订全县民政事业发展规划和相关政策，并组织实施、监督检查。</w:t>
      </w:r>
    </w:p>
    <w:p w14:paraId="5D91DC76">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（二）承担依法对全县社会团体、基金会、社会服务机构进行管理和监督检查的责任，负责公开募捐资格审批和县管慈善组织认</w:t>
      </w:r>
      <w:r>
        <w:rPr>
          <w:rFonts w:hint="eastAsia" w:ascii="仿宋_GB2312" w:hAnsi="仿宋_GB2312" w:eastAsia="仿宋_GB2312" w:cs="仿宋_GB2312"/>
          <w:spacing w:val="-20"/>
          <w:sz w:val="32"/>
          <w:szCs w:val="32"/>
          <w:highlight w:val="none"/>
        </w:rPr>
        <w:t>定工作，负责无</w:t>
      </w:r>
      <w:r>
        <w:rPr>
          <w:rFonts w:hint="eastAsia" w:ascii="仿宋_GB2312" w:hAnsi="仿宋_GB2312" w:eastAsia="仿宋_GB2312" w:cs="仿宋_GB2312"/>
          <w:sz w:val="32"/>
          <w:szCs w:val="32"/>
          <w:highlight w:val="none"/>
        </w:rPr>
        <w:t>业务主管</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的全县性社会组织的党建工作。</w:t>
      </w:r>
    </w:p>
    <w:p w14:paraId="1C800EAB">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（三）贯彻执行全县社会救助规划、政策，健全和完善城乡社会救助体系，负责城乡居民最低生活保障、特困人员救助供养、临时救助、生活无着流浪乞讨人员救助工作。</w:t>
      </w:r>
    </w:p>
    <w:p w14:paraId="03A65D75">
      <w:pPr>
        <w:spacing w:line="579"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贯彻执行行政区划，行政区域界线管理和地名管理政策、标准，负责乡（镇）、村（社区）行政区域的设立、撤销、调整、更名和界线变更以及政府驻地迁移的审核报批工作，负责县级行政区域界线的勘定和管理工作，负责全县重要自然地理实体命名、更名的审核报批工作，规范全县地名标志的设置和管理，负责县内标准地名图书资料的审定工作。</w:t>
      </w:r>
    </w:p>
    <w:p w14:paraId="59A65676">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）贯彻执行婚姻管理政策，推进婚俗改革。</w:t>
      </w:r>
    </w:p>
    <w:p w14:paraId="243C33CC">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）贯彻执行殡葬管理政策、服务规范，推进殡葬改革，规范丧葬用品市场，指导殡葬事业</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 xml:space="preserve">建设；负责公用墓地的管理，倡导移风易俗。 </w:t>
      </w:r>
    </w:p>
    <w:p w14:paraId="00035332">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拟定并协调落实积极应对人口老龄化政策措施、指导协调全县老年人权益保障工作，组织开展人口老龄化国情宣传教育，拟定老年人社会参与政策并组织实施，承担老年人口状况、老龄事业发展的统计调查工作。</w:t>
      </w:r>
    </w:p>
    <w:p w14:paraId="2D76F9F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）统筹推进、督促指导、监督管理养老服务工作，制定养老服务体系建设规划、政策、标准并组织实施，承担老年人福利和特殊困难老年人救助工作。</w:t>
      </w:r>
    </w:p>
    <w:p w14:paraId="6BFF81F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）贯彻执行残疾人权益保护政策，推进残疾人福利制度建设和康复辅助器具产业发展。</w:t>
      </w:r>
    </w:p>
    <w:p w14:paraId="7061596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sz w:val="32"/>
          <w:szCs w:val="32"/>
          <w:highlight w:val="none"/>
        </w:rPr>
        <w:t>）贯彻执行儿童福利、孤弃儿童保障、儿童收养、儿童救助保护政策、标准，健全农村留守儿童关爱服务体系和困境儿童保障制度。</w:t>
      </w:r>
    </w:p>
    <w:p w14:paraId="4C6EBDE8">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）贯彻执行促进慈善事业发展政策，指导社会捐助工作,负责福利彩票管理工作。</w:t>
      </w:r>
    </w:p>
    <w:p w14:paraId="4DF25757">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）贯彻执行志愿服务政策和标准，会同有关</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推进志愿者队伍建设。</w:t>
      </w:r>
    </w:p>
    <w:p w14:paraId="342A548D">
      <w:pPr>
        <w:spacing w:line="579" w:lineRule="exact"/>
        <w:ind w:firstLine="640" w:firstLineChars="200"/>
        <w:rPr>
          <w:rFonts w:hint="eastAsia" w:ascii="仿宋_GB2312" w:hAnsi="仿宋" w:eastAsia="仿宋_GB2312" w:cs="宋体"/>
          <w:kern w:val="0"/>
          <w:sz w:val="32"/>
          <w:szCs w:val="32"/>
          <w:lang w:eastAsia="zh-CN"/>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）完成县委、县政府及上级业务</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交办的其他事项</w:t>
      </w:r>
      <w:r>
        <w:rPr>
          <w:rFonts w:hint="eastAsia" w:ascii="仿宋_GB2312" w:hAnsi="仿宋_GB2312" w:eastAsia="仿宋_GB2312" w:cs="仿宋_GB2312"/>
          <w:sz w:val="32"/>
          <w:szCs w:val="32"/>
          <w:highlight w:val="none"/>
          <w:lang w:eastAsia="zh-CN"/>
        </w:rPr>
        <w:t>。</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196F53BC">
      <w:pPr>
        <w:keepNext w:val="0"/>
        <w:keepLines w:val="0"/>
        <w:pageBreakBefore w:val="0"/>
        <w:widowControl w:val="0"/>
        <w:kinsoku/>
        <w:wordWrap w:val="0"/>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华池县民政局</w:t>
      </w:r>
      <w:r>
        <w:rPr>
          <w:rFonts w:hint="eastAsia" w:ascii="仿宋_GB2312" w:hAnsi="仿宋_GB2312" w:eastAsia="仿宋_GB2312" w:cs="仿宋_GB2312"/>
          <w:b w:val="0"/>
          <w:bCs w:val="0"/>
          <w:color w:val="auto"/>
          <w:spacing w:val="0"/>
          <w:kern w:val="2"/>
          <w:sz w:val="32"/>
          <w:szCs w:val="32"/>
          <w:highlight w:val="none"/>
          <w:lang w:val="en-US" w:eastAsia="zh-CN" w:bidi="ar-SA"/>
        </w:rPr>
        <w:t>现内设4个股室</w:t>
      </w:r>
      <w:r>
        <w:rPr>
          <w:rFonts w:hint="eastAsia" w:ascii="楷体_GB2312" w:hAnsi="楷体_GB2312" w:eastAsia="楷体_GB2312" w:cs="楷体_GB2312"/>
          <w:b/>
          <w:bCs/>
          <w:color w:val="auto"/>
          <w:spacing w:val="0"/>
          <w:kern w:val="2"/>
          <w:sz w:val="28"/>
          <w:szCs w:val="28"/>
          <w:highlight w:val="none"/>
          <w:lang w:val="en-US" w:eastAsia="zh-CN" w:bidi="ar-SA"/>
        </w:rPr>
        <w:t>（办公室、老龄养老和儿童福利股、社会救助和社会组织管理股、社会事务和区划地名股）。</w:t>
      </w:r>
    </w:p>
    <w:p w14:paraId="0016893B">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办公室。负责贯彻执行民政事业发展法律法规、政策、制定单位规章并组织实施；负责机关日常运转，办理机关文秘文电、会务、机要、人事管理、机构编制、教育培训、档案管理、党务政务公开、党风廉政建设、机关党建、政务协调、安全生产、新闻宣传、保密、信访和统计工作；承办民政项目申报工作；承办机关财务及隶属单位人事劳资、资产管理、离退休人员管理服务工作；指导监督中央、省、市拨付的福利彩票公益金使用管理；负责街接办理县委、县政府交办的其他工作。</w:t>
      </w:r>
    </w:p>
    <w:p w14:paraId="19E0C4B8">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老龄养老和儿童福利股。拟定并协调落实积极应对人口老龄化政策措施、指导协调全县老年人权益保障工作，组织开展人口老龄化国情宣传教育，拟定老年人社会参与政策并组织实施，承担老年人口状况、老龄事业发展的统计调查工作。贯彻执行养老服务体系建设规划、政策、标准，切实推进养老服务业的发展，以居家为基础、依托社区搭建养老服务平合，开展社区居家养老服务；承办老年人福利和特殊困难老年人救助；承办养老服务机构建设管理工作，改善照料护理环境，通过购买社会服务等方式，提高服务水平；贯彻执行儿童福利、孤弃儿童保障、儿童收养、儿童救助保护政策，健全农村留守儿童关爱服务体系和困境儿童保障制度。</w:t>
      </w:r>
    </w:p>
    <w:p w14:paraId="148F86B0">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社会救助和社会组织管理股。负责贯彻落实社会救助政策、标准，统筹分层分类社会救助体系建设，负责管理全县低收入人口的认定及其数据库的监测与应用，负责管理全县城乡居民最低生活保障、特困人员救助供养、临时救助、残疾人两项补贴、居民家庭经济状况核对等工作；贯彻执行慈善事业发展政策，组织和实施社会慈善、社会捐助等社会扶助活动。贯彻执行社会团体、基金会、民办非企业等社会组织登记和监督管理办法，依法对全县社会组织进行登记管理和执法监督。</w:t>
      </w:r>
    </w:p>
    <w:p w14:paraId="0D769E8D">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社会事务和区划地名股。贯彻执行殡葬管理政策，指导殡葬服务，拟定殡葬事业发展规划、政策措施并指导实施；推进殡葬改革，强化公墓监管；承办流浪乞讨人员救助相关工作，指导开展家庭暴力受害人临时庇护救助工作；贯彻落实行政区划、行政区域界限管理和地名管理政策、标准，承办县内行政区划设立、命名、变更和政府驻地迁移审核报批工作，组织和实施行政区域界线管理工作；承办地名管理工作，地名命名、更名的审核报批工作；承办行政区域界线的勘定管理和边界争议的调查</w:t>
      </w:r>
      <w:r>
        <w:rPr>
          <w:rFonts w:hint="eastAsia" w:ascii="仿宋_GB2312" w:hAnsi="仿宋" w:eastAsia="仿宋_GB2312" w:cs="宋体"/>
          <w:kern w:val="0"/>
          <w:sz w:val="32"/>
          <w:szCs w:val="32"/>
        </w:rPr>
        <w:t>调处</w:t>
      </w:r>
      <w:r>
        <w:rPr>
          <w:rFonts w:hint="eastAsia" w:ascii="仿宋_GB2312" w:hAnsi="仿宋_GB2312" w:eastAsia="仿宋_GB2312" w:cs="仿宋_GB2312"/>
          <w:sz w:val="32"/>
          <w:szCs w:val="32"/>
          <w:highlight w:val="none"/>
        </w:rPr>
        <w:t>工作。协助做好涉及村民委员会、居民委员会中需以政府名义出面的工作。</w:t>
      </w:r>
    </w:p>
    <w:p w14:paraId="30FA1156">
      <w:pPr>
        <w:spacing w:line="579" w:lineRule="exact"/>
        <w:ind w:firstLine="643" w:firstLineChars="200"/>
        <w:rPr>
          <w:rFonts w:hint="eastAsia" w:ascii="楷体_GB2312" w:hAnsi="楷体" w:eastAsia="楷体_GB2312" w:cs="宋体"/>
          <w:b/>
          <w:bCs/>
          <w:kern w:val="0"/>
          <w:sz w:val="32"/>
          <w:szCs w:val="32"/>
          <w:lang w:eastAsia="zh-CN"/>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人员情况</w:t>
      </w:r>
    </w:p>
    <w:p w14:paraId="21668C9E">
      <w:pPr>
        <w:pStyle w:val="8"/>
        <w:numPr>
          <w:ilvl w:val="0"/>
          <w:numId w:val="0"/>
        </w:numPr>
        <w:shd w:val="clear" w:color="auto" w:fill="FFFFFF"/>
        <w:spacing w:before="0" w:beforeAutospacing="0" w:after="0" w:afterAutospacing="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华池</w:t>
      </w:r>
      <w:r>
        <w:rPr>
          <w:rFonts w:hint="eastAsia" w:ascii="仿宋_GB2312" w:hAnsi="仿宋_GB2312" w:eastAsia="仿宋_GB2312" w:cs="仿宋_GB2312"/>
          <w:sz w:val="32"/>
          <w:szCs w:val="32"/>
          <w:highlight w:val="none"/>
          <w:lang w:eastAsia="zh-CN"/>
        </w:rPr>
        <w:t>县民政局机关人员编制8名，其中:行政编制6名，机关工勤编制2名。设局长1名、副局长2名。下属1个正科级参公事业单位（县社会救助服务中心设一正一副）、3个副科级事业单位（县婚姻登记处、县社会福利院、悦乐社会福利院）。核定编制数35名（其中行政编制6人、工勤编制2名，事业编17个、自收自支编10个），</w:t>
      </w:r>
      <w:r>
        <w:rPr>
          <w:rFonts w:hint="eastAsia" w:ascii="仿宋_GB2312" w:eastAsia="仿宋_GB2312" w:cs="仿宋_GB2312"/>
          <w:b w:val="0"/>
          <w:bCs w:val="0"/>
          <w:color w:val="auto"/>
          <w:sz w:val="32"/>
          <w:szCs w:val="32"/>
          <w:highlight w:val="none"/>
          <w:shd w:val="clear" w:color="auto" w:fill="FFFFFF"/>
        </w:rPr>
        <w:t>财政供养总人数</w:t>
      </w:r>
      <w:r>
        <w:rPr>
          <w:rFonts w:hint="eastAsia" w:ascii="仿宋_GB2312" w:eastAsia="仿宋_GB2312" w:cs="仿宋_GB2312"/>
          <w:b w:val="0"/>
          <w:bCs w:val="0"/>
          <w:color w:val="auto"/>
          <w:sz w:val="32"/>
          <w:szCs w:val="32"/>
          <w:highlight w:val="none"/>
          <w:shd w:val="clear" w:color="auto" w:fill="FFFFFF"/>
          <w:lang w:val="en-US" w:eastAsia="zh-CN"/>
        </w:rPr>
        <w:t>37</w:t>
      </w:r>
      <w:r>
        <w:rPr>
          <w:rFonts w:hint="eastAsia" w:ascii="仿宋_GB2312" w:eastAsia="仿宋_GB2312" w:cs="仿宋_GB2312"/>
          <w:b w:val="0"/>
          <w:bCs w:val="0"/>
          <w:color w:val="auto"/>
          <w:sz w:val="32"/>
          <w:szCs w:val="32"/>
          <w:highlight w:val="none"/>
          <w:shd w:val="clear" w:color="auto" w:fill="FFFFFF"/>
        </w:rPr>
        <w:t>人，其中：在职人员</w:t>
      </w:r>
      <w:r>
        <w:rPr>
          <w:rFonts w:hint="eastAsia" w:ascii="仿宋_GB2312" w:eastAsia="仿宋_GB2312" w:cs="仿宋_GB2312"/>
          <w:b w:val="0"/>
          <w:bCs w:val="0"/>
          <w:color w:val="auto"/>
          <w:sz w:val="32"/>
          <w:szCs w:val="32"/>
          <w:highlight w:val="none"/>
          <w:shd w:val="clear" w:color="auto" w:fill="FFFFFF"/>
          <w:lang w:val="en-US" w:eastAsia="zh-CN"/>
        </w:rPr>
        <w:t>22</w:t>
      </w:r>
      <w:r>
        <w:rPr>
          <w:rFonts w:hint="eastAsia" w:ascii="仿宋_GB2312" w:eastAsia="仿宋_GB2312" w:cs="仿宋_GB2312"/>
          <w:b w:val="0"/>
          <w:bCs w:val="0"/>
          <w:color w:val="auto"/>
          <w:sz w:val="32"/>
          <w:szCs w:val="32"/>
          <w:highlight w:val="none"/>
          <w:shd w:val="clear" w:color="auto" w:fill="FFFFFF"/>
        </w:rPr>
        <w:t>人，遗属</w:t>
      </w:r>
      <w:r>
        <w:rPr>
          <w:rFonts w:hint="eastAsia" w:ascii="仿宋_GB2312" w:eastAsia="仿宋_GB2312" w:cs="仿宋_GB2312"/>
          <w:b w:val="0"/>
          <w:bCs w:val="0"/>
          <w:color w:val="auto"/>
          <w:sz w:val="32"/>
          <w:szCs w:val="32"/>
          <w:highlight w:val="none"/>
          <w:shd w:val="clear" w:color="auto" w:fill="FFFFFF"/>
          <w:lang w:val="en-US" w:eastAsia="zh-CN"/>
        </w:rPr>
        <w:t>6</w:t>
      </w:r>
      <w:r>
        <w:rPr>
          <w:rFonts w:hint="eastAsia" w:ascii="仿宋_GB2312" w:eastAsia="仿宋_GB2312" w:cs="仿宋_GB2312"/>
          <w:b w:val="0"/>
          <w:bCs w:val="0"/>
          <w:color w:val="auto"/>
          <w:sz w:val="32"/>
          <w:szCs w:val="32"/>
          <w:highlight w:val="none"/>
          <w:shd w:val="clear" w:color="auto" w:fill="FFFFFF"/>
        </w:rPr>
        <w:t>人。</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725.67</w:t>
      </w:r>
      <w:r>
        <w:rPr>
          <w:rFonts w:hint="eastAsia" w:ascii="仿宋_GB2312" w:hAnsi="仿宋" w:eastAsia="仿宋_GB2312" w:cs="宋体"/>
          <w:kern w:val="0"/>
          <w:sz w:val="32"/>
          <w:szCs w:val="32"/>
        </w:rPr>
        <w:t>万元。按照综合预算的原则，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725.67</w:t>
      </w:r>
      <w:r>
        <w:rPr>
          <w:rFonts w:hint="eastAsia" w:ascii="仿宋_GB2312" w:hAnsi="仿宋" w:eastAsia="仿宋_GB2312"/>
          <w:sz w:val="32"/>
          <w:szCs w:val="32"/>
        </w:rPr>
        <w:t>万元（详见单位预算公开表1,2）。包括：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725.67</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725.67</w:t>
      </w:r>
      <w:r>
        <w:rPr>
          <w:rFonts w:hint="eastAsia" w:ascii="仿宋_GB2312" w:hAnsi="仿宋" w:eastAsia="仿宋_GB2312"/>
          <w:sz w:val="32"/>
          <w:szCs w:val="32"/>
        </w:rPr>
        <w:t>万元（详见单位预算公开表3）。</w:t>
      </w:r>
      <w:r>
        <w:rPr>
          <w:rStyle w:val="22"/>
          <w:rFonts w:hint="default" w:hAnsi="仿宋"/>
        </w:rPr>
        <w:t>其中：基本支出</w:t>
      </w:r>
      <w:r>
        <w:rPr>
          <w:rStyle w:val="23"/>
          <w:rFonts w:hint="eastAsia" w:ascii="仿宋_GB2312" w:hAnsi="仿宋" w:eastAsia="仿宋_GB2312"/>
          <w:lang w:val="en-US" w:eastAsia="zh-CN"/>
        </w:rPr>
        <w:t>376.45</w:t>
      </w:r>
      <w:r>
        <w:rPr>
          <w:rStyle w:val="22"/>
          <w:rFonts w:hint="default" w:hAnsi="仿宋"/>
        </w:rPr>
        <w:t>万元，占</w:t>
      </w:r>
      <w:r>
        <w:rPr>
          <w:rStyle w:val="22"/>
          <w:rFonts w:hint="eastAsia" w:hAnsi="仿宋" w:eastAsia="仿宋_GB2312"/>
          <w:lang w:val="en-US" w:eastAsia="zh-CN"/>
        </w:rPr>
        <w:t>51.88</w:t>
      </w:r>
      <w:r>
        <w:rPr>
          <w:rStyle w:val="23"/>
          <w:rFonts w:hint="eastAsia" w:ascii="仿宋_GB2312" w:hAnsi="仿宋" w:eastAsia="仿宋_GB2312"/>
        </w:rPr>
        <w:t>%</w:t>
      </w:r>
      <w:r>
        <w:rPr>
          <w:rStyle w:val="22"/>
          <w:rFonts w:hint="default" w:hAnsi="仿宋"/>
        </w:rPr>
        <w:t>；项目支出</w:t>
      </w:r>
      <w:r>
        <w:rPr>
          <w:rStyle w:val="22"/>
          <w:rFonts w:hint="eastAsia" w:hAnsi="仿宋" w:eastAsia="仿宋_GB2312"/>
          <w:lang w:val="en-US" w:eastAsia="zh-CN"/>
        </w:rPr>
        <w:t>349.22</w:t>
      </w:r>
      <w:r>
        <w:rPr>
          <w:rStyle w:val="22"/>
          <w:rFonts w:hint="default" w:hAnsi="仿宋"/>
        </w:rPr>
        <w:t>万元，占</w:t>
      </w:r>
      <w:r>
        <w:rPr>
          <w:rStyle w:val="23"/>
          <w:rFonts w:hint="eastAsia" w:ascii="仿宋_GB2312" w:hAnsi="仿宋" w:eastAsia="仿宋_GB2312"/>
          <w:lang w:val="en-US" w:eastAsia="zh-CN"/>
        </w:rPr>
        <w:t>48.12</w:t>
      </w:r>
      <w:r>
        <w:rPr>
          <w:rStyle w:val="23"/>
          <w:rFonts w:hint="eastAsia" w:ascii="仿宋_GB2312" w:hAnsi="仿宋" w:eastAsia="仿宋_GB2312"/>
        </w:rPr>
        <w:t>%</w:t>
      </w:r>
      <w:r>
        <w:rPr>
          <w:rStyle w:val="22"/>
          <w:rFonts w:hint="default" w:hAnsi="仿宋"/>
        </w:rPr>
        <w:t>；上年结转</w:t>
      </w:r>
      <w:r>
        <w:rPr>
          <w:rStyle w:val="23"/>
          <w:rFonts w:hint="eastAsia" w:ascii="仿宋_GB2312" w:hAnsi="仿宋" w:eastAsia="仿宋_GB2312"/>
          <w:lang w:val="en-US" w:eastAsia="zh-CN"/>
        </w:rPr>
        <w:t>0</w:t>
      </w:r>
      <w:r>
        <w:rPr>
          <w:rStyle w:val="22"/>
          <w:rFonts w:hint="default" w:hAnsi="仿宋"/>
        </w:rPr>
        <w:t>万元，占</w:t>
      </w:r>
      <w:r>
        <w:rPr>
          <w:rStyle w:val="23"/>
          <w:rFonts w:hint="eastAsia" w:ascii="仿宋_GB2312" w:hAnsi="仿宋" w:eastAsia="仿宋_GB2312"/>
          <w:lang w:val="en-US" w:eastAsia="zh-CN"/>
        </w:rPr>
        <w:t>0.00</w:t>
      </w:r>
      <w:r>
        <w:rPr>
          <w:rStyle w:val="23"/>
          <w:rFonts w:hint="eastAsia" w:ascii="仿宋_GB2312" w:hAnsi="仿宋" w:eastAsia="仿宋_GB2312"/>
        </w:rPr>
        <w:t>%</w:t>
      </w:r>
      <w:r>
        <w:rPr>
          <w:rStyle w:val="22"/>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3"/>
          <w:rFonts w:hint="eastAsia" w:ascii="仿宋_GB2312" w:hAnsi="仿宋" w:eastAsia="仿宋_GB2312"/>
          <w:lang w:eastAsia="zh-CN"/>
        </w:rPr>
        <w:t>202</w:t>
      </w:r>
      <w:r>
        <w:rPr>
          <w:rStyle w:val="23"/>
          <w:rFonts w:hint="default" w:ascii="仿宋_GB2312" w:hAnsi="仿宋" w:eastAsia="仿宋_GB2312"/>
          <w:lang w:val="en-US" w:eastAsia="zh-CN"/>
        </w:rPr>
        <w:t>6</w:t>
      </w:r>
      <w:r>
        <w:rPr>
          <w:rStyle w:val="22"/>
          <w:rFonts w:hint="default" w:hAnsi="仿宋"/>
        </w:rPr>
        <w:t>年一般公共预算当年支出</w:t>
      </w:r>
      <w:r>
        <w:rPr>
          <w:rStyle w:val="23"/>
          <w:rFonts w:hint="eastAsia" w:ascii="仿宋_GB2312" w:hAnsi="仿宋" w:eastAsia="仿宋_GB2312"/>
          <w:lang w:val="en-US" w:eastAsia="zh-CN"/>
        </w:rPr>
        <w:t>725.67</w:t>
      </w:r>
      <w:r>
        <w:rPr>
          <w:rStyle w:val="22"/>
          <w:rFonts w:hint="default" w:hAnsi="仿宋"/>
        </w:rPr>
        <w:t>万元，包括：社会保障和就业支出</w:t>
      </w:r>
      <w:r>
        <w:rPr>
          <w:rStyle w:val="23"/>
          <w:rFonts w:hint="eastAsia" w:ascii="仿宋_GB2312" w:hAnsi="仿宋" w:eastAsia="仿宋_GB2312"/>
          <w:lang w:val="en-US" w:eastAsia="zh-CN"/>
        </w:rPr>
        <w:t>681.39</w:t>
      </w:r>
      <w:r>
        <w:rPr>
          <w:rStyle w:val="22"/>
          <w:rFonts w:hint="default" w:hAnsi="仿宋"/>
        </w:rPr>
        <w:t>万元、</w:t>
      </w:r>
      <w:r>
        <w:rPr>
          <w:rStyle w:val="22"/>
          <w:rFonts w:hint="eastAsia" w:hAnsi="仿宋" w:eastAsia="仿宋_GB2312"/>
          <w:lang w:val="en-US" w:eastAsia="zh-CN"/>
        </w:rPr>
        <w:t>卫生健康支出19.06万元、住房保障支出25.22万元</w:t>
      </w:r>
      <w:r>
        <w:rPr>
          <w:rStyle w:val="22"/>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color w:val="auto"/>
          <w:sz w:val="32"/>
          <w:szCs w:val="32"/>
          <w:lang w:val="en-US" w:eastAsia="zh-CN"/>
        </w:rPr>
      </w:pPr>
      <w:r>
        <w:rPr>
          <w:rStyle w:val="22"/>
          <w:rFonts w:hint="eastAsia" w:hAnsi="仿宋"/>
          <w:lang w:eastAsia="zh-CN"/>
        </w:rPr>
        <w:t>202</w:t>
      </w:r>
      <w:r>
        <w:rPr>
          <w:rStyle w:val="22"/>
          <w:rFonts w:hint="default" w:hAnsi="仿宋"/>
          <w:lang w:val="en-US" w:eastAsia="zh-CN"/>
        </w:rPr>
        <w:t>6</w:t>
      </w:r>
      <w:r>
        <w:rPr>
          <w:rStyle w:val="22"/>
          <w:rFonts w:hint="eastAsia" w:hAnsi="仿宋"/>
        </w:rPr>
        <w:t>年基本支出</w:t>
      </w:r>
      <w:r>
        <w:rPr>
          <w:rStyle w:val="22"/>
          <w:rFonts w:hint="eastAsia" w:hAnsi="仿宋"/>
          <w:lang w:val="en-US" w:eastAsia="zh-CN"/>
        </w:rPr>
        <w:t>376.45</w:t>
      </w:r>
      <w:r>
        <w:rPr>
          <w:rStyle w:val="22"/>
          <w:rFonts w:hint="eastAsia" w:hAnsi="仿宋"/>
        </w:rPr>
        <w:t>万元，比</w:t>
      </w:r>
      <w:r>
        <w:rPr>
          <w:rStyle w:val="22"/>
          <w:rFonts w:hint="eastAsia" w:hAnsi="仿宋"/>
          <w:lang w:eastAsia="zh-CN"/>
        </w:rPr>
        <w:t>202</w:t>
      </w:r>
      <w:r>
        <w:rPr>
          <w:rStyle w:val="22"/>
          <w:rFonts w:hint="default" w:hAnsi="仿宋"/>
          <w:lang w:val="en-US" w:eastAsia="zh-CN"/>
        </w:rPr>
        <w:t>5</w:t>
      </w:r>
      <w:r>
        <w:rPr>
          <w:rStyle w:val="22"/>
          <w:rFonts w:hint="eastAsia" w:hAnsi="仿宋"/>
        </w:rPr>
        <w:t>年预算减少</w:t>
      </w:r>
      <w:r>
        <w:rPr>
          <w:rStyle w:val="22"/>
          <w:rFonts w:hint="eastAsia" w:hAnsi="仿宋"/>
          <w:lang w:val="en-US" w:eastAsia="zh-CN"/>
        </w:rPr>
        <w:t>69.98</w:t>
      </w:r>
      <w:r>
        <w:rPr>
          <w:rStyle w:val="22"/>
          <w:rFonts w:hint="eastAsia" w:hAnsi="仿宋"/>
        </w:rPr>
        <w:t>万元，下降</w:t>
      </w:r>
      <w:r>
        <w:rPr>
          <w:rStyle w:val="22"/>
          <w:rFonts w:hint="eastAsia" w:hAnsi="仿宋"/>
          <w:lang w:val="en-US" w:eastAsia="zh-CN"/>
        </w:rPr>
        <w:t>15.68</w:t>
      </w:r>
      <w:r>
        <w:rPr>
          <w:rStyle w:val="22"/>
          <w:rFonts w:hint="eastAsia" w:hAnsi="仿宋"/>
        </w:rPr>
        <w:t>%，下降的主要原因是</w:t>
      </w:r>
      <w:r>
        <w:rPr>
          <w:rStyle w:val="22"/>
          <w:rFonts w:hint="eastAsia" w:hAnsi="仿宋"/>
          <w:lang w:val="en-US" w:eastAsia="zh-CN"/>
        </w:rPr>
        <w:t>由于华池县社会救助服务中心独立预算，职工人数减少。</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338.99</w:t>
      </w:r>
      <w:r>
        <w:rPr>
          <w:rFonts w:hint="eastAsia" w:ascii="仿宋_GB2312" w:hAnsi="仿宋" w:eastAsia="仿宋_GB2312"/>
          <w:sz w:val="32"/>
          <w:szCs w:val="32"/>
        </w:rPr>
        <w:t>万元，主要包括：基本工资、津贴补贴、奖金、</w:t>
      </w:r>
      <w:r>
        <w:rPr>
          <w:rStyle w:val="22"/>
          <w:rFonts w:hint="eastAsia" w:hAnsi="仿宋"/>
        </w:rPr>
        <w:t>伙食</w:t>
      </w:r>
      <w:r>
        <w:rPr>
          <w:rFonts w:hint="eastAsia" w:ascii="仿宋_GB2312" w:hAnsi="仿宋" w:eastAsia="仿宋_GB2312"/>
          <w:sz w:val="32"/>
          <w:szCs w:val="32"/>
        </w:rPr>
        <w:t>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37.46</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349.22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401.64</w:t>
      </w:r>
      <w:r>
        <w:rPr>
          <w:rFonts w:hint="eastAsia" w:ascii="仿宋_GB2312" w:hAnsi="仿宋" w:eastAsia="仿宋_GB2312"/>
          <w:sz w:val="32"/>
          <w:szCs w:val="32"/>
        </w:rPr>
        <w:t>万元，减少</w:t>
      </w:r>
      <w:r>
        <w:rPr>
          <w:rFonts w:hint="eastAsia" w:ascii="仿宋_GB2312" w:hAnsi="仿宋" w:eastAsia="仿宋_GB2312"/>
          <w:sz w:val="32"/>
          <w:szCs w:val="32"/>
          <w:lang w:val="en-US" w:eastAsia="zh-CN"/>
        </w:rPr>
        <w:t>53.49</w:t>
      </w:r>
      <w:r>
        <w:rPr>
          <w:rFonts w:hint="eastAsia" w:ascii="仿宋_GB2312" w:hAnsi="仿宋" w:eastAsia="仿宋_GB2312"/>
          <w:sz w:val="32"/>
          <w:szCs w:val="32"/>
        </w:rPr>
        <w:t>%，减少的主要原因是</w:t>
      </w:r>
      <w:r>
        <w:rPr>
          <w:rFonts w:hint="eastAsia" w:ascii="仿宋_GB2312" w:hAnsi="仿宋" w:eastAsia="仿宋_GB2312"/>
          <w:sz w:val="32"/>
          <w:szCs w:val="32"/>
          <w:lang w:val="en-US" w:eastAsia="zh-CN"/>
        </w:rPr>
        <w:t>华池县社会救助服务中心独立预算，城市低保、临时救助、特困供养、残疾人两项补贴等项目由华池县社会救助服务中心预算。</w:t>
      </w:r>
    </w:p>
    <w:p w14:paraId="1E35D0B3">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2026年总预算项目7个，包括：</w:t>
      </w:r>
    </w:p>
    <w:p w14:paraId="2286E64A">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个，主要是孤儿及事实无人抚养基本生活费县级补助资金</w:t>
      </w:r>
      <w:r>
        <w:rPr>
          <w:rFonts w:hint="eastAsia" w:ascii="仿宋_GB2312" w:hAnsi="仿宋" w:eastAsia="仿宋_GB2312"/>
          <w:sz w:val="32"/>
          <w:szCs w:val="32"/>
          <w:lang w:val="en-US" w:eastAsia="zh-CN"/>
        </w:rPr>
        <w:t>项目。</w:t>
      </w:r>
    </w:p>
    <w:p w14:paraId="04955D55">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个，高龄津贴县级配套资金</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2024年省列为民办实事综合养老服务中心及村级互助幸福院县级配套资金</w:t>
      </w:r>
      <w:r>
        <w:rPr>
          <w:rFonts w:hint="eastAsia" w:ascii="仿宋_GB2312" w:hAnsi="仿宋" w:eastAsia="仿宋_GB2312"/>
          <w:sz w:val="32"/>
          <w:szCs w:val="32"/>
          <w:lang w:val="en-US" w:eastAsia="zh-CN"/>
        </w:rPr>
        <w:t>项目。</w:t>
      </w:r>
    </w:p>
    <w:p w14:paraId="42E1879C">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4</w:t>
      </w:r>
      <w:r>
        <w:rPr>
          <w:rFonts w:hint="eastAsia" w:ascii="仿宋_GB2312" w:hAnsi="仿宋" w:eastAsia="仿宋_GB2312"/>
          <w:sz w:val="32"/>
          <w:szCs w:val="32"/>
        </w:rPr>
        <w:t>个</w:t>
      </w:r>
      <w:r>
        <w:rPr>
          <w:rFonts w:hint="eastAsia" w:ascii="仿宋_GB2312" w:hAnsi="仿宋" w:eastAsia="仿宋_GB2312"/>
          <w:sz w:val="32"/>
          <w:szCs w:val="32"/>
          <w:lang w:eastAsia="zh-CN"/>
        </w:rPr>
        <w:t>，</w:t>
      </w:r>
      <w:r>
        <w:rPr>
          <w:rFonts w:hint="eastAsia" w:ascii="仿宋_GB2312" w:hAnsi="仿宋" w:eastAsia="仿宋_GB2312"/>
          <w:sz w:val="32"/>
          <w:szCs w:val="32"/>
        </w:rPr>
        <w:t>惠民殡葬及节补生态安葬奖励补助资金</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、“十五五”银发经济及养老服务发展规划</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养老机构运营经费项目</w:t>
      </w:r>
      <w:r>
        <w:rPr>
          <w:rFonts w:hint="eastAsia" w:ascii="仿宋_GB2312" w:hAnsi="仿宋" w:eastAsia="仿宋_GB2312"/>
          <w:sz w:val="32"/>
          <w:szCs w:val="32"/>
        </w:rPr>
        <w:t>、殡葬服务机构运行经费</w:t>
      </w:r>
      <w:r>
        <w:rPr>
          <w:rFonts w:hint="eastAsia" w:ascii="仿宋_GB2312" w:hAnsi="仿宋" w:eastAsia="仿宋_GB2312"/>
          <w:sz w:val="32"/>
          <w:szCs w:val="32"/>
          <w:lang w:val="en-US" w:eastAsia="zh-CN"/>
        </w:rPr>
        <w:t>项目。</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666133B8">
      <w:pPr>
        <w:widowControl/>
        <w:adjustRightInd w:val="0"/>
        <w:snapToGrid w:val="0"/>
        <w:spacing w:line="640" w:lineRule="exact"/>
        <w:ind w:firstLine="640" w:firstLineChars="200"/>
        <w:contextualSpacing/>
        <w:jc w:val="left"/>
        <w:rPr>
          <w:rFonts w:hint="default" w:ascii="仿宋_GB2312" w:eastAsia="仿宋_GB2312"/>
          <w:color w:val="000000"/>
          <w:sz w:val="32"/>
          <w:szCs w:val="32"/>
          <w:highlight w:val="none"/>
          <w:lang w:val="en-US" w:eastAsia="zh-CN"/>
        </w:rPr>
      </w:pPr>
      <w:r>
        <w:rPr>
          <w:rFonts w:hint="eastAsia" w:ascii="仿宋_GB2312" w:hAnsi="TimesNewRomanPS-BoldMT" w:eastAsia="仿宋_GB2312"/>
          <w:bCs/>
          <w:color w:val="000000"/>
          <w:sz w:val="32"/>
          <w:szCs w:val="32"/>
          <w:highlight w:val="none"/>
        </w:rPr>
        <w:t>1.</w:t>
      </w:r>
      <w:r>
        <w:rPr>
          <w:rStyle w:val="22"/>
          <w:rFonts w:hint="default" w:hAnsi="仿宋"/>
          <w:highlight w:val="none"/>
        </w:rPr>
        <w:t>社会保障和就业支出</w:t>
      </w:r>
      <w:r>
        <w:rPr>
          <w:rFonts w:hint="eastAsia" w:ascii="仿宋_GB2312" w:hAnsi="TimesNewRomanPSMT" w:eastAsia="仿宋_GB2312"/>
          <w:color w:val="000000"/>
          <w:sz w:val="32"/>
          <w:szCs w:val="32"/>
          <w:highlight w:val="none"/>
          <w:lang w:val="en-US" w:eastAsia="zh-CN"/>
        </w:rPr>
        <w:t>2026</w:t>
      </w:r>
      <w:r>
        <w:rPr>
          <w:rFonts w:hint="eastAsia" w:ascii="仿宋_GB2312" w:eastAsia="仿宋_GB2312"/>
          <w:color w:val="000000"/>
          <w:sz w:val="32"/>
          <w:szCs w:val="32"/>
          <w:highlight w:val="none"/>
        </w:rPr>
        <w:t>年预算数为</w:t>
      </w:r>
      <w:r>
        <w:rPr>
          <w:rFonts w:hint="eastAsia" w:ascii="仿宋_GB2312" w:hAnsi="TimesNewRomanPSMT" w:eastAsia="仿宋_GB2312"/>
          <w:color w:val="000000"/>
          <w:sz w:val="32"/>
          <w:szCs w:val="32"/>
          <w:highlight w:val="none"/>
          <w:lang w:val="en-US" w:eastAsia="zh-CN"/>
        </w:rPr>
        <w:t>681.93</w:t>
      </w:r>
      <w:r>
        <w:rPr>
          <w:rFonts w:hint="eastAsia" w:ascii="仿宋_GB2312" w:eastAsia="仿宋_GB2312"/>
          <w:color w:val="000000"/>
          <w:sz w:val="32"/>
          <w:szCs w:val="32"/>
          <w:highlight w:val="none"/>
        </w:rPr>
        <w:t>万元，比</w:t>
      </w:r>
      <w:r>
        <w:rPr>
          <w:rFonts w:hint="eastAsia" w:ascii="仿宋_GB2312" w:eastAsia="仿宋_GB2312"/>
          <w:color w:val="000000"/>
          <w:sz w:val="32"/>
          <w:szCs w:val="32"/>
          <w:highlight w:val="none"/>
          <w:lang w:val="en-US" w:eastAsia="zh-CN"/>
        </w:rPr>
        <w:t>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减少198.95</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减少</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华池县社会救助服务中心独立预算，职工人数减少。</w:t>
      </w:r>
    </w:p>
    <w:p w14:paraId="4E4FC68C">
      <w:pPr>
        <w:widowControl/>
        <w:adjustRightInd w:val="0"/>
        <w:snapToGrid w:val="0"/>
        <w:spacing w:line="640" w:lineRule="exact"/>
        <w:ind w:firstLine="640" w:firstLineChars="200"/>
        <w:contextualSpacing/>
        <w:jc w:val="left"/>
        <w:rPr>
          <w:rStyle w:val="22"/>
          <w:rFonts w:hint="eastAsia" w:hAnsi="仿宋" w:eastAsia="仿宋_GB2312"/>
          <w:highlight w:val="none"/>
          <w:lang w:val="en-US" w:eastAsia="zh-CN"/>
        </w:rPr>
      </w:pPr>
      <w:r>
        <w:rPr>
          <w:rFonts w:hint="eastAsia" w:ascii="仿宋_GB2312" w:eastAsia="仿宋_GB2312"/>
          <w:color w:val="000000"/>
          <w:sz w:val="32"/>
          <w:szCs w:val="32"/>
          <w:highlight w:val="none"/>
        </w:rPr>
        <w:t>2.</w:t>
      </w:r>
      <w:r>
        <w:rPr>
          <w:rStyle w:val="22"/>
          <w:rFonts w:hint="default" w:hAnsi="仿宋"/>
          <w:highlight w:val="none"/>
        </w:rPr>
        <w:t>卫生健康支出</w:t>
      </w:r>
      <w:r>
        <w:rPr>
          <w:rStyle w:val="22"/>
          <w:rFonts w:hint="eastAsia" w:hAnsi="仿宋" w:eastAsia="仿宋_GB2312"/>
          <w:highlight w:val="none"/>
          <w:lang w:val="en-US" w:eastAsia="zh-CN"/>
        </w:rPr>
        <w:t>19.06万元，比</w:t>
      </w:r>
      <w:r>
        <w:rPr>
          <w:rFonts w:hint="eastAsia" w:ascii="仿宋_GB2312" w:eastAsia="仿宋_GB2312"/>
          <w:color w:val="000000"/>
          <w:sz w:val="32"/>
          <w:szCs w:val="32"/>
          <w:highlight w:val="none"/>
          <w:lang w:val="en-US" w:eastAsia="zh-CN"/>
        </w:rPr>
        <w:t>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减少2.65</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减少</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职工人数减少。</w:t>
      </w:r>
    </w:p>
    <w:p w14:paraId="650ED188">
      <w:pPr>
        <w:widowControl/>
        <w:adjustRightInd w:val="0"/>
        <w:snapToGrid w:val="0"/>
        <w:spacing w:line="640" w:lineRule="exact"/>
        <w:ind w:firstLine="640" w:firstLineChars="200"/>
        <w:contextualSpacing/>
        <w:jc w:val="left"/>
        <w:rPr>
          <w:rFonts w:hint="default" w:ascii="仿宋_GB2312" w:hAnsi="TimesNewRomanPS-BoldMT" w:eastAsia="仿宋_GB2312"/>
          <w:bCs/>
          <w:color w:val="000000"/>
          <w:sz w:val="32"/>
          <w:szCs w:val="32"/>
          <w:lang w:val="en-US" w:eastAsia="zh-CN"/>
        </w:rPr>
      </w:pPr>
      <w:r>
        <w:rPr>
          <w:rStyle w:val="22"/>
          <w:rFonts w:hint="eastAsia" w:hAnsi="仿宋" w:eastAsia="仿宋_GB2312"/>
          <w:highlight w:val="none"/>
          <w:lang w:val="en-US" w:eastAsia="zh-CN"/>
        </w:rPr>
        <w:t>3.住房保障支出25.22</w:t>
      </w:r>
      <w:r>
        <w:rPr>
          <w:rStyle w:val="22"/>
          <w:rFonts w:hint="default" w:hAnsi="仿宋"/>
          <w:highlight w:val="none"/>
        </w:rPr>
        <w:t>万元</w:t>
      </w:r>
      <w:r>
        <w:rPr>
          <w:rStyle w:val="22"/>
          <w:rFonts w:hint="eastAsia" w:hAnsi="仿宋" w:eastAsia="仿宋_GB2312"/>
          <w:highlight w:val="none"/>
          <w:lang w:eastAsia="zh-CN"/>
        </w:rPr>
        <w:t>，</w:t>
      </w:r>
      <w:r>
        <w:rPr>
          <w:rStyle w:val="22"/>
          <w:rFonts w:hint="eastAsia" w:hAnsi="仿宋" w:eastAsia="仿宋_GB2312"/>
          <w:highlight w:val="none"/>
          <w:lang w:val="en-US" w:eastAsia="zh-CN"/>
        </w:rPr>
        <w:t>比2025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减少4.26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减少</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职工人数减少。</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424C91FB">
      <w:pPr>
        <w:adjustRightInd w:val="0"/>
        <w:snapToGrid w:val="0"/>
        <w:spacing w:line="640" w:lineRule="exact"/>
        <w:ind w:firstLine="640" w:firstLineChars="200"/>
        <w:contextualSpacing/>
        <w:rPr>
          <w:rFonts w:ascii="仿宋_GB2312" w:hAnsi="仿宋" w:eastAsia="仿宋_GB2312" w:cs="宋体"/>
          <w:b/>
          <w:kern w:val="0"/>
          <w:sz w:val="32"/>
          <w:szCs w:val="32"/>
          <w:highlight w:val="none"/>
        </w:rPr>
      </w:pPr>
      <w:r>
        <w:rPr>
          <w:rFonts w:hint="eastAsia" w:ascii="仿宋_GB2312" w:hAnsi="仿宋" w:eastAsia="仿宋_GB2312"/>
          <w:sz w:val="32"/>
          <w:szCs w:val="32"/>
          <w:highlight w:val="none"/>
        </w:rPr>
        <w:t>“三公”经费预算</w:t>
      </w:r>
      <w:r>
        <w:rPr>
          <w:rFonts w:hint="eastAsia" w:ascii="仿宋_GB2312" w:hAnsi="仿宋" w:eastAsia="仿宋_GB2312"/>
          <w:sz w:val="32"/>
          <w:szCs w:val="32"/>
          <w:highlight w:val="none"/>
          <w:lang w:val="en-US" w:eastAsia="zh-CN"/>
        </w:rPr>
        <w:t>0.38</w:t>
      </w:r>
      <w:r>
        <w:rPr>
          <w:rFonts w:hint="eastAsia" w:ascii="仿宋_GB2312" w:hAnsi="仿宋" w:eastAsia="仿宋_GB2312"/>
          <w:sz w:val="32"/>
          <w:szCs w:val="32"/>
          <w:highlight w:val="none"/>
        </w:rPr>
        <w:t>万元，较</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持平</w:t>
      </w:r>
      <w:r>
        <w:rPr>
          <w:rFonts w:hint="eastAsia" w:ascii="仿宋_GB2312" w:hAnsi="仿宋" w:eastAsia="仿宋_GB2312"/>
          <w:sz w:val="32"/>
          <w:szCs w:val="32"/>
          <w:highlight w:val="none"/>
        </w:rPr>
        <w:t>。</w:t>
      </w:r>
    </w:p>
    <w:p w14:paraId="4F92D5A2">
      <w:pPr>
        <w:widowControl/>
        <w:numPr>
          <w:ilvl w:val="0"/>
          <w:numId w:val="0"/>
        </w:numPr>
        <w:adjustRightInd w:val="0"/>
        <w:snapToGrid w:val="0"/>
        <w:spacing w:line="640" w:lineRule="exact"/>
        <w:ind w:firstLine="640" w:firstLineChars="200"/>
        <w:contextualSpacing/>
        <w:jc w:val="left"/>
        <w:rPr>
          <w:rFonts w:ascii="Arial" w:hAnsi="Arial" w:eastAsia="宋体" w:cs="Arial"/>
          <w:i w:val="0"/>
          <w:iCs w:val="0"/>
          <w:caps w:val="0"/>
          <w:color w:val="000000"/>
          <w:spacing w:val="0"/>
          <w:sz w:val="46"/>
          <w:szCs w:val="46"/>
          <w:shd w:val="clear" w:fill="FFFFFF"/>
        </w:rPr>
      </w:pPr>
      <w:r>
        <w:rPr>
          <w:rFonts w:hint="eastAsia" w:ascii="仿宋_GB2312" w:eastAsia="仿宋_GB2312"/>
          <w:color w:val="000000"/>
          <w:sz w:val="32"/>
          <w:szCs w:val="32"/>
          <w:highlight w:val="none"/>
          <w:lang w:val="en-US" w:eastAsia="zh-CN"/>
        </w:rPr>
        <w:t>1.因公出国（境）费用0万元，与2025年预算持平，2026年华池县民政局无因公出国（境）业务及人员。</w:t>
      </w:r>
    </w:p>
    <w:p w14:paraId="044CF581">
      <w:pPr>
        <w:widowControl/>
        <w:numPr>
          <w:ilvl w:val="0"/>
          <w:numId w:val="0"/>
        </w:numPr>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rPr>
      </w:pPr>
      <w:r>
        <w:rPr>
          <w:rFonts w:hint="eastAsia" w:ascii="仿宋_GB2312" w:hAnsi="仿宋" w:eastAsia="仿宋_GB2312"/>
          <w:sz w:val="32"/>
          <w:szCs w:val="32"/>
          <w:highlight w:val="none"/>
        </w:rPr>
        <w:t>2.公务接待费</w:t>
      </w:r>
      <w:r>
        <w:rPr>
          <w:rFonts w:hint="eastAsia" w:ascii="仿宋_GB2312" w:hAnsi="仿宋" w:eastAsia="仿宋_GB2312"/>
          <w:sz w:val="32"/>
          <w:szCs w:val="32"/>
          <w:highlight w:val="none"/>
          <w:lang w:val="en-US" w:eastAsia="zh-CN"/>
        </w:rPr>
        <w:t>0.38</w:t>
      </w:r>
      <w:r>
        <w:rPr>
          <w:rFonts w:hint="eastAsia" w:ascii="仿宋_GB2312" w:hAnsi="仿宋" w:eastAsia="仿宋_GB2312"/>
          <w:sz w:val="32"/>
          <w:szCs w:val="32"/>
          <w:highlight w:val="none"/>
        </w:rPr>
        <w:t>万元，较</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持平。</w:t>
      </w:r>
    </w:p>
    <w:p w14:paraId="32EBE7B5">
      <w:pPr>
        <w:widowControl/>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rPr>
      </w:pPr>
      <w:r>
        <w:rPr>
          <w:rFonts w:hint="eastAsia" w:ascii="仿宋_GB2312" w:hAnsi="仿宋" w:eastAsia="仿宋_GB2312"/>
          <w:sz w:val="32"/>
          <w:szCs w:val="32"/>
          <w:highlight w:val="none"/>
        </w:rPr>
        <w:t>3.公务用车购置及运行维护费</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 xml:space="preserve">万元（其中：公务用车购置 </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 xml:space="preserve"> 万元，公务用车运行维护费</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万元），与</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年预算持平，</w:t>
      </w:r>
      <w:r>
        <w:rPr>
          <w:rFonts w:hint="default" w:ascii="仿宋_GB2312" w:hAnsi="仿宋" w:eastAsia="仿宋_GB2312"/>
          <w:sz w:val="32"/>
          <w:szCs w:val="32"/>
          <w:highlight w:val="none"/>
        </w:rPr>
        <w:t>单位无保留公务用车。</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4C8C7F1A">
      <w:pPr>
        <w:widowControl/>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rPr>
        <w:t xml:space="preserve">4.培训费 </w:t>
      </w:r>
      <w:r>
        <w:rPr>
          <w:rFonts w:hint="eastAsia" w:ascii="仿宋_GB2312" w:hAnsi="仿宋" w:eastAsia="仿宋_GB2312"/>
          <w:sz w:val="32"/>
          <w:szCs w:val="32"/>
          <w:highlight w:val="none"/>
          <w:lang w:val="en-US" w:eastAsia="zh-CN"/>
        </w:rPr>
        <w:t>0.1</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较2025年持平。</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6E9F18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ascii="仿宋_GB2312" w:eastAsia="仿宋_GB2312"/>
          <w:sz w:val="32"/>
          <w:szCs w:val="32"/>
        </w:rPr>
      </w:pPr>
      <w:r>
        <w:rPr>
          <w:rFonts w:hint="eastAsia" w:ascii="仿宋_GB2312" w:hAnsi="仿宋" w:eastAsia="仿宋_GB2312" w:cs="Times New Roman"/>
          <w:kern w:val="2"/>
          <w:sz w:val="32"/>
          <w:szCs w:val="32"/>
          <w:highlight w:val="none"/>
          <w:lang w:val="en-US" w:eastAsia="zh-CN" w:bidi="ar-SA"/>
        </w:rPr>
        <w:t>5.会议费0.1万元，</w:t>
      </w:r>
      <w:r>
        <w:rPr>
          <w:rFonts w:hint="eastAsia" w:ascii="仿宋_GB2312" w:hAnsi="仿宋" w:eastAsia="仿宋_GB2312"/>
          <w:sz w:val="32"/>
          <w:szCs w:val="32"/>
          <w:highlight w:val="none"/>
          <w:lang w:val="en-US" w:eastAsia="zh-CN"/>
        </w:rPr>
        <w:t>较2025年持平。</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6C895CD">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机关运行经费</w:t>
      </w:r>
      <w:r>
        <w:rPr>
          <w:rFonts w:hint="eastAsia" w:ascii="仿宋_GB2312" w:hAnsi="仿宋" w:eastAsia="仿宋_GB2312"/>
          <w:sz w:val="32"/>
          <w:szCs w:val="32"/>
          <w:highlight w:val="none"/>
          <w:lang w:val="en-US" w:eastAsia="zh-CN"/>
        </w:rPr>
        <w:t>37.46</w:t>
      </w:r>
      <w:r>
        <w:rPr>
          <w:rFonts w:hint="eastAsia" w:ascii="仿宋_GB2312" w:hAnsi="仿宋" w:eastAsia="仿宋_GB2312"/>
          <w:sz w:val="32"/>
          <w:szCs w:val="32"/>
          <w:highlight w:val="none"/>
        </w:rPr>
        <w:t>万元，较20</w:t>
      </w:r>
      <w:r>
        <w:rPr>
          <w:rFonts w:hint="eastAsia" w:ascii="仿宋_GB2312" w:hAnsi="仿宋" w:eastAsia="仿宋_GB2312"/>
          <w:sz w:val="32"/>
          <w:szCs w:val="32"/>
          <w:highlight w:val="none"/>
          <w:lang w:val="en-US" w:eastAsia="zh-CN"/>
        </w:rPr>
        <w:t>24</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1.53</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3.3</w:t>
      </w:r>
      <w:r>
        <w:rPr>
          <w:rFonts w:hint="eastAsia" w:ascii="仿宋_GB2312" w:hAnsi="仿宋" w:eastAsia="仿宋_GB2312"/>
          <w:sz w:val="32"/>
          <w:szCs w:val="32"/>
          <w:highlight w:val="none"/>
        </w:rPr>
        <w:t>%，增长的主要原因是</w:t>
      </w:r>
      <w:r>
        <w:rPr>
          <w:rFonts w:hint="eastAsia" w:ascii="仿宋_GB2312" w:hAnsi="仿宋" w:eastAsia="仿宋_GB2312"/>
          <w:sz w:val="32"/>
          <w:szCs w:val="32"/>
          <w:highlight w:val="none"/>
          <w:lang w:val="en-US" w:eastAsia="zh-CN"/>
        </w:rPr>
        <w:t>职工工资福利增加</w:t>
      </w:r>
      <w:r>
        <w:rPr>
          <w:rFonts w:hint="eastAsia" w:ascii="仿宋_GB2312" w:hAnsi="仿宋" w:eastAsia="仿宋_GB2312"/>
          <w:sz w:val="32"/>
          <w:szCs w:val="32"/>
          <w:highlight w:val="none"/>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219</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9</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210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年，部门（单位）面向中小企业预留政府采购项目预算金额</w:t>
      </w:r>
      <w:r>
        <w:rPr>
          <w:rFonts w:hint="eastAsia" w:ascii="仿宋_GB2312" w:hAnsi="仿宋" w:eastAsia="仿宋_GB2312"/>
          <w:sz w:val="32"/>
          <w:szCs w:val="32"/>
          <w:lang w:val="en-US" w:eastAsia="zh-CN"/>
        </w:rPr>
        <w:t>210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9</w:t>
      </w:r>
      <w:r>
        <w:rPr>
          <w:rFonts w:hint="eastAsia" w:ascii="仿宋_GB2312" w:hAnsi="仿宋" w:eastAsia="仿宋_GB2312"/>
          <w:sz w:val="32"/>
          <w:szCs w:val="32"/>
        </w:rPr>
        <w:t>万元。</w:t>
      </w:r>
    </w:p>
    <w:p w14:paraId="6A193527">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八、国有资产占用情况</w:t>
      </w:r>
    </w:p>
    <w:p w14:paraId="7051FECE">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上年末固定资产金额为4037</w:t>
      </w:r>
      <w:r>
        <w:rPr>
          <w:rFonts w:hint="eastAsia" w:ascii="仿宋_GB2312" w:hAnsi="仿宋" w:eastAsia="仿宋_GB2312"/>
          <w:sz w:val="32"/>
          <w:szCs w:val="32"/>
          <w:lang w:val="en-US" w:eastAsia="zh-CN"/>
        </w:rPr>
        <w:t>.</w:t>
      </w:r>
      <w:r>
        <w:rPr>
          <w:rFonts w:hint="eastAsia" w:ascii="仿宋_GB2312" w:hAnsi="仿宋" w:eastAsia="仿宋_GB2312"/>
          <w:sz w:val="32"/>
          <w:szCs w:val="32"/>
        </w:rPr>
        <w:t>8</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8561.32</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3269.31</w:t>
      </w:r>
      <w:r>
        <w:rPr>
          <w:rFonts w:hint="eastAsia" w:ascii="仿宋_GB2312" w:hAnsi="仿宋" w:eastAsia="仿宋_GB2312"/>
          <w:sz w:val="32"/>
          <w:szCs w:val="32"/>
        </w:rPr>
        <w:t>万元。预算部单位共有公务用车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305.25</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9</w:t>
      </w:r>
      <w:r>
        <w:rPr>
          <w:rFonts w:hint="eastAsia" w:ascii="仿宋_GB2312" w:hAnsi="仿宋" w:eastAsia="仿宋_GB2312"/>
          <w:sz w:val="32"/>
          <w:szCs w:val="32"/>
        </w:rPr>
        <w:t>万元。</w:t>
      </w:r>
    </w:p>
    <w:p w14:paraId="4AAB33A2">
      <w:pPr>
        <w:widowControl/>
        <w:adjustRightInd w:val="0"/>
        <w:snapToGrid w:val="0"/>
        <w:spacing w:line="640" w:lineRule="exact"/>
        <w:ind w:firstLine="640" w:firstLineChars="200"/>
        <w:contextualSpacing/>
        <w:jc w:val="left"/>
        <w:rPr>
          <w:rFonts w:ascii="黑体" w:hAnsi="黑体" w:eastAsia="黑体" w:cs="宋体"/>
          <w:kern w:val="0"/>
          <w:sz w:val="32"/>
          <w:szCs w:val="32"/>
        </w:rPr>
      </w:pPr>
      <w:r>
        <w:rPr>
          <w:rFonts w:hint="eastAsia" w:ascii="仿宋_GB2312" w:hAnsi="仿宋" w:eastAsia="仿宋_GB2312"/>
          <w:sz w:val="32"/>
          <w:szCs w:val="32"/>
        </w:rPr>
        <w:t>九、其他重要事项情况</w:t>
      </w:r>
      <w:r>
        <w:rPr>
          <w:rFonts w:hint="eastAsia" w:ascii="黑体" w:hAnsi="黑体" w:eastAsia="黑体" w:cs="宋体"/>
          <w:kern w:val="0"/>
          <w:sz w:val="32"/>
          <w:szCs w:val="32"/>
        </w:rPr>
        <w:t>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1DABAF4C">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val="en-US" w:eastAsia="zh-CN"/>
        </w:rPr>
        <w:t>2026年，</w:t>
      </w:r>
      <w:r>
        <w:rPr>
          <w:rFonts w:hint="eastAsia" w:ascii="仿宋_GB2312" w:hAnsi="仿宋" w:eastAsia="仿宋_GB2312"/>
          <w:sz w:val="32"/>
          <w:szCs w:val="32"/>
          <w:highlight w:val="none"/>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6B23741E">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项目名称：</w:t>
      </w:r>
      <w:r>
        <w:rPr>
          <w:rFonts w:hint="eastAsia" w:ascii="仿宋_GB2312" w:hAnsi="仿宋" w:eastAsia="仿宋_GB2312"/>
          <w:sz w:val="32"/>
          <w:szCs w:val="32"/>
          <w:lang w:val="en-US" w:eastAsia="zh-CN"/>
        </w:rPr>
        <w:t>2026年养老机构运营经费项目。</w:t>
      </w:r>
    </w:p>
    <w:p w14:paraId="32080736">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1、项目概况：我县现有养老服务机构7所，其中：福利院2所，乡镇综合养老服务中心</w:t>
      </w:r>
      <w:r>
        <w:rPr>
          <w:rFonts w:hint="eastAsia" w:ascii="仿宋_GB2312" w:hAnsi="仿宋" w:eastAsia="仿宋_GB2312"/>
          <w:sz w:val="32"/>
          <w:szCs w:val="32"/>
          <w:lang w:val="en-US" w:eastAsia="zh-CN"/>
        </w:rPr>
        <w:t>5</w:t>
      </w:r>
      <w:r>
        <w:rPr>
          <w:rFonts w:hint="eastAsia" w:ascii="仿宋_GB2312" w:hAnsi="仿宋" w:eastAsia="仿宋_GB2312"/>
          <w:sz w:val="32"/>
          <w:szCs w:val="32"/>
        </w:rPr>
        <w:t>所。目前收住服务对象143人，雇佣临聘人员55人，为提升服务质量，保证正常运转，进一步提高我县养老机构管理服务水平</w:t>
      </w:r>
      <w:r>
        <w:rPr>
          <w:rFonts w:hint="eastAsia" w:ascii="仿宋_GB2312" w:hAnsi="仿宋" w:eastAsia="仿宋_GB2312"/>
          <w:sz w:val="32"/>
          <w:szCs w:val="32"/>
          <w:lang w:eastAsia="zh-CN"/>
        </w:rPr>
        <w:t>，2026年</w:t>
      </w:r>
      <w:r>
        <w:rPr>
          <w:rFonts w:hint="eastAsia" w:ascii="仿宋_GB2312" w:hAnsi="仿宋" w:eastAsia="仿宋_GB2312"/>
          <w:sz w:val="32"/>
          <w:szCs w:val="32"/>
          <w:lang w:val="en-US" w:eastAsia="zh-CN"/>
        </w:rPr>
        <w:t>预</w:t>
      </w:r>
      <w:r>
        <w:rPr>
          <w:rFonts w:hint="eastAsia" w:ascii="仿宋_GB2312" w:hAnsi="仿宋" w:eastAsia="仿宋_GB2312"/>
          <w:sz w:val="32"/>
          <w:szCs w:val="32"/>
          <w:lang w:eastAsia="zh-CN"/>
        </w:rPr>
        <w:t>算养老机构运行经费</w:t>
      </w:r>
      <w:r>
        <w:rPr>
          <w:rFonts w:hint="eastAsia" w:ascii="仿宋_GB2312" w:hAnsi="仿宋" w:eastAsia="仿宋_GB2312"/>
          <w:sz w:val="32"/>
          <w:szCs w:val="32"/>
          <w:lang w:val="en-US" w:eastAsia="zh-CN"/>
        </w:rPr>
        <w:t>县级资金100</w:t>
      </w:r>
      <w:r>
        <w:rPr>
          <w:rFonts w:hint="eastAsia" w:ascii="仿宋_GB2312" w:hAnsi="仿宋" w:eastAsia="仿宋_GB2312"/>
          <w:sz w:val="32"/>
          <w:szCs w:val="32"/>
          <w:lang w:eastAsia="zh-CN"/>
        </w:rPr>
        <w:t>万元。</w:t>
      </w:r>
    </w:p>
    <w:p w14:paraId="4A3CDD77">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2、立项依据：《中共庆阳市委办公室 庆阳市人民政府办公室印发&lt;关于推进基本养老服务体系建设实施意见&gt;（庆办发〔2023〕8号）</w:t>
      </w:r>
      <w:r>
        <w:rPr>
          <w:rFonts w:hint="eastAsia" w:ascii="仿宋_GB2312" w:hAnsi="仿宋" w:eastAsia="仿宋_GB2312"/>
          <w:sz w:val="32"/>
          <w:szCs w:val="32"/>
          <w:lang w:eastAsia="zh-CN"/>
        </w:rPr>
        <w:t>。</w:t>
      </w:r>
    </w:p>
    <w:p w14:paraId="4926F7A2">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华池县民政局</w:t>
      </w:r>
    </w:p>
    <w:p w14:paraId="4AB6895E">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14:paraId="75155F7A">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val="en-US" w:eastAsia="zh-CN"/>
        </w:rPr>
        <w:t>2026年12月31日以前完成养老机构运营经费拨付计划，保障机构正常运营。</w:t>
      </w:r>
    </w:p>
    <w:p w14:paraId="7B870A66">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100万元。</w:t>
      </w:r>
    </w:p>
    <w:p w14:paraId="1F3F22CD">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7、预期总体目标：全面落实中央、省、市、县文件精神和推进养老服务发展要求，健全基本养老服务体系，更好保障老年人生活，充分发挥县、乡、村三级服务网络的作用，健全基本养老服务保障机制</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 xml:space="preserve">  </w:t>
      </w:r>
    </w:p>
    <w:p w14:paraId="1A4A4423">
      <w:pPr>
        <w:adjustRightInd w:val="0"/>
        <w:snapToGrid w:val="0"/>
        <w:spacing w:line="240" w:lineRule="auto"/>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（四）</w:t>
      </w:r>
      <w:r>
        <w:rPr>
          <w:rFonts w:hint="eastAsia" w:ascii="楷体_GB2312" w:hAnsi="楷体" w:eastAsia="楷体_GB2312" w:cs="宋体"/>
          <w:b/>
          <w:bCs/>
          <w:kern w:val="0"/>
          <w:sz w:val="32"/>
          <w:szCs w:val="32"/>
          <w:highlight w:val="none"/>
          <w:lang w:eastAsia="zh-CN"/>
        </w:rPr>
        <w:t>单位</w:t>
      </w:r>
      <w:r>
        <w:rPr>
          <w:rFonts w:hint="eastAsia" w:ascii="楷体_GB2312" w:hAnsi="楷体" w:eastAsia="楷体_GB2312" w:cs="宋体"/>
          <w:b/>
          <w:bCs/>
          <w:kern w:val="0"/>
          <w:sz w:val="32"/>
          <w:szCs w:val="32"/>
          <w:highlight w:val="none"/>
        </w:rPr>
        <w:t>管理转移支付情况</w:t>
      </w:r>
    </w:p>
    <w:p w14:paraId="53C7AD7A">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年，未安排预算</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管理转移支付表为空表。</w:t>
      </w:r>
    </w:p>
    <w:p w14:paraId="3EC71246">
      <w:pPr>
        <w:adjustRightInd w:val="0"/>
        <w:snapToGrid w:val="0"/>
        <w:spacing w:line="640" w:lineRule="exact"/>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eastAsia="zh-CN"/>
        </w:rPr>
        <w:t>，</w:t>
      </w:r>
      <w:r>
        <w:rPr>
          <w:rFonts w:hint="eastAsia" w:ascii="仿宋_GB2312" w:hAnsi="楷体" w:eastAsia="仿宋_GB2312"/>
          <w:sz w:val="32"/>
          <w:szCs w:val="32"/>
          <w:highlight w:val="none"/>
        </w:rPr>
        <w:t>未安排预算，国有资本经营预算支出情况表为空表。</w:t>
      </w:r>
    </w:p>
    <w:p w14:paraId="1ED9B130">
      <w:pPr>
        <w:adjustRightInd w:val="0"/>
        <w:snapToGrid w:val="0"/>
        <w:spacing w:line="640" w:lineRule="exact"/>
        <w:ind w:firstLine="643" w:firstLineChars="200"/>
        <w:contextualSpacing/>
        <w:rPr>
          <w:rFonts w:ascii="黑体" w:hAnsi="黑体" w:eastAsia="黑体" w:cs="宋体"/>
          <w:kern w:val="0"/>
          <w:sz w:val="32"/>
          <w:szCs w:val="32"/>
        </w:rPr>
      </w:pPr>
      <w:r>
        <w:rPr>
          <w:rFonts w:hint="eastAsia" w:ascii="黑体" w:hAnsi="黑体" w:eastAsia="黑体" w:cs="宋体"/>
          <w:b/>
          <w:bCs/>
          <w:kern w:val="0"/>
          <w:sz w:val="32"/>
          <w:szCs w:val="32"/>
        </w:rPr>
        <w:t>十、</w:t>
      </w:r>
      <w:r>
        <w:rPr>
          <w:rFonts w:hint="eastAsia" w:ascii="黑体" w:hAnsi="黑体" w:eastAsia="黑体" w:cs="宋体"/>
          <w:kern w:val="0"/>
          <w:sz w:val="32"/>
          <w:szCs w:val="32"/>
        </w:rPr>
        <w:t>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个，公开率为 </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3B32F544">
      <w:pPr>
        <w:widowControl/>
        <w:adjustRightInd w:val="0"/>
        <w:snapToGrid w:val="0"/>
        <w:spacing w:line="640" w:lineRule="exact"/>
        <w:ind w:firstLine="643" w:firstLineChars="200"/>
        <w:contextualSpacing/>
        <w:jc w:val="left"/>
        <w:rPr>
          <w:rFonts w:ascii="仿宋_GB2312" w:hAnsi="仿宋" w:eastAsia="仿宋_GB2312"/>
          <w:color w:val="auto"/>
          <w:sz w:val="32"/>
          <w:szCs w:val="32"/>
        </w:rPr>
      </w:pPr>
      <w:r>
        <w:rPr>
          <w:rFonts w:hint="eastAsia" w:ascii="仿宋_GB2312" w:hAnsi="仿宋" w:eastAsia="仿宋_GB2312"/>
          <w:b/>
          <w:sz w:val="32"/>
          <w:szCs w:val="32"/>
        </w:rPr>
        <w:t>2.绩效运行监控情况。</w:t>
      </w:r>
      <w:r>
        <w:rPr>
          <w:rFonts w:hint="eastAsia" w:ascii="仿宋_GB2312" w:hAnsi="仿宋" w:eastAsia="仿宋_GB2312"/>
          <w:color w:val="auto"/>
          <w:sz w:val="32"/>
          <w:szCs w:val="32"/>
          <w:lang w:eastAsia="zh-CN"/>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rPr>
        <w:t>月，组织开展1-</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个，占本</w:t>
      </w:r>
      <w:r>
        <w:rPr>
          <w:rFonts w:hint="eastAsia" w:ascii="仿宋_GB2312" w:hAnsi="CIDFont+F6" w:eastAsia="仿宋_GB2312"/>
          <w:color w:val="auto"/>
          <w:sz w:val="32"/>
          <w:szCs w:val="32"/>
        </w:rPr>
        <w:t>部门</w:t>
      </w:r>
      <w:r>
        <w:rPr>
          <w:rFonts w:hint="eastAsia" w:ascii="仿宋_GB2312" w:hAnsi="仿宋" w:eastAsia="仿宋_GB2312"/>
          <w:color w:val="auto"/>
          <w:sz w:val="32"/>
          <w:szCs w:val="32"/>
        </w:rPr>
        <w:t xml:space="preserve">项目的 </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%。截至</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rPr>
        <w:t>月底，开展1-9月绩效运行监控项目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个，占本部门项目的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如期完成预算执行和绩效目标指标值的项目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截至1</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 xml:space="preserve">个，完成率为 </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%。“双监控”</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发现存在的问题。</w:t>
      </w:r>
    </w:p>
    <w:p w14:paraId="2DF7A022">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3.绩效自评开展情况。</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年度，组织开展绩效自评项目共</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个，其中，</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 xml:space="preserve">整体支出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个，项目支出</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 xml:space="preserve">个，转移支付项目 </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个，绩效自评覆盖率为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%。绩效自评结果随</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决算报送财政和随决算公开情况：</w:t>
      </w:r>
      <w:r>
        <w:rPr>
          <w:rFonts w:hint="eastAsia" w:ascii="仿宋_GB2312" w:hAnsi="仿宋" w:eastAsia="仿宋_GB2312"/>
          <w:sz w:val="32"/>
          <w:szCs w:val="32"/>
          <w:highlight w:val="none"/>
          <w:lang w:val="en-US" w:eastAsia="zh-CN"/>
        </w:rPr>
        <w:t>及时公开</w:t>
      </w:r>
      <w:r>
        <w:rPr>
          <w:rFonts w:hint="eastAsia" w:ascii="仿宋_GB2312" w:hAnsi="仿宋" w:eastAsia="仿宋_GB2312"/>
          <w:sz w:val="32"/>
          <w:szCs w:val="32"/>
          <w:highlight w:val="none"/>
        </w:rPr>
        <w:t>。</w:t>
      </w:r>
    </w:p>
    <w:p w14:paraId="4272F840">
      <w:pPr>
        <w:widowControl/>
        <w:adjustRightInd w:val="0"/>
        <w:snapToGrid w:val="0"/>
        <w:spacing w:line="640" w:lineRule="exact"/>
        <w:ind w:firstLine="640" w:firstLineChars="200"/>
        <w:contextualSpacing/>
        <w:jc w:val="left"/>
        <w:rPr>
          <w:rFonts w:hint="eastAsia" w:ascii="仿宋_GB2312" w:hAnsi="仿宋" w:eastAsia="仿宋_GB2312"/>
          <w:sz w:val="32"/>
          <w:szCs w:val="32"/>
          <w:highlight w:val="none"/>
        </w:rPr>
      </w:pPr>
      <w:r>
        <w:rPr>
          <w:rFonts w:hint="eastAsia" w:ascii="仿宋_GB2312" w:hAnsi="仿宋" w:eastAsia="仿宋_GB2312"/>
          <w:sz w:val="32"/>
          <w:szCs w:val="32"/>
          <w:highlight w:val="none"/>
        </w:rPr>
        <w:t>4.绩效结果应用情况。根据</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年度绩效运行监控、绩效自评等情况，当年盘活财政资金</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年度</w:t>
      </w:r>
      <w:r>
        <w:rPr>
          <w:rFonts w:hint="eastAsia" w:ascii="仿宋_GB2312" w:hAnsi="仿宋" w:eastAsia="仿宋_GB2312"/>
          <w:sz w:val="32"/>
          <w:szCs w:val="32"/>
          <w:highlight w:val="none"/>
          <w:lang w:val="en-US" w:eastAsia="zh-CN"/>
        </w:rPr>
        <w:t>减少</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预算项目</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个</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共计7个</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较2025年减少36</w:t>
      </w:r>
      <w:r>
        <w:rPr>
          <w:rFonts w:hint="eastAsia" w:ascii="仿宋_GB2312" w:hAnsi="仿宋" w:eastAsia="仿宋_GB2312"/>
          <w:sz w:val="32"/>
          <w:szCs w:val="32"/>
          <w:highlight w:val="none"/>
        </w:rPr>
        <w:t xml:space="preserve"> %。同时对政策和项目资金管理作出调整的</w:t>
      </w:r>
      <w:r>
        <w:rPr>
          <w:rFonts w:hint="eastAsia" w:ascii="仿宋_GB2312" w:hAnsi="仿宋" w:eastAsia="仿宋_GB2312"/>
          <w:sz w:val="32"/>
          <w:szCs w:val="32"/>
          <w:highlight w:val="none"/>
          <w:lang w:val="en-US" w:eastAsia="zh-CN"/>
        </w:rPr>
        <w:t>有2</w:t>
      </w:r>
      <w:r>
        <w:rPr>
          <w:rFonts w:hint="eastAsia" w:ascii="仿宋_GB2312" w:hAnsi="仿宋" w:eastAsia="仿宋_GB2312"/>
          <w:sz w:val="32"/>
          <w:szCs w:val="32"/>
          <w:highlight w:val="none"/>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个。其中，部门整体支出绩效目标围绕部门管理、履职效</w:t>
      </w:r>
      <w:bookmarkStart w:id="0" w:name="_GoBack"/>
      <w:bookmarkEnd w:id="0"/>
      <w:r>
        <w:rPr>
          <w:rFonts w:hint="eastAsia" w:ascii="仿宋_GB2312" w:hAnsi="仿宋" w:eastAsia="仿宋_GB2312"/>
          <w:sz w:val="32"/>
          <w:szCs w:val="32"/>
        </w:rPr>
        <w:t>果、能力建设三个维度，设置二级指标</w:t>
      </w:r>
      <w:r>
        <w:rPr>
          <w:rFonts w:hint="eastAsia" w:ascii="仿宋_GB2312" w:hAnsi="仿宋" w:eastAsia="仿宋_GB2312"/>
          <w:sz w:val="32"/>
          <w:szCs w:val="32"/>
          <w:lang w:val="en-US" w:eastAsia="zh-CN"/>
        </w:rPr>
        <w:t>16</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38</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72CD903">
      <w:pPr>
        <w:adjustRightInd w:val="0"/>
        <w:snapToGrid w:val="0"/>
        <w:spacing w:line="640" w:lineRule="exact"/>
        <w:contextualSpacing/>
        <w:jc w:val="right"/>
        <w:rPr>
          <w:rFonts w:hint="eastAsia" w:ascii="仿宋_GB2312" w:hAnsi="CIDFont+F6" w:eastAsia="仿宋_GB2312"/>
          <w:color w:val="000000"/>
          <w:sz w:val="32"/>
          <w:szCs w:val="32"/>
        </w:rPr>
      </w:pPr>
    </w:p>
    <w:p w14:paraId="2A004D16">
      <w:pPr>
        <w:adjustRightInd w:val="0"/>
        <w:snapToGrid w:val="0"/>
        <w:spacing w:line="640" w:lineRule="exact"/>
        <w:contextualSpacing/>
        <w:jc w:val="right"/>
        <w:rPr>
          <w:rFonts w:hint="eastAsia" w:ascii="仿宋_GB2312" w:hAnsi="CIDFont+F6" w:eastAsia="仿宋_GB2312"/>
          <w:color w:val="000000"/>
          <w:sz w:val="32"/>
          <w:szCs w:val="32"/>
        </w:rPr>
      </w:pPr>
    </w:p>
    <w:p w14:paraId="7046B0C1">
      <w:pPr>
        <w:adjustRightInd w:val="0"/>
        <w:snapToGrid w:val="0"/>
        <w:spacing w:line="640" w:lineRule="exact"/>
        <w:ind w:right="1120"/>
        <w:contextualSpacing/>
        <w:jc w:val="center"/>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w:t>
      </w:r>
      <w:r>
        <w:rPr>
          <w:rFonts w:hint="eastAsia" w:ascii="仿宋_GB2312" w:hAnsi="CIDFont+F6" w:eastAsia="仿宋_GB2312"/>
          <w:color w:val="000000"/>
          <w:sz w:val="32"/>
          <w:szCs w:val="32"/>
          <w:lang w:eastAsia="zh-CN"/>
        </w:rPr>
        <w:t>华池县</w:t>
      </w:r>
      <w:r>
        <w:rPr>
          <w:rFonts w:hint="eastAsia" w:ascii="仿宋_GB2312" w:hAnsi="CIDFont+F6" w:eastAsia="仿宋_GB2312"/>
          <w:color w:val="000000"/>
          <w:sz w:val="32"/>
          <w:szCs w:val="32"/>
          <w:lang w:val="en-US" w:eastAsia="zh-CN"/>
        </w:rPr>
        <w:t>民政局</w:t>
      </w:r>
    </w:p>
    <w:p w14:paraId="1B74D2D0">
      <w:pPr>
        <w:tabs>
          <w:tab w:val="left" w:pos="1272"/>
        </w:tabs>
        <w:ind w:firstLine="5760" w:firstLineChars="1800"/>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2026年3月16日</w:t>
      </w:r>
    </w:p>
    <w:p w14:paraId="6249DA7D">
      <w:pPr>
        <w:tabs>
          <w:tab w:val="left" w:pos="1272"/>
        </w:tabs>
        <w:ind w:firstLine="5760" w:firstLineChars="1800"/>
        <w:rPr>
          <w:rFonts w:hint="eastAsia" w:ascii="仿宋_GB2312" w:hAnsi="CIDFont+F6" w:eastAsia="仿宋_GB2312"/>
          <w:color w:val="000000"/>
          <w:sz w:val="32"/>
          <w:szCs w:val="32"/>
          <w:lang w:val="en-US" w:eastAsia="zh-CN"/>
        </w:rPr>
      </w:pPr>
    </w:p>
    <w:p w14:paraId="71FDD22C">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w:t>
      </w:r>
      <w:r>
        <w:rPr>
          <w:rFonts w:hint="eastAsia" w:ascii="仿宋_GB2312" w:hAnsi="宋体" w:eastAsia="仿宋_GB2312" w:cs="宋体"/>
          <w:spacing w:val="-20"/>
          <w:kern w:val="0"/>
          <w:sz w:val="32"/>
          <w:szCs w:val="32"/>
          <w:lang w:val="en-US" w:eastAsia="zh-CN"/>
        </w:rPr>
        <w:t>民政局</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lang w:val="en-US" w:eastAsia="zh-CN"/>
        </w:rPr>
        <w:t>单位</w:t>
      </w:r>
      <w:r>
        <w:rPr>
          <w:rFonts w:hint="eastAsia" w:ascii="仿宋_GB2312" w:hAnsi="宋体" w:eastAsia="仿宋_GB2312" w:cs="宋体"/>
          <w:spacing w:val="-20"/>
          <w:kern w:val="0"/>
          <w:sz w:val="32"/>
          <w:szCs w:val="32"/>
        </w:rPr>
        <w:t>预算公开表</w:t>
      </w:r>
    </w:p>
    <w:p w14:paraId="1DFA096F">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lang w:val="en-US" w:eastAsia="zh-CN"/>
        </w:rPr>
        <w:t>单位</w:t>
      </w:r>
      <w:r>
        <w:rPr>
          <w:rFonts w:hint="eastAsia" w:ascii="仿宋_GB2312" w:hAnsi="宋体" w:eastAsia="仿宋_GB2312" w:cs="宋体"/>
          <w:kern w:val="0"/>
          <w:sz w:val="32"/>
          <w:szCs w:val="32"/>
        </w:rPr>
        <w:t>整体支出绩效目标及预算项目绩效目标表</w:t>
      </w:r>
    </w:p>
    <w:p w14:paraId="44DD93A5">
      <w:pPr>
        <w:pStyle w:val="4"/>
        <w:ind w:left="0" w:leftChars="0" w:firstLine="0" w:firstLineChars="0"/>
        <w:rPr>
          <w:rFonts w:hint="eastAsia"/>
        </w:rPr>
      </w:pPr>
    </w:p>
    <w:p w14:paraId="6C80D2AE">
      <w:pPr>
        <w:tabs>
          <w:tab w:val="left" w:pos="1272"/>
        </w:tabs>
        <w:ind w:firstLine="5760" w:firstLineChars="1800"/>
        <w:rPr>
          <w:rFonts w:hint="eastAsia" w:ascii="仿宋_GB2312" w:hAnsi="CIDFont+F6" w:eastAsia="仿宋_GB2312"/>
          <w:color w:val="000000"/>
          <w:sz w:val="32"/>
          <w:szCs w:val="32"/>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6"/>
      <w:jc w:val="center"/>
    </w:pPr>
  </w:p>
  <w:p w14:paraId="18AFAB9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6"/>
      <w:jc w:val="center"/>
    </w:pPr>
    <w:r>
      <w:fldChar w:fldCharType="begin"/>
    </w:r>
    <w:r>
      <w:instrText xml:space="preserve">PAGE   \* MERGEFORMAT</w:instrText>
    </w:r>
    <w:r>
      <w:fldChar w:fldCharType="separate"/>
    </w:r>
    <w:r>
      <w:rPr>
        <w:lang w:val="zh-CN"/>
      </w:rPr>
      <w:t>27</w:t>
    </w:r>
    <w:r>
      <w:fldChar w:fldCharType="end"/>
    </w:r>
  </w:p>
  <w:p w14:paraId="7F222DA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64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1AC1"/>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4641540"/>
    <w:rsid w:val="0723742E"/>
    <w:rsid w:val="113741D2"/>
    <w:rsid w:val="128724F6"/>
    <w:rsid w:val="137E3987"/>
    <w:rsid w:val="150360C6"/>
    <w:rsid w:val="158A6D18"/>
    <w:rsid w:val="18330BA7"/>
    <w:rsid w:val="1D34261E"/>
    <w:rsid w:val="1D882867"/>
    <w:rsid w:val="1F15767E"/>
    <w:rsid w:val="24AB4534"/>
    <w:rsid w:val="2A505BBC"/>
    <w:rsid w:val="2B6F2DD8"/>
    <w:rsid w:val="2BA207D1"/>
    <w:rsid w:val="2D3E3216"/>
    <w:rsid w:val="323A2127"/>
    <w:rsid w:val="32F50547"/>
    <w:rsid w:val="348903E7"/>
    <w:rsid w:val="35370DDB"/>
    <w:rsid w:val="360636A0"/>
    <w:rsid w:val="3879492F"/>
    <w:rsid w:val="38A72D01"/>
    <w:rsid w:val="3E64600E"/>
    <w:rsid w:val="42A05423"/>
    <w:rsid w:val="43A22185"/>
    <w:rsid w:val="43A8628C"/>
    <w:rsid w:val="44946FF8"/>
    <w:rsid w:val="4BDA09AC"/>
    <w:rsid w:val="4C433C79"/>
    <w:rsid w:val="4D7F46B4"/>
    <w:rsid w:val="51CE3D3F"/>
    <w:rsid w:val="527E074E"/>
    <w:rsid w:val="54AA3DF7"/>
    <w:rsid w:val="56393C72"/>
    <w:rsid w:val="579503FF"/>
    <w:rsid w:val="58AE7C9F"/>
    <w:rsid w:val="60193217"/>
    <w:rsid w:val="60535296"/>
    <w:rsid w:val="61384190"/>
    <w:rsid w:val="653E3E3E"/>
    <w:rsid w:val="659070FD"/>
    <w:rsid w:val="66D53242"/>
    <w:rsid w:val="686B6B5C"/>
    <w:rsid w:val="6A143022"/>
    <w:rsid w:val="6BF61837"/>
    <w:rsid w:val="6CCD4BDE"/>
    <w:rsid w:val="6E391F20"/>
    <w:rsid w:val="70E86ED8"/>
    <w:rsid w:val="72FD2525"/>
    <w:rsid w:val="73C02B06"/>
    <w:rsid w:val="76FB26C3"/>
    <w:rsid w:val="78106856"/>
    <w:rsid w:val="7BAD46CF"/>
    <w:rsid w:val="7C6C23C4"/>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0"/>
    <w:pPr>
      <w:jc w:val="left"/>
    </w:pPr>
  </w:style>
  <w:style w:type="paragraph" w:styleId="4">
    <w:name w:val="Body Text Indent 2"/>
    <w:basedOn w:val="1"/>
    <w:next w:val="1"/>
    <w:qFormat/>
    <w:uiPriority w:val="0"/>
    <w:pPr>
      <w:spacing w:line="480" w:lineRule="auto"/>
      <w:ind w:left="420" w:leftChars="200"/>
    </w:pPr>
  </w:style>
  <w:style w:type="paragraph" w:styleId="5">
    <w:name w:val="Balloon Text"/>
    <w:basedOn w:val="1"/>
    <w:link w:val="17"/>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1"/>
    <w:autoRedefine/>
    <w:qFormat/>
    <w:uiPriority w:val="0"/>
    <w:rPr>
      <w:b/>
      <w:bCs/>
    </w:rPr>
  </w:style>
  <w:style w:type="character" w:styleId="12">
    <w:name w:val="line number"/>
    <w:autoRedefine/>
    <w:qFormat/>
    <w:uiPriority w:val="0"/>
  </w:style>
  <w:style w:type="character" w:styleId="13">
    <w:name w:val="annotation reference"/>
    <w:autoRedefine/>
    <w:qFormat/>
    <w:uiPriority w:val="0"/>
    <w:rPr>
      <w:sz w:val="21"/>
      <w:szCs w:val="21"/>
    </w:rPr>
  </w:style>
  <w:style w:type="character" w:customStyle="1" w:styleId="14">
    <w:name w:val="页脚 Char"/>
    <w:link w:val="6"/>
    <w:qFormat/>
    <w:uiPriority w:val="0"/>
    <w:rPr>
      <w:sz w:val="18"/>
      <w:szCs w:val="18"/>
    </w:rPr>
  </w:style>
  <w:style w:type="character" w:customStyle="1" w:styleId="15">
    <w:name w:val="页眉 Char"/>
    <w:link w:val="7"/>
    <w:autoRedefine/>
    <w:qFormat/>
    <w:uiPriority w:val="0"/>
    <w:rPr>
      <w:sz w:val="18"/>
      <w:szCs w:val="18"/>
    </w:rPr>
  </w:style>
  <w:style w:type="paragraph" w:styleId="16">
    <w:name w:val="List Paragraph"/>
    <w:basedOn w:val="1"/>
    <w:qFormat/>
    <w:uiPriority w:val="0"/>
    <w:pPr>
      <w:ind w:firstLine="420" w:firstLineChars="200"/>
    </w:pPr>
  </w:style>
  <w:style w:type="character" w:customStyle="1" w:styleId="17">
    <w:name w:val="批注框文本 Char"/>
    <w:link w:val="5"/>
    <w:qFormat/>
    <w:uiPriority w:val="0"/>
    <w:rPr>
      <w:kern w:val="2"/>
      <w:sz w:val="18"/>
      <w:szCs w:val="18"/>
    </w:rPr>
  </w:style>
  <w:style w:type="character" w:customStyle="1" w:styleId="18">
    <w:name w:val="标题 1 Char"/>
    <w:link w:val="2"/>
    <w:autoRedefine/>
    <w:qFormat/>
    <w:uiPriority w:val="0"/>
    <w:rPr>
      <w:rFonts w:ascii="Times New Roman" w:hAnsi="Times New Roman"/>
      <w:b/>
      <w:bCs/>
      <w:kern w:val="44"/>
      <w:sz w:val="44"/>
      <w:szCs w:val="44"/>
    </w:rPr>
  </w:style>
  <w:style w:type="paragraph" w:customStyle="1" w:styleId="1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0">
    <w:name w:val="批注文字 Char"/>
    <w:link w:val="3"/>
    <w:qFormat/>
    <w:uiPriority w:val="0"/>
    <w:rPr>
      <w:kern w:val="2"/>
      <w:sz w:val="21"/>
      <w:szCs w:val="22"/>
    </w:rPr>
  </w:style>
  <w:style w:type="character" w:customStyle="1" w:styleId="21">
    <w:name w:val="批注主题 Char"/>
    <w:link w:val="9"/>
    <w:qFormat/>
    <w:uiPriority w:val="0"/>
    <w:rPr>
      <w:b/>
      <w:bCs/>
      <w:kern w:val="2"/>
      <w:sz w:val="21"/>
      <w:szCs w:val="22"/>
    </w:rPr>
  </w:style>
  <w:style w:type="character" w:customStyle="1" w:styleId="22">
    <w:name w:val="fontstyle01"/>
    <w:autoRedefine/>
    <w:qFormat/>
    <w:uiPriority w:val="0"/>
    <w:rPr>
      <w:rFonts w:hint="eastAsia" w:ascii="仿宋_GB2312" w:eastAsia="仿宋_GB2312"/>
      <w:color w:val="000000"/>
      <w:sz w:val="32"/>
      <w:szCs w:val="32"/>
    </w:rPr>
  </w:style>
  <w:style w:type="character" w:customStyle="1" w:styleId="23">
    <w:name w:val="fontstyle21"/>
    <w:autoRedefine/>
    <w:qFormat/>
    <w:uiPriority w:val="0"/>
    <w:rPr>
      <w:rFonts w:hint="default" w:ascii="TimesNewRomanPSMT" w:hAnsi="TimesNewRomanPSMT"/>
      <w:color w:val="000000"/>
      <w:sz w:val="32"/>
      <w:szCs w:val="32"/>
    </w:rPr>
  </w:style>
  <w:style w:type="character" w:customStyle="1" w:styleId="24">
    <w:name w:val="fontstyle11"/>
    <w:autoRedefine/>
    <w:qFormat/>
    <w:uiPriority w:val="0"/>
    <w:rPr>
      <w:rFonts w:hint="eastAsia" w:ascii="仿宋_GB2312" w:eastAsia="仿宋_GB2312"/>
      <w:color w:val="000000"/>
      <w:sz w:val="32"/>
      <w:szCs w:val="32"/>
    </w:rPr>
  </w:style>
  <w:style w:type="character" w:customStyle="1" w:styleId="25">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15</Pages>
  <Words>6779</Words>
  <Characters>7140</Characters>
  <Lines>68</Lines>
  <Paragraphs>19</Paragraphs>
  <TotalTime>12</TotalTime>
  <ScaleCrop>false</ScaleCrop>
  <LinksUpToDate>false</LinksUpToDate>
  <CharactersWithSpaces>7475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lenovo</cp:lastModifiedBy>
  <cp:lastPrinted>2022-02-15T15:45:00Z</cp:lastPrinted>
  <dcterms:modified xsi:type="dcterms:W3CDTF">2026-03-17T01:25:33Z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750F2C738C524418A0736099BB7114C6_13</vt:lpwstr>
  </property>
  <property fmtid="{D5CDD505-2E9C-101B-9397-08002B2CF9AE}" pid="4" name="KSOTemplateDocerSaveRecord">
    <vt:lpwstr>eyJoZGlkIjoiODY5NTlhNDA2MjAxY2Y4ZDc1YmRmZjQxMjJkZWI3NDYiLCJ1c2VySWQiOiIyMzI3NjgyNjMifQ==</vt:lpwstr>
  </property>
</Properties>
</file>