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70BE9BE">
      <w:pPr>
        <w:spacing w:line="660" w:lineRule="exact"/>
        <w:jc w:val="center"/>
        <w:rPr>
          <w:rFonts w:ascii="宋体" w:hAnsi="宋体" w:cs="宋体"/>
          <w:b/>
          <w:bCs/>
          <w:kern w:val="0"/>
          <w:sz w:val="44"/>
          <w:szCs w:val="44"/>
        </w:rPr>
      </w:pPr>
      <w:r>
        <w:rPr>
          <w:rFonts w:hint="eastAsia" w:ascii="宋体" w:hAnsi="宋体" w:cs="宋体"/>
          <w:b/>
          <w:bCs/>
          <w:kern w:val="0"/>
          <w:sz w:val="44"/>
          <w:szCs w:val="44"/>
          <w:lang w:val="en-US" w:eastAsia="zh-CN"/>
        </w:rPr>
        <w:t>华池县民政局</w:t>
      </w:r>
    </w:p>
    <w:p w14:paraId="6961B83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年</w:t>
      </w:r>
      <w:r>
        <w:rPr>
          <w:rFonts w:hint="eastAsia" w:ascii="宋体" w:hAnsi="宋体" w:cs="宋体"/>
          <w:b/>
          <w:bCs/>
          <w:kern w:val="0"/>
          <w:sz w:val="44"/>
          <w:szCs w:val="44"/>
          <w:lang w:val="en-US" w:eastAsia="zh-CN"/>
        </w:rPr>
        <w:t>部门</w:t>
      </w:r>
      <w:r>
        <w:rPr>
          <w:rFonts w:hint="eastAsia" w:ascii="宋体" w:hAnsi="宋体" w:cs="宋体"/>
          <w:b/>
          <w:bCs/>
          <w:kern w:val="0"/>
          <w:sz w:val="44"/>
          <w:szCs w:val="44"/>
        </w:rPr>
        <w:t xml:space="preserve">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第一部分 </w:t>
      </w:r>
      <w:r>
        <w:rPr>
          <w:rFonts w:hint="eastAsia" w:ascii="仿宋_GB2312" w:hAnsi="仿宋" w:eastAsia="仿宋_GB2312"/>
          <w:b/>
          <w:color w:val="000000"/>
          <w:sz w:val="30"/>
          <w:szCs w:val="30"/>
          <w:lang w:val="en-US" w:eastAsia="zh-CN"/>
        </w:rPr>
        <w:t>部门</w:t>
      </w:r>
      <w:r>
        <w:rPr>
          <w:rFonts w:hint="eastAsia" w:ascii="仿宋_GB2312" w:hAnsi="仿宋" w:eastAsia="仿宋_GB2312"/>
          <w:b/>
          <w:color w:val="000000"/>
          <w:sz w:val="30"/>
          <w:szCs w:val="30"/>
        </w:rPr>
        <w:t>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w:t>
      </w:r>
      <w:r>
        <w:rPr>
          <w:rFonts w:hint="eastAsia" w:ascii="仿宋_GB2312" w:hAnsi="仿宋" w:eastAsia="仿宋_GB2312"/>
          <w:b/>
          <w:color w:val="000000"/>
          <w:sz w:val="30"/>
          <w:szCs w:val="30"/>
          <w:lang w:val="en-US" w:eastAsia="zh-CN"/>
        </w:rPr>
        <w:t>部门</w:t>
      </w:r>
      <w:r>
        <w:rPr>
          <w:rFonts w:hint="eastAsia" w:ascii="仿宋_GB2312" w:hAnsi="仿宋" w:eastAsia="仿宋_GB2312"/>
          <w:b/>
          <w:color w:val="000000"/>
          <w:sz w:val="30"/>
          <w:szCs w:val="30"/>
        </w:rPr>
        <w:t>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w:t>
      </w:r>
      <w:r>
        <w:rPr>
          <w:rFonts w:hint="eastAsia" w:ascii="仿宋_GB2312" w:hAnsi="仿宋" w:eastAsia="仿宋_GB2312"/>
          <w:b/>
          <w:color w:val="000000"/>
          <w:sz w:val="30"/>
          <w:szCs w:val="30"/>
          <w:lang w:val="en-US" w:eastAsia="zh-CN"/>
        </w:rPr>
        <w:t>部门</w:t>
      </w:r>
      <w:r>
        <w:rPr>
          <w:rFonts w:hint="eastAsia" w:ascii="仿宋_GB2312" w:hAnsi="仿宋" w:eastAsia="仿宋_GB2312"/>
          <w:b/>
          <w:color w:val="000000"/>
          <w:sz w:val="30"/>
          <w:szCs w:val="30"/>
        </w:rPr>
        <w:t>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518B5ED3">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14:paraId="2F2CF458">
      <w:pPr>
        <w:spacing w:line="579"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（一）贯彻执行国家、省、市关于民政工作的法律法规，拟订全县民政事业发展规划和相关政策，并组织实施、监督检查。</w:t>
      </w:r>
    </w:p>
    <w:p w14:paraId="5D91DC76">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（二）承担依法对全县社会团体、基金会、社会服务机构进行管理和监督检查的责任，负责公开募捐资格审批和县管慈善组织认</w:t>
      </w:r>
      <w:r>
        <w:rPr>
          <w:rFonts w:hint="eastAsia" w:ascii="仿宋_GB2312" w:hAnsi="仿宋_GB2312" w:eastAsia="仿宋_GB2312" w:cs="仿宋_GB2312"/>
          <w:spacing w:val="-20"/>
          <w:sz w:val="32"/>
          <w:szCs w:val="32"/>
          <w:highlight w:val="none"/>
        </w:rPr>
        <w:t>定工作，负责无</w:t>
      </w:r>
      <w:r>
        <w:rPr>
          <w:rFonts w:hint="eastAsia" w:ascii="仿宋_GB2312" w:hAnsi="仿宋_GB2312" w:eastAsia="仿宋_GB2312" w:cs="仿宋_GB2312"/>
          <w:sz w:val="32"/>
          <w:szCs w:val="32"/>
          <w:highlight w:val="none"/>
        </w:rPr>
        <w:t>业务主管</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的全县性社会组织的党建工作。</w:t>
      </w:r>
    </w:p>
    <w:p w14:paraId="1C800EAB">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（三）贯彻执行全县社会救助规划、政策，健全和完善城乡社会救助体系，负责城乡居民最低生活保障、特困人员救助供养、临时救助、生活无着流浪乞讨人员救助工作。</w:t>
      </w:r>
    </w:p>
    <w:p w14:paraId="03A65D75">
      <w:pPr>
        <w:spacing w:line="579"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贯彻执行行政区划，行政区域界线管理和地名管理政策、标准，负责乡（镇）、村（社区）行政区域的设立、撤销、调整、更名和界线变更以及政府驻地迁移的审核报批工作，负责县级行政区域界线的勘定和管理工作，负责全县重要自然地理实体命名、更名的审核报批工作，规范全县地名标志的设置和管理，负责县内标准地名图书资料的审定工作。</w:t>
      </w:r>
    </w:p>
    <w:p w14:paraId="59A65676">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五</w:t>
      </w:r>
      <w:r>
        <w:rPr>
          <w:rFonts w:hint="eastAsia" w:ascii="仿宋_GB2312" w:hAnsi="仿宋_GB2312" w:eastAsia="仿宋_GB2312" w:cs="仿宋_GB2312"/>
          <w:sz w:val="32"/>
          <w:szCs w:val="32"/>
          <w:highlight w:val="none"/>
        </w:rPr>
        <w:t>）贯彻执行婚姻管理政策，推进婚俗改革。</w:t>
      </w:r>
    </w:p>
    <w:p w14:paraId="243C33CC">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六</w:t>
      </w:r>
      <w:r>
        <w:rPr>
          <w:rFonts w:hint="eastAsia" w:ascii="仿宋_GB2312" w:hAnsi="仿宋_GB2312" w:eastAsia="仿宋_GB2312" w:cs="仿宋_GB2312"/>
          <w:sz w:val="32"/>
          <w:szCs w:val="32"/>
          <w:highlight w:val="none"/>
        </w:rPr>
        <w:t>）贯彻执行殡葬管理政策、服务规范，推进殡葬改革，规范丧葬用品市场，指导殡葬事业</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 xml:space="preserve">建设；负责公用墓地的管理，倡导移风易俗。 </w:t>
      </w:r>
    </w:p>
    <w:p w14:paraId="00035332">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拟定并协调落实积极应对人口老龄化政策措施、指导协调全县老年人权益保障工作，组织开展人口老龄化国情宣传教育，拟定老年人社会参与政策并组织实施，承担老年人口状况、老龄事业发展的统计调查工作。</w:t>
      </w:r>
    </w:p>
    <w:p w14:paraId="2D76F9FD">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八</w:t>
      </w:r>
      <w:r>
        <w:rPr>
          <w:rFonts w:hint="eastAsia" w:ascii="仿宋_GB2312" w:hAnsi="仿宋_GB2312" w:eastAsia="仿宋_GB2312" w:cs="仿宋_GB2312"/>
          <w:sz w:val="32"/>
          <w:szCs w:val="32"/>
          <w:highlight w:val="none"/>
        </w:rPr>
        <w:t>）统筹推进、督促指导、监督管理养老服务工作，制定养老服务体系建设规划、政策、标准并组织实施，承担老年人福利和特殊困难老年人救助工作。</w:t>
      </w:r>
    </w:p>
    <w:p w14:paraId="6BFF81FD">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九</w:t>
      </w:r>
      <w:r>
        <w:rPr>
          <w:rFonts w:hint="eastAsia" w:ascii="仿宋_GB2312" w:hAnsi="仿宋_GB2312" w:eastAsia="仿宋_GB2312" w:cs="仿宋_GB2312"/>
          <w:sz w:val="32"/>
          <w:szCs w:val="32"/>
          <w:highlight w:val="none"/>
        </w:rPr>
        <w:t>）贯彻执行残疾人权益保护政策，推进残疾人福利制度建设和康复辅助器具产业发展。</w:t>
      </w:r>
    </w:p>
    <w:p w14:paraId="7061596D">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sz w:val="32"/>
          <w:szCs w:val="32"/>
          <w:highlight w:val="none"/>
        </w:rPr>
        <w:t>）贯彻执行儿童福利、孤弃儿童保障、儿童收养、儿童救助保护政策、标准，健全农村留守儿童关爱服务体系和困境儿童保障制度。</w:t>
      </w:r>
    </w:p>
    <w:p w14:paraId="4C6EBDE8">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）贯彻执行促进慈善事业发展政策，指导社会捐助工作,负责福利彩票管理工作。</w:t>
      </w:r>
    </w:p>
    <w:p w14:paraId="4DF25757">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）贯彻执行志愿服务政策和标准，会同有关</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推进志愿者队伍建设。</w:t>
      </w:r>
    </w:p>
    <w:p w14:paraId="342A548D">
      <w:pPr>
        <w:spacing w:line="579" w:lineRule="exact"/>
        <w:ind w:firstLine="640" w:firstLineChars="200"/>
        <w:rPr>
          <w:rFonts w:hint="eastAsia" w:ascii="仿宋_GB2312" w:hAnsi="仿宋" w:eastAsia="仿宋_GB2312" w:cs="宋体"/>
          <w:kern w:val="0"/>
          <w:sz w:val="32"/>
          <w:szCs w:val="32"/>
          <w:lang w:eastAsia="zh-CN"/>
        </w:rPr>
      </w:pPr>
      <w:r>
        <w:rPr>
          <w:rFonts w:hint="eastAsia" w:ascii="仿宋_GB2312" w:hAnsi="仿宋_GB2312" w:eastAsia="仿宋_GB2312" w:cs="仿宋_GB2312"/>
          <w:sz w:val="32"/>
          <w:szCs w:val="32"/>
          <w:highlight w:val="none"/>
        </w:rPr>
        <w:t>（十</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）完成县委、县政府及上级业务</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交办的其他事项</w:t>
      </w:r>
      <w:r>
        <w:rPr>
          <w:rFonts w:hint="eastAsia" w:ascii="仿宋_GB2312" w:hAnsi="仿宋_GB2312" w:eastAsia="仿宋_GB2312" w:cs="仿宋_GB2312"/>
          <w:sz w:val="32"/>
          <w:szCs w:val="32"/>
          <w:highlight w:val="none"/>
          <w:lang w:eastAsia="zh-CN"/>
        </w:rPr>
        <w:t>。</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196F53BC">
      <w:pPr>
        <w:keepNext w:val="0"/>
        <w:keepLines w:val="0"/>
        <w:pageBreakBefore w:val="0"/>
        <w:widowControl w:val="0"/>
        <w:kinsoku/>
        <w:wordWrap w:val="0"/>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cs="仿宋_GB2312"/>
          <w:sz w:val="32"/>
          <w:szCs w:val="32"/>
          <w:highlight w:val="none"/>
          <w:lang w:val="en-US" w:eastAsia="zh-CN"/>
        </w:rPr>
      </w:pPr>
      <w:r>
        <w:rPr>
          <w:rFonts w:hint="eastAsia" w:ascii="仿宋_GB2312" w:eastAsia="仿宋_GB2312" w:cs="仿宋_GB2312"/>
          <w:sz w:val="32"/>
          <w:szCs w:val="32"/>
          <w:highlight w:val="none"/>
          <w:lang w:val="en-US" w:eastAsia="zh-CN"/>
        </w:rPr>
        <w:t>华池县民政局</w:t>
      </w:r>
      <w:r>
        <w:rPr>
          <w:rFonts w:hint="eastAsia" w:ascii="仿宋_GB2312" w:hAnsi="仿宋_GB2312" w:eastAsia="仿宋_GB2312" w:cs="仿宋_GB2312"/>
          <w:b w:val="0"/>
          <w:bCs w:val="0"/>
          <w:color w:val="auto"/>
          <w:spacing w:val="0"/>
          <w:kern w:val="2"/>
          <w:sz w:val="32"/>
          <w:szCs w:val="32"/>
          <w:highlight w:val="none"/>
          <w:lang w:val="en-US" w:eastAsia="zh-CN" w:bidi="ar-SA"/>
        </w:rPr>
        <w:t>现内设4个股室</w:t>
      </w:r>
      <w:r>
        <w:rPr>
          <w:rFonts w:hint="eastAsia" w:ascii="楷体_GB2312" w:hAnsi="楷体_GB2312" w:eastAsia="楷体_GB2312" w:cs="楷体_GB2312"/>
          <w:b/>
          <w:bCs/>
          <w:color w:val="auto"/>
          <w:spacing w:val="0"/>
          <w:kern w:val="2"/>
          <w:sz w:val="28"/>
          <w:szCs w:val="28"/>
          <w:highlight w:val="none"/>
          <w:lang w:val="en-US" w:eastAsia="zh-CN" w:bidi="ar-SA"/>
        </w:rPr>
        <w:t>（办公室、老龄养老和儿童福利股、社会救助和社会组织管理股、社会事务和区划地名股）。</w:t>
      </w:r>
    </w:p>
    <w:p w14:paraId="0016893B">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办公室。负责贯彻执行民政事业发展法律法规、政策、制定单位规章并组织实施；负责机关日常运转，办理机关文秘文电、会务、机要、人事管理、机构编制、教育培训、档案管理、党务政务公开、党风廉政建设、机关党建、政务协调、安全生产、新闻宣传、保密、信访和统计工作；承办民政项目申报工作；承办机关财务及隶属单位人事劳资、资产管理、离退休人员管理服务工作；指导监督中央、省、市拨付的福利彩票公益金使用管理；负责街接办理县委、县政府交办的其他工作。</w:t>
      </w:r>
    </w:p>
    <w:p w14:paraId="19E0C4B8">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老龄养老和儿童福利股。拟定并协调落实积极应对人口老龄化政策措施、指导协调全县老年人权益保障工作，组织开展人口老龄化国情宣传教育，拟定老年人社会参与政策并组织实施，承担老年人口状况、老龄事业发展的统计调查工作。贯彻执行养老服务体系建设规划、政策、标准，切实推进养老服务业的发展，以居家为基础、依托社区搭建养老服务平合，开展社区居家养老服务；承办老年人福利和特殊困难老年人救助；承办养老服务机构建设管理工作，改善照料护理环境，通过购买社会服务等方式，提高服务水平；贯彻执行儿童福利、孤弃儿童保障、儿童收养、儿童救助保护政策，健全农村留守儿童关爱服务体系和困境儿童保障制度。</w:t>
      </w:r>
    </w:p>
    <w:p w14:paraId="148F86B0">
      <w:pPr>
        <w:spacing w:line="579"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社会救助和社会组织管理股。负责贯彻落实社会救助政策、标准，统筹分层分类社会救助体系建设，负责管理全县低收入人口的认定及其数据库的监测与应用，负责管理全县城乡居民最低生活保障、特困人员救助供养、临时救助、残疾人两项补贴、居民家庭经济状况核对等工作；贯彻执行慈善事业发展政策，组织和实施社会慈善、社会捐助等社会扶助活动。贯彻执行社会团体、基金会、民办非企业等社会组织登记和监督管理办法，依法对全县社会组织进行登记管理和执法监督。</w:t>
      </w:r>
    </w:p>
    <w:p w14:paraId="0D769E8D">
      <w:pPr>
        <w:spacing w:line="60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社会事务和区划地名股。贯彻执行殡葬管理政策，指导殡葬服务，拟定殡葬事业发展规划、政策措施并指导实施；推进殡葬改革，强化公墓监管；承办流浪乞讨人员救助相关工作，指导开展家庭暴力受害人临时庇护救助工作；贯彻落实行政区划、行政区域界限管理和地名管理政策、标准，承办县内行政区划设立、命名、变更和政府驻地迁移审核报批工作，组织和实施行政区域界线管理工作；承办地名管理工作，地名命名、更名的审核报批工作；承办行政区域界线的勘定管理和边界争议的调查</w:t>
      </w:r>
      <w:r>
        <w:rPr>
          <w:rFonts w:hint="eastAsia" w:ascii="仿宋_GB2312" w:hAnsi="仿宋" w:eastAsia="仿宋_GB2312" w:cs="宋体"/>
          <w:kern w:val="0"/>
          <w:sz w:val="32"/>
          <w:szCs w:val="32"/>
        </w:rPr>
        <w:t>调处</w:t>
      </w:r>
      <w:r>
        <w:rPr>
          <w:rFonts w:hint="eastAsia" w:ascii="仿宋_GB2312" w:hAnsi="仿宋_GB2312" w:eastAsia="仿宋_GB2312" w:cs="仿宋_GB2312"/>
          <w:sz w:val="32"/>
          <w:szCs w:val="32"/>
          <w:highlight w:val="none"/>
        </w:rPr>
        <w:t>工作。协助做好涉及村民委员会、居民委员会中需以政府名义出面的工作。</w:t>
      </w:r>
    </w:p>
    <w:p w14:paraId="30FA1156">
      <w:pPr>
        <w:spacing w:line="579" w:lineRule="exact"/>
        <w:ind w:firstLine="643" w:firstLineChars="200"/>
        <w:rPr>
          <w:rFonts w:hint="eastAsia" w:ascii="楷体_GB2312" w:hAnsi="楷体" w:eastAsia="楷体_GB2312" w:cs="宋体"/>
          <w:b/>
          <w:bCs/>
          <w:kern w:val="0"/>
          <w:sz w:val="32"/>
          <w:szCs w:val="32"/>
          <w:lang w:eastAsia="zh-CN"/>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人员情况</w:t>
      </w:r>
    </w:p>
    <w:p w14:paraId="21668C9E">
      <w:pPr>
        <w:pStyle w:val="8"/>
        <w:numPr>
          <w:ilvl w:val="0"/>
          <w:numId w:val="0"/>
        </w:numPr>
        <w:shd w:val="clear" w:color="auto" w:fill="FFFFFF"/>
        <w:spacing w:before="0" w:beforeAutospacing="0" w:after="0" w:afterAutospacing="0"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华池</w:t>
      </w:r>
      <w:r>
        <w:rPr>
          <w:rFonts w:hint="eastAsia" w:ascii="仿宋_GB2312" w:hAnsi="仿宋_GB2312" w:eastAsia="仿宋_GB2312" w:cs="仿宋_GB2312"/>
          <w:sz w:val="32"/>
          <w:szCs w:val="32"/>
          <w:highlight w:val="none"/>
          <w:lang w:eastAsia="zh-CN"/>
        </w:rPr>
        <w:t>县民政局机关人员编制8名，其中:行政编制6名，机关工勤编制2名。设局长1名、副局长2名。下属1个正科级参公事业单位（县社会救助服务中心设一正一副）、3个副科级事业单位（县婚姻登记处、县社会福利院、悦乐社会福利院）。核定编制数35名（其中行政编制6人、工勤编制2名，事业编17个、自收自支编10个），</w:t>
      </w:r>
      <w:r>
        <w:rPr>
          <w:rFonts w:hint="eastAsia" w:ascii="仿宋_GB2312" w:hAnsi="仿宋_GB2312" w:eastAsia="仿宋_GB2312" w:cs="仿宋_GB2312"/>
          <w:sz w:val="32"/>
          <w:szCs w:val="32"/>
          <w:highlight w:val="none"/>
          <w:lang w:val="en-US" w:eastAsia="zh-CN"/>
        </w:rPr>
        <w:t>民政部门</w:t>
      </w:r>
      <w:r>
        <w:rPr>
          <w:rFonts w:hint="eastAsia" w:ascii="仿宋_GB2312" w:eastAsia="仿宋_GB2312" w:cs="仿宋_GB2312"/>
          <w:b w:val="0"/>
          <w:bCs w:val="0"/>
          <w:color w:val="auto"/>
          <w:sz w:val="32"/>
          <w:szCs w:val="32"/>
          <w:highlight w:val="none"/>
          <w:shd w:val="clear" w:color="auto" w:fill="FFFFFF"/>
        </w:rPr>
        <w:t>财政供养总人数</w:t>
      </w:r>
      <w:r>
        <w:rPr>
          <w:rFonts w:hint="eastAsia" w:ascii="仿宋_GB2312" w:eastAsia="仿宋_GB2312" w:cs="仿宋_GB2312"/>
          <w:b w:val="0"/>
          <w:bCs w:val="0"/>
          <w:color w:val="auto"/>
          <w:sz w:val="32"/>
          <w:szCs w:val="32"/>
          <w:highlight w:val="none"/>
          <w:shd w:val="clear" w:color="auto" w:fill="FFFFFF"/>
          <w:lang w:val="en-US" w:eastAsia="zh-CN"/>
        </w:rPr>
        <w:t>37</w:t>
      </w:r>
      <w:r>
        <w:rPr>
          <w:rFonts w:hint="eastAsia" w:ascii="仿宋_GB2312" w:eastAsia="仿宋_GB2312" w:cs="仿宋_GB2312"/>
          <w:b w:val="0"/>
          <w:bCs w:val="0"/>
          <w:color w:val="auto"/>
          <w:sz w:val="32"/>
          <w:szCs w:val="32"/>
          <w:highlight w:val="none"/>
          <w:shd w:val="clear" w:color="auto" w:fill="FFFFFF"/>
        </w:rPr>
        <w:t>人，其中：在职人员</w:t>
      </w:r>
      <w:r>
        <w:rPr>
          <w:rFonts w:hint="eastAsia" w:ascii="仿宋_GB2312" w:eastAsia="仿宋_GB2312" w:cs="仿宋_GB2312"/>
          <w:b w:val="0"/>
          <w:bCs w:val="0"/>
          <w:color w:val="auto"/>
          <w:sz w:val="32"/>
          <w:szCs w:val="32"/>
          <w:highlight w:val="none"/>
          <w:shd w:val="clear" w:color="auto" w:fill="FFFFFF"/>
          <w:lang w:val="en-US" w:eastAsia="zh-CN"/>
        </w:rPr>
        <w:t>33</w:t>
      </w:r>
      <w:r>
        <w:rPr>
          <w:rFonts w:hint="eastAsia" w:ascii="仿宋_GB2312" w:eastAsia="仿宋_GB2312" w:cs="仿宋_GB2312"/>
          <w:b w:val="0"/>
          <w:bCs w:val="0"/>
          <w:color w:val="auto"/>
          <w:sz w:val="32"/>
          <w:szCs w:val="32"/>
          <w:highlight w:val="none"/>
          <w:shd w:val="clear" w:color="auto" w:fill="FFFFFF"/>
        </w:rPr>
        <w:t>人，遗属</w:t>
      </w:r>
      <w:r>
        <w:rPr>
          <w:rFonts w:hint="eastAsia" w:ascii="仿宋_GB2312" w:eastAsia="仿宋_GB2312" w:cs="仿宋_GB2312"/>
          <w:b w:val="0"/>
          <w:bCs w:val="0"/>
          <w:color w:val="auto"/>
          <w:sz w:val="32"/>
          <w:szCs w:val="32"/>
          <w:highlight w:val="none"/>
          <w:shd w:val="clear" w:color="auto" w:fill="FFFFFF"/>
          <w:lang w:val="en-US" w:eastAsia="zh-CN"/>
        </w:rPr>
        <w:t>6</w:t>
      </w:r>
      <w:r>
        <w:rPr>
          <w:rFonts w:hint="eastAsia" w:ascii="仿宋_GB2312" w:eastAsia="仿宋_GB2312" w:cs="仿宋_GB2312"/>
          <w:b w:val="0"/>
          <w:bCs w:val="0"/>
          <w:color w:val="auto"/>
          <w:sz w:val="32"/>
          <w:szCs w:val="32"/>
          <w:highlight w:val="none"/>
          <w:shd w:val="clear" w:color="auto" w:fill="FFFFFF"/>
        </w:rPr>
        <w:t>人。</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单位</w:t>
      </w:r>
      <w:r>
        <w:rPr>
          <w:rFonts w:hint="eastAsia" w:ascii="仿宋_GB2312" w:hAnsi="仿宋" w:eastAsia="仿宋_GB2312" w:cs="宋体"/>
          <w:kern w:val="0"/>
          <w:sz w:val="32"/>
          <w:szCs w:val="32"/>
        </w:rPr>
        <w:t>收支总预算</w:t>
      </w:r>
      <w:r>
        <w:rPr>
          <w:rFonts w:hint="eastAsia" w:ascii="仿宋_GB2312" w:hAnsi="仿宋" w:eastAsia="仿宋_GB2312" w:cs="宋体"/>
          <w:kern w:val="0"/>
          <w:sz w:val="32"/>
          <w:szCs w:val="32"/>
          <w:lang w:val="en-US" w:eastAsia="zh-CN"/>
        </w:rPr>
        <w:t>1308.71</w:t>
      </w:r>
      <w:r>
        <w:rPr>
          <w:rFonts w:hint="eastAsia" w:ascii="仿宋_GB2312" w:hAnsi="仿宋" w:eastAsia="仿宋_GB2312" w:cs="宋体"/>
          <w:kern w:val="0"/>
          <w:sz w:val="32"/>
          <w:szCs w:val="32"/>
        </w:rPr>
        <w:t>万元。按照综合预算的原则，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1308.71</w:t>
      </w:r>
      <w:r>
        <w:rPr>
          <w:rFonts w:hint="eastAsia" w:ascii="仿宋_GB2312" w:hAnsi="仿宋" w:eastAsia="仿宋_GB2312"/>
          <w:sz w:val="32"/>
          <w:szCs w:val="32"/>
        </w:rPr>
        <w:t>万元（详见单位预算公开表1,2）。包括：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1308.71</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1308.71</w:t>
      </w:r>
      <w:r>
        <w:rPr>
          <w:rFonts w:hint="eastAsia" w:ascii="仿宋_GB2312" w:hAnsi="仿宋" w:eastAsia="仿宋_GB2312"/>
          <w:sz w:val="32"/>
          <w:szCs w:val="32"/>
        </w:rPr>
        <w:t>万元（详见单位预算公开表3）。</w:t>
      </w:r>
      <w:r>
        <w:rPr>
          <w:rStyle w:val="22"/>
          <w:rFonts w:hint="default" w:hAnsi="仿宋"/>
        </w:rPr>
        <w:t>其中：基本支出</w:t>
      </w:r>
      <w:r>
        <w:rPr>
          <w:rStyle w:val="23"/>
          <w:rFonts w:hint="eastAsia" w:ascii="仿宋_GB2312" w:hAnsi="仿宋" w:eastAsia="仿宋_GB2312"/>
          <w:lang w:val="en-US" w:eastAsia="zh-CN"/>
        </w:rPr>
        <w:t>554.44</w:t>
      </w:r>
      <w:r>
        <w:rPr>
          <w:rStyle w:val="22"/>
          <w:rFonts w:hint="default" w:hAnsi="仿宋"/>
        </w:rPr>
        <w:t>万元，占</w:t>
      </w:r>
      <w:r>
        <w:rPr>
          <w:rStyle w:val="22"/>
          <w:rFonts w:hint="eastAsia" w:hAnsi="仿宋" w:eastAsia="仿宋_GB2312"/>
          <w:lang w:val="en-US" w:eastAsia="zh-CN"/>
        </w:rPr>
        <w:t>42.37</w:t>
      </w:r>
      <w:r>
        <w:rPr>
          <w:rStyle w:val="23"/>
          <w:rFonts w:hint="eastAsia" w:ascii="仿宋_GB2312" w:hAnsi="仿宋" w:eastAsia="仿宋_GB2312"/>
        </w:rPr>
        <w:t>%</w:t>
      </w:r>
      <w:r>
        <w:rPr>
          <w:rStyle w:val="22"/>
          <w:rFonts w:hint="default" w:hAnsi="仿宋"/>
        </w:rPr>
        <w:t>；项目支出</w:t>
      </w:r>
      <w:r>
        <w:rPr>
          <w:rStyle w:val="22"/>
          <w:rFonts w:hint="eastAsia" w:hAnsi="仿宋" w:eastAsia="仿宋_GB2312"/>
          <w:lang w:val="en-US" w:eastAsia="zh-CN"/>
        </w:rPr>
        <w:t>754.28</w:t>
      </w:r>
      <w:r>
        <w:rPr>
          <w:rStyle w:val="22"/>
          <w:rFonts w:hint="default" w:hAnsi="仿宋"/>
        </w:rPr>
        <w:t>元，占</w:t>
      </w:r>
      <w:r>
        <w:rPr>
          <w:rStyle w:val="23"/>
          <w:rFonts w:hint="eastAsia" w:ascii="仿宋_GB2312" w:hAnsi="仿宋" w:eastAsia="仿宋_GB2312"/>
          <w:lang w:val="en-US" w:eastAsia="zh-CN"/>
        </w:rPr>
        <w:t>57.63</w:t>
      </w:r>
      <w:r>
        <w:rPr>
          <w:rStyle w:val="23"/>
          <w:rFonts w:hint="eastAsia" w:ascii="仿宋_GB2312" w:hAnsi="仿宋" w:eastAsia="仿宋_GB2312"/>
        </w:rPr>
        <w:t>%</w:t>
      </w:r>
      <w:r>
        <w:rPr>
          <w:rStyle w:val="22"/>
          <w:rFonts w:hint="default" w:hAnsi="仿宋"/>
        </w:rPr>
        <w:t>；上年结转</w:t>
      </w:r>
      <w:r>
        <w:rPr>
          <w:rStyle w:val="23"/>
          <w:rFonts w:hint="eastAsia" w:ascii="仿宋_GB2312" w:hAnsi="仿宋" w:eastAsia="仿宋_GB2312"/>
          <w:lang w:val="en-US" w:eastAsia="zh-CN"/>
        </w:rPr>
        <w:t>0</w:t>
      </w:r>
      <w:r>
        <w:rPr>
          <w:rStyle w:val="22"/>
          <w:rFonts w:hint="default" w:hAnsi="仿宋"/>
        </w:rPr>
        <w:t>万元，占</w:t>
      </w:r>
      <w:r>
        <w:rPr>
          <w:rStyle w:val="23"/>
          <w:rFonts w:hint="eastAsia" w:ascii="仿宋_GB2312" w:hAnsi="仿宋" w:eastAsia="仿宋_GB2312"/>
          <w:lang w:val="en-US" w:eastAsia="zh-CN"/>
        </w:rPr>
        <w:t>0.00</w:t>
      </w:r>
      <w:r>
        <w:rPr>
          <w:rStyle w:val="23"/>
          <w:rFonts w:hint="eastAsia" w:ascii="仿宋_GB2312" w:hAnsi="仿宋" w:eastAsia="仿宋_GB2312"/>
        </w:rPr>
        <w:t>%</w:t>
      </w:r>
      <w:r>
        <w:rPr>
          <w:rStyle w:val="22"/>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3"/>
          <w:rFonts w:hint="eastAsia" w:ascii="仿宋_GB2312" w:hAnsi="仿宋" w:eastAsia="仿宋_GB2312"/>
          <w:lang w:eastAsia="zh-CN"/>
        </w:rPr>
        <w:t>202</w:t>
      </w:r>
      <w:r>
        <w:rPr>
          <w:rStyle w:val="23"/>
          <w:rFonts w:hint="default" w:ascii="仿宋_GB2312" w:hAnsi="仿宋" w:eastAsia="仿宋_GB2312"/>
          <w:lang w:val="en-US" w:eastAsia="zh-CN"/>
        </w:rPr>
        <w:t>6</w:t>
      </w:r>
      <w:r>
        <w:rPr>
          <w:rStyle w:val="22"/>
          <w:rFonts w:hint="default" w:hAnsi="仿宋"/>
        </w:rPr>
        <w:t>年一般公共预算当年支出</w:t>
      </w:r>
      <w:r>
        <w:rPr>
          <w:rStyle w:val="23"/>
          <w:rFonts w:hint="eastAsia" w:ascii="仿宋_GB2312" w:hAnsi="仿宋" w:eastAsia="仿宋_GB2312"/>
          <w:lang w:val="en-US" w:eastAsia="zh-CN"/>
        </w:rPr>
        <w:t>1308.71</w:t>
      </w:r>
      <w:r>
        <w:rPr>
          <w:rStyle w:val="22"/>
          <w:rFonts w:hint="default" w:hAnsi="仿宋"/>
        </w:rPr>
        <w:t>万元，包括：社会保障和就业支出</w:t>
      </w:r>
      <w:r>
        <w:rPr>
          <w:rStyle w:val="23"/>
          <w:rFonts w:hint="eastAsia" w:ascii="仿宋_GB2312" w:hAnsi="仿宋" w:eastAsia="仿宋_GB2312"/>
          <w:lang w:val="en-US" w:eastAsia="zh-CN"/>
        </w:rPr>
        <w:t>1243.34</w:t>
      </w:r>
      <w:r>
        <w:rPr>
          <w:rStyle w:val="22"/>
          <w:rFonts w:hint="default" w:hAnsi="仿宋"/>
        </w:rPr>
        <w:t>万元、</w:t>
      </w:r>
      <w:r>
        <w:rPr>
          <w:rStyle w:val="22"/>
          <w:rFonts w:hint="eastAsia" w:hAnsi="仿宋" w:eastAsia="仿宋_GB2312"/>
          <w:lang w:val="en-US" w:eastAsia="zh-CN"/>
        </w:rPr>
        <w:t>卫生健康支出27.52万元、住房保障支出37.85万元</w:t>
      </w:r>
      <w:r>
        <w:rPr>
          <w:rStyle w:val="22"/>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color w:val="auto"/>
          <w:sz w:val="32"/>
          <w:szCs w:val="32"/>
          <w:lang w:val="en-US" w:eastAsia="zh-CN"/>
        </w:rPr>
      </w:pPr>
      <w:r>
        <w:rPr>
          <w:rStyle w:val="22"/>
          <w:rFonts w:hint="eastAsia" w:hAnsi="仿宋"/>
          <w:lang w:eastAsia="zh-CN"/>
        </w:rPr>
        <w:t>202</w:t>
      </w:r>
      <w:r>
        <w:rPr>
          <w:rStyle w:val="22"/>
          <w:rFonts w:hint="default" w:hAnsi="仿宋"/>
          <w:lang w:val="en-US" w:eastAsia="zh-CN"/>
        </w:rPr>
        <w:t>6</w:t>
      </w:r>
      <w:r>
        <w:rPr>
          <w:rStyle w:val="22"/>
          <w:rFonts w:hint="eastAsia" w:hAnsi="仿宋"/>
        </w:rPr>
        <w:t>年基本支出</w:t>
      </w:r>
      <w:r>
        <w:rPr>
          <w:rStyle w:val="22"/>
          <w:rFonts w:hint="eastAsia" w:hAnsi="仿宋"/>
          <w:lang w:val="en-US" w:eastAsia="zh-CN"/>
        </w:rPr>
        <w:t>554.44</w:t>
      </w:r>
      <w:r>
        <w:rPr>
          <w:rStyle w:val="22"/>
          <w:rFonts w:hint="eastAsia" w:hAnsi="仿宋"/>
        </w:rPr>
        <w:t>万元，比</w:t>
      </w:r>
      <w:r>
        <w:rPr>
          <w:rStyle w:val="22"/>
          <w:rFonts w:hint="eastAsia" w:hAnsi="仿宋"/>
          <w:lang w:eastAsia="zh-CN"/>
        </w:rPr>
        <w:t>202</w:t>
      </w:r>
      <w:r>
        <w:rPr>
          <w:rStyle w:val="22"/>
          <w:rFonts w:hint="default" w:hAnsi="仿宋"/>
          <w:lang w:val="en-US" w:eastAsia="zh-CN"/>
        </w:rPr>
        <w:t>5</w:t>
      </w:r>
      <w:r>
        <w:rPr>
          <w:rStyle w:val="22"/>
          <w:rFonts w:hint="eastAsia" w:hAnsi="仿宋"/>
        </w:rPr>
        <w:t>年预算</w:t>
      </w:r>
      <w:r>
        <w:rPr>
          <w:rStyle w:val="22"/>
          <w:rFonts w:hint="eastAsia" w:hAnsi="仿宋" w:eastAsia="仿宋_GB2312"/>
          <w:lang w:val="en-US" w:eastAsia="zh-CN"/>
        </w:rPr>
        <w:t>增加57.9</w:t>
      </w:r>
      <w:r>
        <w:rPr>
          <w:rStyle w:val="22"/>
          <w:rFonts w:hint="eastAsia" w:hAnsi="仿宋"/>
        </w:rPr>
        <w:t>万元，</w:t>
      </w:r>
      <w:r>
        <w:rPr>
          <w:rStyle w:val="22"/>
          <w:rFonts w:hint="eastAsia" w:hAnsi="仿宋" w:eastAsia="仿宋_GB2312"/>
          <w:lang w:val="en-US" w:eastAsia="zh-CN"/>
        </w:rPr>
        <w:t>增加</w:t>
      </w:r>
      <w:r>
        <w:rPr>
          <w:rStyle w:val="22"/>
          <w:rFonts w:hint="eastAsia" w:hAnsi="仿宋"/>
          <w:lang w:val="en-US" w:eastAsia="zh-CN"/>
        </w:rPr>
        <w:t>11.66</w:t>
      </w:r>
      <w:r>
        <w:rPr>
          <w:rStyle w:val="22"/>
          <w:rFonts w:hint="eastAsia" w:hAnsi="仿宋"/>
        </w:rPr>
        <w:t>%，</w:t>
      </w:r>
      <w:r>
        <w:rPr>
          <w:rStyle w:val="22"/>
          <w:rFonts w:hint="eastAsia" w:hAnsi="仿宋" w:eastAsia="仿宋_GB2312"/>
          <w:lang w:val="en-US" w:eastAsia="zh-CN"/>
        </w:rPr>
        <w:t>增加</w:t>
      </w:r>
      <w:r>
        <w:rPr>
          <w:rStyle w:val="22"/>
          <w:rFonts w:hint="eastAsia" w:hAnsi="仿宋"/>
        </w:rPr>
        <w:t>主要原因是</w:t>
      </w:r>
      <w:r>
        <w:rPr>
          <w:rStyle w:val="22"/>
          <w:rFonts w:hint="eastAsia" w:hAnsi="仿宋"/>
          <w:lang w:val="en-US" w:eastAsia="zh-CN"/>
        </w:rPr>
        <w:t>工资福利水平较上年增加。</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506.69</w:t>
      </w:r>
      <w:r>
        <w:rPr>
          <w:rFonts w:hint="eastAsia" w:ascii="仿宋_GB2312" w:hAnsi="仿宋" w:eastAsia="仿宋_GB2312"/>
          <w:sz w:val="32"/>
          <w:szCs w:val="32"/>
        </w:rPr>
        <w:t>万元，主要包括：基本工资、津贴补贴、奖金、</w:t>
      </w:r>
      <w:r>
        <w:rPr>
          <w:rStyle w:val="22"/>
          <w:rFonts w:hint="eastAsia" w:hAnsi="仿宋"/>
        </w:rPr>
        <w:t>伙食</w:t>
      </w:r>
      <w:r>
        <w:rPr>
          <w:rFonts w:hint="eastAsia" w:ascii="仿宋_GB2312" w:hAnsi="仿宋" w:eastAsia="仿宋_GB2312"/>
          <w:sz w:val="32"/>
          <w:szCs w:val="32"/>
        </w:rPr>
        <w:t>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47.75</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25FEB49">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754.28</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增加3.42</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增加0.46</w:t>
      </w:r>
      <w:r>
        <w:rPr>
          <w:rFonts w:hint="eastAsia" w:ascii="仿宋_GB2312" w:hAnsi="仿宋" w:eastAsia="仿宋_GB2312"/>
          <w:sz w:val="32"/>
          <w:szCs w:val="32"/>
        </w:rPr>
        <w:t>%，</w:t>
      </w:r>
      <w:r>
        <w:rPr>
          <w:rFonts w:hint="eastAsia" w:ascii="仿宋_GB2312" w:hAnsi="仿宋" w:eastAsia="仿宋_GB2312"/>
          <w:sz w:val="32"/>
          <w:szCs w:val="32"/>
          <w:lang w:val="en-US" w:eastAsia="zh-CN"/>
        </w:rPr>
        <w:t>增加</w:t>
      </w:r>
      <w:r>
        <w:rPr>
          <w:rFonts w:hint="eastAsia" w:ascii="仿宋_GB2312" w:hAnsi="仿宋" w:eastAsia="仿宋_GB2312"/>
          <w:sz w:val="32"/>
          <w:szCs w:val="32"/>
        </w:rPr>
        <w:t>的主要原因是</w:t>
      </w:r>
      <w:r>
        <w:rPr>
          <w:rFonts w:hint="eastAsia" w:ascii="仿宋_GB2312" w:hAnsi="仿宋" w:eastAsia="仿宋_GB2312"/>
          <w:sz w:val="32"/>
          <w:szCs w:val="32"/>
          <w:lang w:val="en-US" w:eastAsia="zh-CN"/>
        </w:rPr>
        <w:t>部分预算项目进行调整。</w:t>
      </w:r>
    </w:p>
    <w:p w14:paraId="1E35D0B3">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2026年总预算项目12个，包括：</w:t>
      </w:r>
    </w:p>
    <w:p w14:paraId="2286E64A">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基本民生</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6</w:t>
      </w:r>
      <w:r>
        <w:rPr>
          <w:rFonts w:hint="eastAsia" w:ascii="仿宋_GB2312" w:hAnsi="仿宋" w:eastAsia="仿宋_GB2312"/>
          <w:sz w:val="32"/>
          <w:szCs w:val="32"/>
        </w:rPr>
        <w:t>个，主要是孤儿及事实无人抚养基本生活费县级补助资金</w:t>
      </w:r>
      <w:r>
        <w:rPr>
          <w:rFonts w:hint="eastAsia" w:ascii="仿宋_GB2312" w:hAnsi="仿宋" w:eastAsia="仿宋_GB2312"/>
          <w:sz w:val="32"/>
          <w:szCs w:val="32"/>
          <w:lang w:val="en-US" w:eastAsia="zh-CN"/>
        </w:rPr>
        <w:t>项目、基层救助能力建设工作经费、城市低保县级补助资金、城乡特困供养县级补助资金、城乡临时救助县级补助资金、残疾人“两项补贴”县级补助资金。</w:t>
      </w:r>
    </w:p>
    <w:p w14:paraId="04955D55">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个，高龄津贴县级配套资金</w:t>
      </w:r>
      <w:r>
        <w:rPr>
          <w:rFonts w:hint="eastAsia" w:ascii="仿宋_GB2312" w:hAnsi="仿宋" w:eastAsia="仿宋_GB2312"/>
          <w:sz w:val="32"/>
          <w:szCs w:val="32"/>
          <w:lang w:val="en-US" w:eastAsia="zh-CN"/>
        </w:rPr>
        <w:t>项目、</w:t>
      </w:r>
      <w:r>
        <w:rPr>
          <w:rFonts w:hint="eastAsia" w:ascii="仿宋_GB2312" w:hAnsi="仿宋" w:eastAsia="仿宋_GB2312"/>
          <w:sz w:val="32"/>
          <w:szCs w:val="32"/>
          <w:lang w:eastAsia="zh-CN"/>
        </w:rPr>
        <w:t>2024年省列为民办实事综合养老服务中心及村级互助幸福院县级配套资金</w:t>
      </w:r>
      <w:r>
        <w:rPr>
          <w:rFonts w:hint="eastAsia" w:ascii="仿宋_GB2312" w:hAnsi="仿宋" w:eastAsia="仿宋_GB2312"/>
          <w:sz w:val="32"/>
          <w:szCs w:val="32"/>
          <w:lang w:val="en-US" w:eastAsia="zh-CN"/>
        </w:rPr>
        <w:t>项目.</w:t>
      </w:r>
    </w:p>
    <w:p w14:paraId="28DA2B15">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4</w:t>
      </w:r>
      <w:r>
        <w:rPr>
          <w:rFonts w:hint="eastAsia" w:ascii="仿宋_GB2312" w:hAnsi="仿宋" w:eastAsia="仿宋_GB2312"/>
          <w:sz w:val="32"/>
          <w:szCs w:val="32"/>
        </w:rPr>
        <w:t>个。惠民殡葬及节补生态安葬奖励补助资金</w:t>
      </w:r>
      <w:r>
        <w:rPr>
          <w:rFonts w:hint="eastAsia" w:ascii="仿宋_GB2312" w:hAnsi="仿宋" w:eastAsia="仿宋_GB2312"/>
          <w:sz w:val="32"/>
          <w:szCs w:val="32"/>
          <w:lang w:val="en-US" w:eastAsia="zh-CN"/>
        </w:rPr>
        <w:t>项目</w:t>
      </w:r>
      <w:r>
        <w:rPr>
          <w:rFonts w:hint="eastAsia" w:ascii="仿宋_GB2312" w:hAnsi="仿宋" w:eastAsia="仿宋_GB2312"/>
          <w:sz w:val="32"/>
          <w:szCs w:val="32"/>
          <w:lang w:eastAsia="zh-CN"/>
        </w:rPr>
        <w:t>、“十五五”银发经济及养老服务发展规划</w:t>
      </w:r>
      <w:r>
        <w:rPr>
          <w:rFonts w:hint="eastAsia" w:ascii="仿宋_GB2312" w:hAnsi="仿宋" w:eastAsia="仿宋_GB2312"/>
          <w:sz w:val="32"/>
          <w:szCs w:val="32"/>
          <w:lang w:val="en-US" w:eastAsia="zh-CN"/>
        </w:rPr>
        <w:t>项目</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养老机构运营经费项目</w:t>
      </w:r>
      <w:r>
        <w:rPr>
          <w:rFonts w:hint="eastAsia" w:ascii="仿宋_GB2312" w:hAnsi="仿宋" w:eastAsia="仿宋_GB2312"/>
          <w:sz w:val="32"/>
          <w:szCs w:val="32"/>
        </w:rPr>
        <w:t>、殡葬服务机构运行经费</w:t>
      </w:r>
      <w:r>
        <w:rPr>
          <w:rFonts w:hint="eastAsia" w:ascii="仿宋_GB2312" w:hAnsi="仿宋" w:eastAsia="仿宋_GB2312"/>
          <w:sz w:val="32"/>
          <w:szCs w:val="32"/>
          <w:lang w:val="en-US" w:eastAsia="zh-CN"/>
        </w:rPr>
        <w:t>项目</w:t>
      </w:r>
      <w:r>
        <w:rPr>
          <w:rFonts w:hint="eastAsia" w:ascii="仿宋_GB2312" w:hAnsi="仿宋" w:eastAsia="仿宋_GB2312"/>
          <w:sz w:val="32"/>
          <w:szCs w:val="32"/>
        </w:rPr>
        <w:t>。</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1B7BBFE3">
      <w:pPr>
        <w:widowControl/>
        <w:adjustRightInd w:val="0"/>
        <w:snapToGrid w:val="0"/>
        <w:spacing w:line="640" w:lineRule="exact"/>
        <w:ind w:firstLine="640" w:firstLineChars="200"/>
        <w:contextualSpacing/>
        <w:jc w:val="left"/>
        <w:rPr>
          <w:rFonts w:hint="eastAsia" w:ascii="仿宋_GB2312" w:eastAsia="仿宋_GB2312"/>
          <w:color w:val="000000"/>
          <w:sz w:val="32"/>
          <w:szCs w:val="32"/>
          <w:highlight w:val="none"/>
        </w:rPr>
      </w:pPr>
      <w:r>
        <w:rPr>
          <w:rFonts w:hint="eastAsia" w:ascii="仿宋_GB2312" w:hAnsi="TimesNewRomanPS-BoldMT" w:eastAsia="仿宋_GB2312"/>
          <w:bCs/>
          <w:color w:val="000000"/>
          <w:sz w:val="32"/>
          <w:szCs w:val="32"/>
          <w:highlight w:val="none"/>
        </w:rPr>
        <w:t>1.</w:t>
      </w:r>
      <w:r>
        <w:rPr>
          <w:rStyle w:val="22"/>
          <w:rFonts w:hint="default" w:hAnsi="仿宋"/>
          <w:highlight w:val="none"/>
        </w:rPr>
        <w:t>社会保障和就业支出</w:t>
      </w:r>
      <w:r>
        <w:rPr>
          <w:rFonts w:hint="eastAsia" w:ascii="仿宋_GB2312" w:hAnsi="TimesNewRomanPSMT" w:eastAsia="仿宋_GB2312"/>
          <w:color w:val="000000"/>
          <w:sz w:val="32"/>
          <w:szCs w:val="32"/>
          <w:highlight w:val="none"/>
          <w:lang w:val="en-US" w:eastAsia="zh-CN"/>
        </w:rPr>
        <w:t>2026</w:t>
      </w:r>
      <w:r>
        <w:rPr>
          <w:rFonts w:hint="eastAsia" w:ascii="仿宋_GB2312" w:eastAsia="仿宋_GB2312"/>
          <w:color w:val="000000"/>
          <w:sz w:val="32"/>
          <w:szCs w:val="32"/>
          <w:highlight w:val="none"/>
        </w:rPr>
        <w:t>年预算数为</w:t>
      </w:r>
      <w:r>
        <w:rPr>
          <w:rFonts w:hint="eastAsia" w:ascii="仿宋_GB2312" w:hAnsi="TimesNewRomanPSMT" w:eastAsia="仿宋_GB2312"/>
          <w:color w:val="000000"/>
          <w:sz w:val="32"/>
          <w:szCs w:val="32"/>
          <w:highlight w:val="none"/>
          <w:lang w:val="en-US" w:eastAsia="zh-CN"/>
        </w:rPr>
        <w:t>1243.34</w:t>
      </w:r>
      <w:r>
        <w:rPr>
          <w:rFonts w:hint="eastAsia" w:ascii="仿宋_GB2312" w:eastAsia="仿宋_GB2312"/>
          <w:color w:val="000000"/>
          <w:sz w:val="32"/>
          <w:szCs w:val="32"/>
          <w:highlight w:val="none"/>
        </w:rPr>
        <w:t>万元，比</w:t>
      </w:r>
      <w:r>
        <w:rPr>
          <w:rFonts w:hint="eastAsia" w:ascii="仿宋_GB2312" w:eastAsia="仿宋_GB2312"/>
          <w:color w:val="000000"/>
          <w:sz w:val="32"/>
          <w:szCs w:val="32"/>
          <w:highlight w:val="none"/>
          <w:lang w:val="en-US" w:eastAsia="zh-CN"/>
        </w:rPr>
        <w:t>2025</w:t>
      </w:r>
      <w:r>
        <w:rPr>
          <w:rFonts w:hint="eastAsia" w:ascii="仿宋_GB2312" w:eastAsia="仿宋_GB2312"/>
          <w:color w:val="000000"/>
          <w:sz w:val="32"/>
          <w:szCs w:val="32"/>
          <w:highlight w:val="none"/>
        </w:rPr>
        <w:t>年预算</w:t>
      </w:r>
      <w:r>
        <w:rPr>
          <w:rFonts w:hint="eastAsia" w:ascii="仿宋_GB2312" w:eastAsia="仿宋_GB2312"/>
          <w:color w:val="000000"/>
          <w:sz w:val="32"/>
          <w:szCs w:val="32"/>
          <w:highlight w:val="none"/>
          <w:lang w:val="en-US" w:eastAsia="zh-CN"/>
        </w:rPr>
        <w:t>增加</w:t>
      </w:r>
      <w:r>
        <w:rPr>
          <w:rFonts w:hint="eastAsia" w:ascii="仿宋_GB2312" w:hAnsi="仿宋" w:eastAsia="仿宋_GB2312"/>
          <w:sz w:val="32"/>
          <w:szCs w:val="32"/>
          <w:lang w:val="en-US" w:eastAsia="zh-CN"/>
        </w:rPr>
        <w:t>158</w:t>
      </w:r>
      <w:r>
        <w:rPr>
          <w:rFonts w:hint="eastAsia" w:ascii="仿宋_GB2312" w:eastAsia="仿宋_GB2312"/>
          <w:color w:val="000000"/>
          <w:sz w:val="32"/>
          <w:szCs w:val="32"/>
          <w:highlight w:val="none"/>
          <w:lang w:val="en-US" w:eastAsia="zh-CN"/>
        </w:rPr>
        <w:t>.52</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增加</w:t>
      </w:r>
      <w:r>
        <w:rPr>
          <w:rFonts w:hint="eastAsia" w:ascii="仿宋_GB2312" w:eastAsia="仿宋_GB2312"/>
          <w:color w:val="000000"/>
          <w:sz w:val="32"/>
          <w:szCs w:val="32"/>
          <w:highlight w:val="none"/>
          <w:lang w:val="en-US" w:eastAsia="zh-CN"/>
        </w:rPr>
        <w:t>的</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人员调入</w:t>
      </w:r>
      <w:r>
        <w:rPr>
          <w:rFonts w:hint="eastAsia" w:ascii="仿宋_GB2312" w:eastAsia="仿宋_GB2312"/>
          <w:color w:val="000000"/>
          <w:sz w:val="32"/>
          <w:szCs w:val="32"/>
          <w:highlight w:val="none"/>
        </w:rPr>
        <w:t>工资福利支出增长及人员保险基数增加。</w:t>
      </w:r>
    </w:p>
    <w:p w14:paraId="1831CFC1">
      <w:pPr>
        <w:widowControl/>
        <w:adjustRightInd w:val="0"/>
        <w:snapToGrid w:val="0"/>
        <w:spacing w:line="640" w:lineRule="exact"/>
        <w:ind w:firstLine="640" w:firstLineChars="200"/>
        <w:contextualSpacing/>
        <w:jc w:val="left"/>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2.</w:t>
      </w:r>
      <w:r>
        <w:rPr>
          <w:rStyle w:val="22"/>
          <w:rFonts w:hint="default" w:hAnsi="仿宋"/>
          <w:highlight w:val="none"/>
        </w:rPr>
        <w:t>卫生健康支出</w:t>
      </w:r>
      <w:r>
        <w:rPr>
          <w:rStyle w:val="22"/>
          <w:rFonts w:hint="eastAsia" w:hAnsi="仿宋" w:eastAsia="仿宋_GB2312"/>
          <w:highlight w:val="none"/>
          <w:lang w:val="en-US" w:eastAsia="zh-CN"/>
        </w:rPr>
        <w:t>27.52万元，比</w:t>
      </w:r>
      <w:r>
        <w:rPr>
          <w:rFonts w:hint="eastAsia" w:ascii="仿宋_GB2312" w:eastAsia="仿宋_GB2312"/>
          <w:color w:val="000000"/>
          <w:sz w:val="32"/>
          <w:szCs w:val="32"/>
          <w:highlight w:val="none"/>
          <w:lang w:val="en-US" w:eastAsia="zh-CN"/>
        </w:rPr>
        <w:t>2025</w:t>
      </w:r>
      <w:r>
        <w:rPr>
          <w:rFonts w:hint="eastAsia" w:ascii="仿宋_GB2312" w:eastAsia="仿宋_GB2312"/>
          <w:color w:val="000000"/>
          <w:sz w:val="32"/>
          <w:szCs w:val="32"/>
          <w:highlight w:val="none"/>
        </w:rPr>
        <w:t>年预算</w:t>
      </w:r>
      <w:r>
        <w:rPr>
          <w:rFonts w:hint="eastAsia" w:ascii="仿宋_GB2312" w:eastAsia="仿宋_GB2312"/>
          <w:color w:val="000000"/>
          <w:sz w:val="32"/>
          <w:szCs w:val="32"/>
          <w:highlight w:val="none"/>
          <w:lang w:val="en-US" w:eastAsia="zh-CN"/>
        </w:rPr>
        <w:t>增加3.26</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增加</w:t>
      </w:r>
      <w:r>
        <w:rPr>
          <w:rFonts w:hint="eastAsia" w:ascii="仿宋_GB2312" w:eastAsia="仿宋_GB2312"/>
          <w:color w:val="000000"/>
          <w:sz w:val="32"/>
          <w:szCs w:val="32"/>
          <w:highlight w:val="none"/>
          <w:lang w:val="en-US" w:eastAsia="zh-CN"/>
        </w:rPr>
        <w:t>的</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人员调入</w:t>
      </w:r>
      <w:r>
        <w:rPr>
          <w:rFonts w:hint="eastAsia" w:ascii="仿宋_GB2312" w:eastAsia="仿宋_GB2312"/>
          <w:color w:val="000000"/>
          <w:sz w:val="32"/>
          <w:szCs w:val="32"/>
          <w:highlight w:val="none"/>
        </w:rPr>
        <w:t>工资福利支出增长及人员保险基数增加。</w:t>
      </w:r>
    </w:p>
    <w:p w14:paraId="3E04AC2D">
      <w:pPr>
        <w:widowControl/>
        <w:adjustRightInd w:val="0"/>
        <w:snapToGrid w:val="0"/>
        <w:spacing w:line="640" w:lineRule="exact"/>
        <w:ind w:firstLine="640" w:firstLineChars="200"/>
        <w:contextualSpacing/>
        <w:jc w:val="left"/>
        <w:rPr>
          <w:rFonts w:hint="default" w:ascii="仿宋_GB2312" w:hAnsi="TimesNewRomanPS-BoldMT" w:eastAsia="仿宋_GB2312"/>
          <w:bCs/>
          <w:color w:val="000000"/>
          <w:sz w:val="32"/>
          <w:szCs w:val="32"/>
          <w:lang w:val="en-US" w:eastAsia="zh-CN"/>
        </w:rPr>
      </w:pPr>
      <w:r>
        <w:rPr>
          <w:rStyle w:val="22"/>
          <w:rFonts w:hint="eastAsia" w:hAnsi="仿宋" w:eastAsia="仿宋_GB2312"/>
          <w:highlight w:val="none"/>
          <w:lang w:val="en-US" w:eastAsia="zh-CN"/>
        </w:rPr>
        <w:t>3.住房保障支出37.85</w:t>
      </w:r>
      <w:r>
        <w:rPr>
          <w:rStyle w:val="22"/>
          <w:rFonts w:hint="default" w:hAnsi="仿宋"/>
          <w:highlight w:val="none"/>
        </w:rPr>
        <w:t>万元</w:t>
      </w:r>
      <w:r>
        <w:rPr>
          <w:rStyle w:val="22"/>
          <w:rFonts w:hint="eastAsia" w:hAnsi="仿宋" w:eastAsia="仿宋_GB2312"/>
          <w:highlight w:val="none"/>
          <w:lang w:eastAsia="zh-CN"/>
        </w:rPr>
        <w:t>，</w:t>
      </w:r>
      <w:r>
        <w:rPr>
          <w:rStyle w:val="22"/>
          <w:rFonts w:hint="eastAsia" w:hAnsi="仿宋" w:eastAsia="仿宋_GB2312"/>
          <w:highlight w:val="none"/>
          <w:lang w:val="en-US" w:eastAsia="zh-CN"/>
        </w:rPr>
        <w:t>比2025</w:t>
      </w:r>
      <w:r>
        <w:rPr>
          <w:rFonts w:hint="eastAsia" w:ascii="仿宋_GB2312" w:eastAsia="仿宋_GB2312"/>
          <w:color w:val="000000"/>
          <w:sz w:val="32"/>
          <w:szCs w:val="32"/>
          <w:highlight w:val="none"/>
        </w:rPr>
        <w:t>年预算</w:t>
      </w:r>
      <w:r>
        <w:rPr>
          <w:rFonts w:hint="eastAsia" w:ascii="仿宋_GB2312" w:eastAsia="仿宋_GB2312"/>
          <w:color w:val="000000"/>
          <w:sz w:val="32"/>
          <w:szCs w:val="32"/>
          <w:highlight w:val="none"/>
          <w:lang w:val="en-US" w:eastAsia="zh-CN"/>
        </w:rPr>
        <w:t>增加4.81</w:t>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增加</w:t>
      </w:r>
      <w:r>
        <w:rPr>
          <w:rFonts w:hint="eastAsia" w:ascii="仿宋_GB2312" w:eastAsia="仿宋_GB2312"/>
          <w:color w:val="000000"/>
          <w:sz w:val="32"/>
          <w:szCs w:val="32"/>
          <w:highlight w:val="none"/>
          <w:lang w:val="en-US" w:eastAsia="zh-CN"/>
        </w:rPr>
        <w:t>的</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人员调入</w:t>
      </w:r>
      <w:r>
        <w:rPr>
          <w:rFonts w:hint="eastAsia" w:ascii="仿宋_GB2312" w:eastAsia="仿宋_GB2312"/>
          <w:color w:val="000000"/>
          <w:sz w:val="32"/>
          <w:szCs w:val="32"/>
          <w:highlight w:val="none"/>
        </w:rPr>
        <w:t>工资福利支出增长及人员保险基数增加。</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424C91FB">
      <w:pPr>
        <w:adjustRightInd w:val="0"/>
        <w:snapToGrid w:val="0"/>
        <w:spacing w:line="640" w:lineRule="exact"/>
        <w:ind w:firstLine="640" w:firstLineChars="200"/>
        <w:contextualSpacing/>
        <w:rPr>
          <w:rFonts w:ascii="仿宋_GB2312" w:hAnsi="仿宋" w:eastAsia="仿宋_GB2312" w:cs="宋体"/>
          <w:b/>
          <w:kern w:val="0"/>
          <w:sz w:val="32"/>
          <w:szCs w:val="32"/>
          <w:highlight w:val="none"/>
        </w:rPr>
      </w:pPr>
      <w:r>
        <w:rPr>
          <w:rFonts w:hint="eastAsia" w:ascii="仿宋_GB2312" w:hAnsi="仿宋" w:eastAsia="仿宋_GB2312"/>
          <w:sz w:val="32"/>
          <w:szCs w:val="32"/>
          <w:highlight w:val="none"/>
        </w:rPr>
        <w:t>“三公”经费预算</w:t>
      </w:r>
      <w:r>
        <w:rPr>
          <w:rFonts w:hint="eastAsia" w:ascii="仿宋_GB2312" w:hAnsi="仿宋" w:eastAsia="仿宋_GB2312"/>
          <w:sz w:val="32"/>
          <w:szCs w:val="32"/>
          <w:highlight w:val="none"/>
          <w:lang w:val="en-US" w:eastAsia="zh-CN"/>
        </w:rPr>
        <w:t>0.38</w:t>
      </w:r>
      <w:r>
        <w:rPr>
          <w:rFonts w:hint="eastAsia" w:ascii="仿宋_GB2312" w:hAnsi="仿宋" w:eastAsia="仿宋_GB2312"/>
          <w:sz w:val="32"/>
          <w:szCs w:val="32"/>
          <w:highlight w:val="none"/>
        </w:rPr>
        <w:t>万元，较</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年预算</w:t>
      </w:r>
      <w:r>
        <w:rPr>
          <w:rFonts w:hint="eastAsia" w:ascii="仿宋_GB2312" w:hAnsi="仿宋" w:eastAsia="仿宋_GB2312"/>
          <w:sz w:val="32"/>
          <w:szCs w:val="32"/>
          <w:highlight w:val="none"/>
          <w:lang w:val="en-US" w:eastAsia="zh-CN"/>
        </w:rPr>
        <w:t>持平</w:t>
      </w:r>
      <w:r>
        <w:rPr>
          <w:rFonts w:hint="eastAsia" w:ascii="仿宋_GB2312" w:hAnsi="仿宋" w:eastAsia="仿宋_GB2312"/>
          <w:sz w:val="32"/>
          <w:szCs w:val="32"/>
          <w:highlight w:val="none"/>
        </w:rPr>
        <w:t>。</w:t>
      </w:r>
    </w:p>
    <w:p w14:paraId="4F92D5A2">
      <w:pPr>
        <w:widowControl/>
        <w:numPr>
          <w:ilvl w:val="0"/>
          <w:numId w:val="0"/>
        </w:numPr>
        <w:adjustRightInd w:val="0"/>
        <w:snapToGrid w:val="0"/>
        <w:spacing w:line="640" w:lineRule="exact"/>
        <w:ind w:firstLine="640" w:firstLineChars="200"/>
        <w:contextualSpacing/>
        <w:jc w:val="left"/>
        <w:rPr>
          <w:rFonts w:ascii="Arial" w:hAnsi="Arial" w:eastAsia="宋体" w:cs="Arial"/>
          <w:i w:val="0"/>
          <w:iCs w:val="0"/>
          <w:caps w:val="0"/>
          <w:color w:val="000000"/>
          <w:spacing w:val="0"/>
          <w:sz w:val="46"/>
          <w:szCs w:val="46"/>
          <w:shd w:val="clear" w:fill="FFFFFF"/>
        </w:rPr>
      </w:pPr>
      <w:r>
        <w:rPr>
          <w:rFonts w:hint="eastAsia" w:ascii="仿宋_GB2312" w:eastAsia="仿宋_GB2312"/>
          <w:color w:val="000000"/>
          <w:sz w:val="32"/>
          <w:szCs w:val="32"/>
          <w:highlight w:val="none"/>
          <w:lang w:val="en-US" w:eastAsia="zh-CN"/>
        </w:rPr>
        <w:t>1.因公出国（境）费用0万元，与2025年预算持平，2026年华池县民政局无因公出国（境）业务及人员。</w:t>
      </w:r>
    </w:p>
    <w:p w14:paraId="044CF581">
      <w:pPr>
        <w:widowControl/>
        <w:numPr>
          <w:ilvl w:val="0"/>
          <w:numId w:val="0"/>
        </w:numPr>
        <w:adjustRightInd w:val="0"/>
        <w:snapToGrid w:val="0"/>
        <w:spacing w:line="640" w:lineRule="exact"/>
        <w:ind w:firstLine="640" w:firstLineChars="200"/>
        <w:contextualSpacing/>
        <w:jc w:val="left"/>
        <w:rPr>
          <w:rFonts w:hint="default" w:ascii="仿宋_GB2312" w:hAnsi="仿宋" w:eastAsia="仿宋_GB2312"/>
          <w:sz w:val="32"/>
          <w:szCs w:val="32"/>
          <w:highlight w:val="none"/>
          <w:lang w:val="en-US"/>
        </w:rPr>
      </w:pPr>
      <w:r>
        <w:rPr>
          <w:rFonts w:hint="eastAsia" w:ascii="仿宋_GB2312" w:hAnsi="仿宋" w:eastAsia="仿宋_GB2312"/>
          <w:sz w:val="32"/>
          <w:szCs w:val="32"/>
          <w:highlight w:val="none"/>
        </w:rPr>
        <w:t>2.公务接待费</w:t>
      </w:r>
      <w:r>
        <w:rPr>
          <w:rFonts w:hint="eastAsia" w:ascii="仿宋_GB2312" w:hAnsi="仿宋" w:eastAsia="仿宋_GB2312"/>
          <w:sz w:val="32"/>
          <w:szCs w:val="32"/>
          <w:highlight w:val="none"/>
          <w:lang w:val="en-US" w:eastAsia="zh-CN"/>
        </w:rPr>
        <w:t>0.38</w:t>
      </w:r>
      <w:r>
        <w:rPr>
          <w:rFonts w:hint="eastAsia" w:ascii="仿宋_GB2312" w:hAnsi="仿宋" w:eastAsia="仿宋_GB2312"/>
          <w:sz w:val="32"/>
          <w:szCs w:val="32"/>
          <w:highlight w:val="none"/>
        </w:rPr>
        <w:t>万元，较</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年预算</w:t>
      </w:r>
      <w:r>
        <w:rPr>
          <w:rFonts w:hint="eastAsia" w:ascii="仿宋_GB2312" w:hAnsi="仿宋" w:eastAsia="仿宋_GB2312"/>
          <w:sz w:val="32"/>
          <w:szCs w:val="32"/>
          <w:highlight w:val="none"/>
          <w:lang w:val="en-US" w:eastAsia="zh-CN"/>
        </w:rPr>
        <w:t>持平。</w:t>
      </w:r>
    </w:p>
    <w:p w14:paraId="32EBE7B5">
      <w:pPr>
        <w:widowControl/>
        <w:adjustRightInd w:val="0"/>
        <w:snapToGrid w:val="0"/>
        <w:spacing w:line="640" w:lineRule="exact"/>
        <w:ind w:firstLine="640" w:firstLineChars="200"/>
        <w:contextualSpacing/>
        <w:jc w:val="left"/>
        <w:rPr>
          <w:rFonts w:hint="default" w:ascii="仿宋_GB2312" w:hAnsi="仿宋" w:eastAsia="仿宋_GB2312"/>
          <w:sz w:val="32"/>
          <w:szCs w:val="32"/>
          <w:highlight w:val="none"/>
          <w:lang w:val="en-US"/>
        </w:rPr>
      </w:pPr>
      <w:r>
        <w:rPr>
          <w:rFonts w:hint="eastAsia" w:ascii="仿宋_GB2312" w:hAnsi="仿宋" w:eastAsia="仿宋_GB2312"/>
          <w:sz w:val="32"/>
          <w:szCs w:val="32"/>
          <w:highlight w:val="none"/>
        </w:rPr>
        <w:t>3.公务用车购置及运行维护费</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 xml:space="preserve">万元（其中：公务用车购置 </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 xml:space="preserve"> 万元，公务用车运行维护费</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万元），与</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年预算持平，</w:t>
      </w:r>
      <w:r>
        <w:rPr>
          <w:rFonts w:hint="default" w:ascii="仿宋_GB2312" w:hAnsi="仿宋" w:eastAsia="仿宋_GB2312"/>
          <w:sz w:val="32"/>
          <w:szCs w:val="32"/>
          <w:highlight w:val="none"/>
        </w:rPr>
        <w:t>单位无保留公务用车。</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4C8C7F1A">
      <w:pPr>
        <w:widowControl/>
        <w:adjustRightInd w:val="0"/>
        <w:snapToGrid w:val="0"/>
        <w:spacing w:line="640" w:lineRule="exact"/>
        <w:ind w:firstLine="640" w:firstLineChars="200"/>
        <w:contextualSpacing/>
        <w:jc w:val="left"/>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rPr>
        <w:t xml:space="preserve">4.培训费 </w:t>
      </w:r>
      <w:r>
        <w:rPr>
          <w:rFonts w:hint="eastAsia" w:ascii="仿宋_GB2312" w:hAnsi="仿宋" w:eastAsia="仿宋_GB2312"/>
          <w:sz w:val="32"/>
          <w:szCs w:val="32"/>
          <w:highlight w:val="none"/>
          <w:lang w:val="en-US" w:eastAsia="zh-CN"/>
        </w:rPr>
        <w:t>0.1</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val="en-US" w:eastAsia="zh-CN"/>
        </w:rPr>
        <w:t>较2025年持平。</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6E9F18F6">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ascii="仿宋_GB2312" w:eastAsia="仿宋_GB2312"/>
          <w:sz w:val="32"/>
          <w:szCs w:val="32"/>
        </w:rPr>
      </w:pPr>
      <w:r>
        <w:rPr>
          <w:rFonts w:hint="eastAsia" w:ascii="仿宋_GB2312" w:hAnsi="仿宋" w:eastAsia="仿宋_GB2312" w:cs="Times New Roman"/>
          <w:kern w:val="2"/>
          <w:sz w:val="32"/>
          <w:szCs w:val="32"/>
          <w:highlight w:val="none"/>
          <w:lang w:val="en-US" w:eastAsia="zh-CN" w:bidi="ar-SA"/>
        </w:rPr>
        <w:t>5.会议费0.1万元，</w:t>
      </w:r>
      <w:r>
        <w:rPr>
          <w:rFonts w:hint="eastAsia" w:ascii="仿宋_GB2312" w:hAnsi="仿宋" w:eastAsia="仿宋_GB2312"/>
          <w:sz w:val="32"/>
          <w:szCs w:val="32"/>
          <w:highlight w:val="none"/>
          <w:lang w:val="en-US" w:eastAsia="zh-CN"/>
        </w:rPr>
        <w:t>较2025年持平。</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6C895CD">
      <w:pPr>
        <w:widowControl/>
        <w:adjustRightInd w:val="0"/>
        <w:snapToGrid w:val="0"/>
        <w:spacing w:line="640" w:lineRule="exact"/>
        <w:ind w:firstLine="640" w:firstLineChars="200"/>
        <w:contextualSpacing/>
        <w:jc w:val="left"/>
        <w:rPr>
          <w:rFonts w:hint="default" w:ascii="仿宋_GB2312" w:hAnsi="仿宋" w:eastAsia="仿宋_GB2312"/>
          <w:sz w:val="32"/>
          <w:szCs w:val="32"/>
          <w:highlight w:val="none"/>
          <w:lang w:val="en-US"/>
        </w:rPr>
      </w:pPr>
      <w:r>
        <w:rPr>
          <w:rFonts w:hint="eastAsia" w:ascii="仿宋_GB2312" w:hAnsi="仿宋" w:eastAsia="仿宋_GB2312"/>
          <w:sz w:val="32"/>
          <w:szCs w:val="32"/>
          <w:highlight w:val="none"/>
        </w:rPr>
        <w:t>机关运行经费</w:t>
      </w:r>
      <w:r>
        <w:rPr>
          <w:rFonts w:hint="eastAsia" w:ascii="仿宋_GB2312" w:hAnsi="仿宋" w:eastAsia="仿宋_GB2312"/>
          <w:sz w:val="32"/>
          <w:szCs w:val="32"/>
          <w:highlight w:val="none"/>
          <w:lang w:val="en-US" w:eastAsia="zh-CN"/>
        </w:rPr>
        <w:t>36.2</w:t>
      </w:r>
      <w:r>
        <w:rPr>
          <w:rFonts w:hint="eastAsia" w:ascii="仿宋_GB2312" w:hAnsi="仿宋" w:eastAsia="仿宋_GB2312"/>
          <w:sz w:val="32"/>
          <w:szCs w:val="32"/>
          <w:highlight w:val="none"/>
        </w:rPr>
        <w:t>万元，较</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年预算</w:t>
      </w:r>
      <w:r>
        <w:rPr>
          <w:rFonts w:hint="eastAsia" w:ascii="仿宋_GB2312" w:hAnsi="仿宋" w:eastAsia="仿宋_GB2312"/>
          <w:sz w:val="32"/>
          <w:szCs w:val="32"/>
          <w:highlight w:val="none"/>
          <w:lang w:val="en-US" w:eastAsia="zh-CN"/>
        </w:rPr>
        <w:t>减少13.29</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val="en-US" w:eastAsia="zh-CN"/>
        </w:rPr>
        <w:t>减少26.85</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减少</w:t>
      </w:r>
      <w:r>
        <w:rPr>
          <w:rFonts w:hint="eastAsia" w:ascii="仿宋_GB2312" w:hAnsi="仿宋" w:eastAsia="仿宋_GB2312"/>
          <w:sz w:val="32"/>
          <w:szCs w:val="32"/>
          <w:highlight w:val="none"/>
        </w:rPr>
        <w:t>的主要原因是</w:t>
      </w:r>
      <w:r>
        <w:rPr>
          <w:rFonts w:hint="eastAsia" w:ascii="仿宋_GB2312" w:hAnsi="仿宋" w:eastAsia="仿宋_GB2312"/>
          <w:sz w:val="32"/>
          <w:szCs w:val="32"/>
          <w:highlight w:val="none"/>
          <w:lang w:val="en-US" w:eastAsia="zh-CN"/>
        </w:rPr>
        <w:t>厉行节约，压减机关运行经费支出。</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641.5</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427</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214.5</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年，部门（单位）面向中小企业预留政府采购项目预算金额</w:t>
      </w:r>
      <w:r>
        <w:rPr>
          <w:rFonts w:hint="eastAsia" w:ascii="仿宋_GB2312" w:hAnsi="仿宋" w:eastAsia="仿宋_GB2312"/>
          <w:sz w:val="32"/>
          <w:szCs w:val="32"/>
          <w:lang w:val="en-US" w:eastAsia="zh-CN"/>
        </w:rPr>
        <w:t>427</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214.5</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48739859">
      <w:pPr>
        <w:widowControl/>
        <w:adjustRightInd w:val="0"/>
        <w:snapToGrid w:val="0"/>
        <w:spacing w:line="640" w:lineRule="exact"/>
        <w:ind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上年末固定资产金额为4037</w:t>
      </w:r>
      <w:r>
        <w:rPr>
          <w:rFonts w:hint="eastAsia" w:ascii="仿宋_GB2312" w:hAnsi="仿宋" w:eastAsia="仿宋_GB2312"/>
          <w:sz w:val="32"/>
          <w:szCs w:val="32"/>
          <w:lang w:val="en-US" w:eastAsia="zh-CN"/>
        </w:rPr>
        <w:t>.</w:t>
      </w:r>
      <w:r>
        <w:rPr>
          <w:rFonts w:hint="eastAsia" w:ascii="仿宋_GB2312" w:hAnsi="仿宋" w:eastAsia="仿宋_GB2312"/>
          <w:sz w:val="32"/>
          <w:szCs w:val="32"/>
        </w:rPr>
        <w:t>8</w:t>
      </w:r>
      <w:r>
        <w:rPr>
          <w:rFonts w:hint="eastAsia" w:ascii="仿宋_GB2312" w:hAnsi="仿宋" w:eastAsia="仿宋_GB2312"/>
          <w:sz w:val="32"/>
          <w:szCs w:val="32"/>
          <w:lang w:val="en-US" w:eastAsia="zh-CN"/>
        </w:rPr>
        <w:t>3</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8561.32</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3269.31</w:t>
      </w:r>
      <w:r>
        <w:rPr>
          <w:rFonts w:hint="eastAsia" w:ascii="仿宋_GB2312" w:hAnsi="仿宋" w:eastAsia="仿宋_GB2312"/>
          <w:sz w:val="32"/>
          <w:szCs w:val="32"/>
        </w:rPr>
        <w:t>万元。预算部单位共有公务用车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305.25</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9</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1DABAF4C">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lang w:val="en-US" w:eastAsia="zh-CN"/>
        </w:rPr>
        <w:t>2026年，</w:t>
      </w:r>
      <w:r>
        <w:rPr>
          <w:rFonts w:hint="eastAsia" w:ascii="仿宋_GB2312" w:hAnsi="仿宋" w:eastAsia="仿宋_GB2312"/>
          <w:sz w:val="32"/>
          <w:szCs w:val="32"/>
          <w:highlight w:val="none"/>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6B23741E">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项目名称：</w:t>
      </w:r>
      <w:r>
        <w:rPr>
          <w:rFonts w:hint="eastAsia" w:ascii="仿宋_GB2312" w:hAnsi="仿宋" w:eastAsia="仿宋_GB2312"/>
          <w:sz w:val="32"/>
          <w:szCs w:val="32"/>
          <w:lang w:val="en-US" w:eastAsia="zh-CN"/>
        </w:rPr>
        <w:t>2026年养老机构运营经费项目。</w:t>
      </w:r>
    </w:p>
    <w:p w14:paraId="32080736">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1、项目概况：我县现有养老服务机构7所，其中：福利院2所，乡镇综合养老服务中心</w:t>
      </w:r>
      <w:r>
        <w:rPr>
          <w:rFonts w:hint="eastAsia" w:ascii="仿宋_GB2312" w:hAnsi="仿宋" w:eastAsia="仿宋_GB2312"/>
          <w:sz w:val="32"/>
          <w:szCs w:val="32"/>
          <w:lang w:val="en-US" w:eastAsia="zh-CN"/>
        </w:rPr>
        <w:t>5</w:t>
      </w:r>
      <w:r>
        <w:rPr>
          <w:rFonts w:hint="eastAsia" w:ascii="仿宋_GB2312" w:hAnsi="仿宋" w:eastAsia="仿宋_GB2312"/>
          <w:sz w:val="32"/>
          <w:szCs w:val="32"/>
        </w:rPr>
        <w:t>所。目前收住服务对象143人，雇佣临聘人员55人，为提升服务质量，保证正常运转，进一步提高我县养老机构管理服务水平</w:t>
      </w:r>
      <w:r>
        <w:rPr>
          <w:rFonts w:hint="eastAsia" w:ascii="仿宋_GB2312" w:hAnsi="仿宋" w:eastAsia="仿宋_GB2312"/>
          <w:sz w:val="32"/>
          <w:szCs w:val="32"/>
          <w:lang w:eastAsia="zh-CN"/>
        </w:rPr>
        <w:t>，2026年</w:t>
      </w:r>
      <w:r>
        <w:rPr>
          <w:rFonts w:hint="eastAsia" w:ascii="仿宋_GB2312" w:hAnsi="仿宋" w:eastAsia="仿宋_GB2312"/>
          <w:sz w:val="32"/>
          <w:szCs w:val="32"/>
          <w:lang w:val="en-US" w:eastAsia="zh-CN"/>
        </w:rPr>
        <w:t>预</w:t>
      </w:r>
      <w:r>
        <w:rPr>
          <w:rFonts w:hint="eastAsia" w:ascii="仿宋_GB2312" w:hAnsi="仿宋" w:eastAsia="仿宋_GB2312"/>
          <w:sz w:val="32"/>
          <w:szCs w:val="32"/>
          <w:lang w:eastAsia="zh-CN"/>
        </w:rPr>
        <w:t>算养老机构运行经费</w:t>
      </w:r>
      <w:r>
        <w:rPr>
          <w:rFonts w:hint="eastAsia" w:ascii="仿宋_GB2312" w:hAnsi="仿宋" w:eastAsia="仿宋_GB2312"/>
          <w:sz w:val="32"/>
          <w:szCs w:val="32"/>
          <w:lang w:val="en-US" w:eastAsia="zh-CN"/>
        </w:rPr>
        <w:t>县级资金100</w:t>
      </w:r>
      <w:r>
        <w:rPr>
          <w:rFonts w:hint="eastAsia" w:ascii="仿宋_GB2312" w:hAnsi="仿宋" w:eastAsia="仿宋_GB2312"/>
          <w:sz w:val="32"/>
          <w:szCs w:val="32"/>
          <w:lang w:eastAsia="zh-CN"/>
        </w:rPr>
        <w:t>万元。</w:t>
      </w:r>
    </w:p>
    <w:p w14:paraId="4A3CDD77">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2、立项依据：《中共庆阳市委办公室 庆阳市人民政府办公室印发&lt;关于推进基本养老服务体系建设实施意见&gt;（庆办发〔2023〕8号）</w:t>
      </w:r>
      <w:r>
        <w:rPr>
          <w:rFonts w:hint="eastAsia" w:ascii="仿宋_GB2312" w:hAnsi="仿宋" w:eastAsia="仿宋_GB2312"/>
          <w:sz w:val="32"/>
          <w:szCs w:val="32"/>
          <w:lang w:eastAsia="zh-CN"/>
        </w:rPr>
        <w:t>。</w:t>
      </w:r>
    </w:p>
    <w:p w14:paraId="4926F7A2">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3、实施主体：</w:t>
      </w:r>
      <w:r>
        <w:rPr>
          <w:rFonts w:hint="eastAsia" w:ascii="仿宋_GB2312" w:hAnsi="仿宋" w:eastAsia="仿宋_GB2312"/>
          <w:sz w:val="32"/>
          <w:szCs w:val="32"/>
          <w:lang w:val="en-US" w:eastAsia="zh-CN"/>
        </w:rPr>
        <w:t>华池县民政局</w:t>
      </w:r>
    </w:p>
    <w:p w14:paraId="4AB6895E">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1年。</w:t>
      </w:r>
    </w:p>
    <w:p w14:paraId="75155F7A">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5、实施计划：</w:t>
      </w:r>
      <w:r>
        <w:rPr>
          <w:rFonts w:hint="eastAsia" w:ascii="仿宋_GB2312" w:hAnsi="仿宋" w:eastAsia="仿宋_GB2312"/>
          <w:sz w:val="32"/>
          <w:szCs w:val="32"/>
          <w:lang w:val="en-US" w:eastAsia="zh-CN"/>
        </w:rPr>
        <w:t>2026年12月31日以前完成养老机构运营经费拨付计划，保障机构正常运营。</w:t>
      </w:r>
    </w:p>
    <w:p w14:paraId="7B870A66">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100万元。</w:t>
      </w:r>
    </w:p>
    <w:p w14:paraId="1F3F22CD">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7、预期总体目标：全面落实中央、省、市、县文件精神和推进养老服务发展要求，健全基本养老服务体系，更好保障老年人生活，充分发挥县、乡、村三级服务网络的作用，健全基本养老服务保障机制</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 xml:space="preserve">  </w:t>
      </w:r>
    </w:p>
    <w:p w14:paraId="1A4A4423">
      <w:pPr>
        <w:adjustRightInd w:val="0"/>
        <w:snapToGrid w:val="0"/>
        <w:spacing w:line="240" w:lineRule="auto"/>
        <w:ind w:firstLine="643" w:firstLineChars="200"/>
        <w:contextualSpacing/>
        <w:rPr>
          <w:rFonts w:ascii="楷体_GB2312" w:hAnsi="楷体" w:eastAsia="楷体_GB2312" w:cs="宋体"/>
          <w:b/>
          <w:bCs/>
          <w:kern w:val="0"/>
          <w:sz w:val="32"/>
          <w:szCs w:val="32"/>
          <w:highlight w:val="none"/>
        </w:rPr>
      </w:pPr>
      <w:r>
        <w:rPr>
          <w:rFonts w:hint="eastAsia" w:ascii="楷体_GB2312" w:hAnsi="楷体" w:eastAsia="楷体_GB2312" w:cs="宋体"/>
          <w:b/>
          <w:bCs/>
          <w:kern w:val="0"/>
          <w:sz w:val="32"/>
          <w:szCs w:val="32"/>
          <w:highlight w:val="none"/>
        </w:rPr>
        <w:t>（四）</w:t>
      </w:r>
      <w:r>
        <w:rPr>
          <w:rFonts w:hint="eastAsia" w:ascii="楷体_GB2312" w:hAnsi="楷体" w:eastAsia="楷体_GB2312" w:cs="宋体"/>
          <w:b/>
          <w:bCs/>
          <w:kern w:val="0"/>
          <w:sz w:val="32"/>
          <w:szCs w:val="32"/>
          <w:highlight w:val="none"/>
          <w:lang w:eastAsia="zh-CN"/>
        </w:rPr>
        <w:t>单位</w:t>
      </w:r>
      <w:r>
        <w:rPr>
          <w:rFonts w:hint="eastAsia" w:ascii="楷体_GB2312" w:hAnsi="楷体" w:eastAsia="楷体_GB2312" w:cs="宋体"/>
          <w:b/>
          <w:bCs/>
          <w:kern w:val="0"/>
          <w:sz w:val="32"/>
          <w:szCs w:val="32"/>
          <w:highlight w:val="none"/>
        </w:rPr>
        <w:t>管理转移支付情况</w:t>
      </w:r>
    </w:p>
    <w:p w14:paraId="53C7AD7A">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lang w:val="en-US" w:eastAsia="zh-CN"/>
        </w:rPr>
        <w:t>2026</w:t>
      </w:r>
      <w:r>
        <w:rPr>
          <w:rFonts w:hint="eastAsia" w:ascii="仿宋_GB2312" w:hAnsi="仿宋" w:eastAsia="仿宋_GB2312"/>
          <w:sz w:val="32"/>
          <w:szCs w:val="32"/>
          <w:highlight w:val="none"/>
        </w:rPr>
        <w:t>年，未安排预算</w:t>
      </w:r>
      <w:r>
        <w:rPr>
          <w:rFonts w:hint="eastAsia" w:ascii="仿宋_GB2312" w:hAnsi="仿宋" w:eastAsia="仿宋_GB2312"/>
          <w:sz w:val="32"/>
          <w:szCs w:val="32"/>
          <w:highlight w:val="none"/>
          <w:lang w:eastAsia="zh-CN"/>
        </w:rPr>
        <w:t>，单位</w:t>
      </w:r>
      <w:r>
        <w:rPr>
          <w:rFonts w:hint="eastAsia" w:ascii="仿宋_GB2312" w:hAnsi="仿宋" w:eastAsia="仿宋_GB2312"/>
          <w:sz w:val="32"/>
          <w:szCs w:val="32"/>
          <w:highlight w:val="none"/>
        </w:rPr>
        <w:t>管理转移支付表为空表。</w:t>
      </w:r>
    </w:p>
    <w:p w14:paraId="3EC71246">
      <w:pPr>
        <w:adjustRightInd w:val="0"/>
        <w:snapToGrid w:val="0"/>
        <w:spacing w:line="640" w:lineRule="exact"/>
        <w:ind w:firstLine="643" w:firstLineChars="200"/>
        <w:contextualSpacing/>
        <w:rPr>
          <w:rFonts w:ascii="楷体_GB2312" w:hAnsi="楷体" w:eastAsia="楷体_GB2312" w:cs="宋体"/>
          <w:b/>
          <w:bCs/>
          <w:kern w:val="0"/>
          <w:sz w:val="32"/>
          <w:szCs w:val="32"/>
          <w:highlight w:val="none"/>
        </w:rPr>
      </w:pPr>
      <w:r>
        <w:rPr>
          <w:rFonts w:hint="eastAsia" w:ascii="楷体_GB2312" w:hAnsi="楷体" w:eastAsia="楷体_GB2312" w:cs="宋体"/>
          <w:b/>
          <w:bCs/>
          <w:kern w:val="0"/>
          <w:sz w:val="32"/>
          <w:szCs w:val="32"/>
          <w:highlight w:val="none"/>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仿宋" w:eastAsia="仿宋_GB2312"/>
          <w:sz w:val="32"/>
          <w:szCs w:val="32"/>
          <w:highlight w:val="none"/>
          <w:lang w:val="en-US" w:eastAsia="zh-CN"/>
        </w:rPr>
        <w:t>2026</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eastAsia="zh-CN"/>
        </w:rPr>
        <w:t>，</w:t>
      </w:r>
      <w:r>
        <w:rPr>
          <w:rFonts w:hint="eastAsia" w:ascii="仿宋_GB2312" w:hAnsi="楷体" w:eastAsia="仿宋_GB2312"/>
          <w:sz w:val="32"/>
          <w:szCs w:val="32"/>
          <w:highlight w:val="none"/>
        </w:rPr>
        <w:t>未安排预算，国有资本经营预算支出情况表为空表。</w:t>
      </w:r>
    </w:p>
    <w:p w14:paraId="1ED9B130">
      <w:pPr>
        <w:adjustRightInd w:val="0"/>
        <w:snapToGrid w:val="0"/>
        <w:spacing w:line="640" w:lineRule="exact"/>
        <w:ind w:firstLine="643" w:firstLineChars="200"/>
        <w:contextualSpacing/>
        <w:rPr>
          <w:rFonts w:ascii="黑体" w:hAnsi="黑体" w:eastAsia="黑体" w:cs="宋体"/>
          <w:kern w:val="0"/>
          <w:sz w:val="32"/>
          <w:szCs w:val="32"/>
        </w:rPr>
      </w:pPr>
      <w:r>
        <w:rPr>
          <w:rFonts w:hint="eastAsia" w:ascii="黑体" w:hAnsi="黑体" w:eastAsia="黑体" w:cs="宋体"/>
          <w:b/>
          <w:bCs/>
          <w:kern w:val="0"/>
          <w:sz w:val="32"/>
          <w:szCs w:val="32"/>
        </w:rPr>
        <w:t>十、</w:t>
      </w:r>
      <w:r>
        <w:rPr>
          <w:rFonts w:hint="eastAsia" w:ascii="黑体" w:hAnsi="黑体" w:eastAsia="黑体" w:cs="宋体"/>
          <w:kern w:val="0"/>
          <w:sz w:val="32"/>
          <w:szCs w:val="32"/>
        </w:rPr>
        <w:t>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11</w:t>
      </w:r>
      <w:r>
        <w:rPr>
          <w:rFonts w:hint="eastAsia" w:ascii="仿宋_GB2312" w:hAnsi="仿宋" w:eastAsia="仿宋_GB2312"/>
          <w:sz w:val="32"/>
          <w:szCs w:val="32"/>
        </w:rPr>
        <w:t xml:space="preserve">个，公开率为 </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3B32F544">
      <w:pPr>
        <w:widowControl/>
        <w:adjustRightInd w:val="0"/>
        <w:snapToGrid w:val="0"/>
        <w:spacing w:line="640" w:lineRule="exact"/>
        <w:ind w:firstLine="643" w:firstLineChars="200"/>
        <w:contextualSpacing/>
        <w:jc w:val="left"/>
        <w:rPr>
          <w:rFonts w:ascii="仿宋_GB2312" w:hAnsi="仿宋" w:eastAsia="仿宋_GB2312"/>
          <w:color w:val="auto"/>
          <w:sz w:val="32"/>
          <w:szCs w:val="32"/>
        </w:rPr>
      </w:pPr>
      <w:r>
        <w:rPr>
          <w:rFonts w:hint="eastAsia" w:ascii="仿宋_GB2312" w:hAnsi="仿宋" w:eastAsia="仿宋_GB2312"/>
          <w:b/>
          <w:sz w:val="32"/>
          <w:szCs w:val="32"/>
        </w:rPr>
        <w:t>2.绩效运行监控情况。</w:t>
      </w:r>
      <w:r>
        <w:rPr>
          <w:rFonts w:hint="eastAsia" w:ascii="仿宋_GB2312" w:hAnsi="仿宋" w:eastAsia="仿宋_GB2312"/>
          <w:color w:val="auto"/>
          <w:sz w:val="32"/>
          <w:szCs w:val="32"/>
          <w:lang w:eastAsia="zh-CN"/>
        </w:rPr>
        <w:t>202</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10</w:t>
      </w:r>
      <w:r>
        <w:rPr>
          <w:rFonts w:hint="eastAsia" w:ascii="仿宋_GB2312" w:hAnsi="仿宋" w:eastAsia="仿宋_GB2312"/>
          <w:color w:val="auto"/>
          <w:sz w:val="32"/>
          <w:szCs w:val="32"/>
        </w:rPr>
        <w:t>月，组织开展1-</w:t>
      </w:r>
      <w:r>
        <w:rPr>
          <w:rFonts w:hint="eastAsia" w:ascii="仿宋_GB2312" w:hAnsi="仿宋" w:eastAsia="仿宋_GB2312"/>
          <w:color w:val="auto"/>
          <w:sz w:val="32"/>
          <w:szCs w:val="32"/>
          <w:lang w:val="en-US" w:eastAsia="zh-CN"/>
        </w:rPr>
        <w:t>9</w:t>
      </w:r>
      <w:r>
        <w:rPr>
          <w:rFonts w:hint="eastAsia" w:ascii="仿宋_GB2312" w:hAnsi="仿宋" w:eastAsia="仿宋_GB2312"/>
          <w:color w:val="auto"/>
          <w:sz w:val="32"/>
          <w:szCs w:val="32"/>
        </w:rPr>
        <w:t>月绩效运行监控项目</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rPr>
        <w:t>个，占本</w:t>
      </w:r>
      <w:r>
        <w:rPr>
          <w:rFonts w:hint="eastAsia" w:ascii="仿宋_GB2312" w:hAnsi="CIDFont+F6" w:eastAsia="仿宋_GB2312"/>
          <w:color w:val="auto"/>
          <w:sz w:val="32"/>
          <w:szCs w:val="32"/>
        </w:rPr>
        <w:t>部门</w:t>
      </w:r>
      <w:r>
        <w:rPr>
          <w:rFonts w:hint="eastAsia" w:ascii="仿宋_GB2312" w:hAnsi="仿宋" w:eastAsia="仿宋_GB2312"/>
          <w:color w:val="auto"/>
          <w:sz w:val="32"/>
          <w:szCs w:val="32"/>
        </w:rPr>
        <w:t xml:space="preserve">项目的 </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 xml:space="preserve"> %。截至</w:t>
      </w:r>
      <w:r>
        <w:rPr>
          <w:rFonts w:hint="eastAsia" w:ascii="仿宋_GB2312" w:hAnsi="仿宋" w:eastAsia="仿宋_GB2312"/>
          <w:color w:val="auto"/>
          <w:sz w:val="32"/>
          <w:szCs w:val="32"/>
          <w:lang w:val="en-US" w:eastAsia="zh-CN"/>
        </w:rPr>
        <w:t>9</w:t>
      </w:r>
      <w:r>
        <w:rPr>
          <w:rFonts w:hint="eastAsia" w:ascii="仿宋_GB2312" w:hAnsi="仿宋" w:eastAsia="仿宋_GB2312"/>
          <w:color w:val="auto"/>
          <w:sz w:val="32"/>
          <w:szCs w:val="32"/>
        </w:rPr>
        <w:t>月底，开展1-9月绩效运行监控项目</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rPr>
        <w:t>个，占本部门项目的</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如期完成预算执行和绩效目标指标值的项目</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rPr>
        <w:t>个，完成率为</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 xml:space="preserve"> %</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rPr>
        <w:t>截至1</w:t>
      </w:r>
      <w:r>
        <w:rPr>
          <w:rFonts w:hint="eastAsia" w:ascii="仿宋_GB2312" w:hAnsi="仿宋" w:eastAsia="仿宋_GB2312"/>
          <w:color w:val="auto"/>
          <w:sz w:val="32"/>
          <w:szCs w:val="32"/>
          <w:lang w:val="en-US" w:eastAsia="zh-CN"/>
        </w:rPr>
        <w:t>2</w:t>
      </w:r>
      <w:r>
        <w:rPr>
          <w:rFonts w:hint="eastAsia" w:ascii="仿宋_GB2312" w:hAnsi="仿宋" w:eastAsia="仿宋_GB2312"/>
          <w:color w:val="auto"/>
          <w:sz w:val="32"/>
          <w:szCs w:val="32"/>
        </w:rPr>
        <w:t>月底，如期完成预算执行和绩效目标指标值的项目</w:t>
      </w:r>
      <w:r>
        <w:rPr>
          <w:rFonts w:hint="eastAsia" w:ascii="仿宋_GB2312" w:hAnsi="仿宋" w:eastAsia="仿宋_GB2312"/>
          <w:color w:val="auto"/>
          <w:sz w:val="32"/>
          <w:szCs w:val="32"/>
          <w:lang w:val="en-US" w:eastAsia="zh-CN"/>
        </w:rPr>
        <w:t>11</w:t>
      </w:r>
      <w:r>
        <w:rPr>
          <w:rFonts w:hint="eastAsia" w:ascii="仿宋_GB2312" w:hAnsi="仿宋" w:eastAsia="仿宋_GB2312"/>
          <w:color w:val="auto"/>
          <w:sz w:val="32"/>
          <w:szCs w:val="32"/>
        </w:rPr>
        <w:t xml:space="preserve">个，完成率为 </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 xml:space="preserve"> %。“双监控”</w:t>
      </w:r>
      <w:r>
        <w:rPr>
          <w:rFonts w:hint="eastAsia" w:ascii="仿宋_GB2312" w:hAnsi="仿宋" w:eastAsia="仿宋_GB2312"/>
          <w:color w:val="auto"/>
          <w:sz w:val="32"/>
          <w:szCs w:val="32"/>
          <w:lang w:eastAsia="zh-CN"/>
        </w:rPr>
        <w:t>未</w:t>
      </w:r>
      <w:r>
        <w:rPr>
          <w:rFonts w:hint="eastAsia" w:ascii="仿宋_GB2312" w:hAnsi="仿宋" w:eastAsia="仿宋_GB2312"/>
          <w:color w:val="auto"/>
          <w:sz w:val="32"/>
          <w:szCs w:val="32"/>
        </w:rPr>
        <w:t>发现存在的问题。</w:t>
      </w:r>
    </w:p>
    <w:p w14:paraId="2DF7A022">
      <w:pPr>
        <w:widowControl/>
        <w:adjustRightInd w:val="0"/>
        <w:snapToGrid w:val="0"/>
        <w:spacing w:line="640" w:lineRule="exact"/>
        <w:ind w:firstLine="643" w:firstLineChars="200"/>
        <w:contextualSpacing/>
        <w:jc w:val="left"/>
        <w:rPr>
          <w:rFonts w:ascii="仿宋_GB2312" w:hAnsi="仿宋" w:eastAsia="仿宋_GB2312"/>
          <w:sz w:val="32"/>
          <w:szCs w:val="32"/>
          <w:highlight w:val="none"/>
        </w:rPr>
      </w:pPr>
      <w:r>
        <w:rPr>
          <w:rFonts w:hint="eastAsia" w:ascii="仿宋_GB2312" w:hAnsi="仿宋" w:eastAsia="仿宋_GB2312"/>
          <w:b/>
          <w:sz w:val="32"/>
          <w:szCs w:val="32"/>
          <w:highlight w:val="none"/>
        </w:rPr>
        <w:t>3.绩效自评开展情况。</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年度，组织开展绩效自评项目共</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个，其中，</w:t>
      </w:r>
      <w:r>
        <w:rPr>
          <w:rFonts w:hint="eastAsia" w:ascii="仿宋_GB2312" w:hAnsi="仿宋" w:eastAsia="仿宋_GB2312"/>
          <w:sz w:val="32"/>
          <w:szCs w:val="32"/>
          <w:highlight w:val="none"/>
          <w:lang w:eastAsia="zh-CN"/>
        </w:rPr>
        <w:t>单位</w:t>
      </w:r>
      <w:r>
        <w:rPr>
          <w:rFonts w:hint="eastAsia" w:ascii="仿宋_GB2312" w:hAnsi="仿宋" w:eastAsia="仿宋_GB2312"/>
          <w:sz w:val="32"/>
          <w:szCs w:val="32"/>
          <w:highlight w:val="none"/>
        </w:rPr>
        <w:t xml:space="preserve">整体支出 </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个，项目支出</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 xml:space="preserve">个，转移支付项目 </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个，绩效自评覆盖率为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 xml:space="preserve"> %。绩效自评结果随</w:t>
      </w:r>
      <w:r>
        <w:rPr>
          <w:rFonts w:hint="eastAsia" w:ascii="仿宋_GB2312" w:hAnsi="仿宋" w:eastAsia="仿宋_GB2312"/>
          <w:sz w:val="32"/>
          <w:szCs w:val="32"/>
          <w:highlight w:val="none"/>
          <w:lang w:eastAsia="zh-CN"/>
        </w:rPr>
        <w:t>单位</w:t>
      </w:r>
      <w:r>
        <w:rPr>
          <w:rFonts w:hint="eastAsia" w:ascii="仿宋_GB2312" w:hAnsi="仿宋" w:eastAsia="仿宋_GB2312"/>
          <w:sz w:val="32"/>
          <w:szCs w:val="32"/>
          <w:highlight w:val="none"/>
        </w:rPr>
        <w:t>决算报送财政和随决算公开情况：</w:t>
      </w:r>
      <w:r>
        <w:rPr>
          <w:rFonts w:hint="eastAsia" w:ascii="仿宋_GB2312" w:hAnsi="仿宋" w:eastAsia="仿宋_GB2312"/>
          <w:sz w:val="32"/>
          <w:szCs w:val="32"/>
          <w:highlight w:val="none"/>
          <w:lang w:val="en-US" w:eastAsia="zh-CN"/>
        </w:rPr>
        <w:t>及时公开</w:t>
      </w:r>
      <w:r>
        <w:rPr>
          <w:rFonts w:hint="eastAsia" w:ascii="仿宋_GB2312" w:hAnsi="仿宋" w:eastAsia="仿宋_GB2312"/>
          <w:sz w:val="32"/>
          <w:szCs w:val="32"/>
          <w:highlight w:val="none"/>
        </w:rPr>
        <w:t>。</w:t>
      </w:r>
    </w:p>
    <w:p w14:paraId="4272F840">
      <w:pPr>
        <w:widowControl/>
        <w:adjustRightInd w:val="0"/>
        <w:snapToGrid w:val="0"/>
        <w:spacing w:line="640" w:lineRule="exact"/>
        <w:ind w:firstLine="643" w:firstLineChars="200"/>
        <w:contextualSpacing/>
        <w:jc w:val="left"/>
        <w:rPr>
          <w:rFonts w:ascii="仿宋_GB2312" w:hAnsi="仿宋" w:eastAsia="仿宋_GB2312"/>
          <w:sz w:val="32"/>
          <w:szCs w:val="32"/>
          <w:highlight w:val="none"/>
        </w:rPr>
      </w:pPr>
      <w:r>
        <w:rPr>
          <w:rFonts w:hint="eastAsia" w:ascii="仿宋_GB2312" w:hAnsi="仿宋" w:eastAsia="仿宋_GB2312"/>
          <w:b/>
          <w:sz w:val="32"/>
          <w:szCs w:val="32"/>
          <w:highlight w:val="none"/>
        </w:rPr>
        <w:t>4.绩效结果应用情况。</w:t>
      </w:r>
      <w:r>
        <w:rPr>
          <w:rFonts w:hint="eastAsia" w:ascii="仿宋_GB2312" w:hAnsi="仿宋" w:eastAsia="仿宋_GB2312"/>
          <w:sz w:val="32"/>
          <w:szCs w:val="32"/>
          <w:highlight w:val="none"/>
        </w:rPr>
        <w:t>根据</w:t>
      </w:r>
      <w:r>
        <w:rPr>
          <w:rFonts w:hint="eastAsia" w:ascii="仿宋_GB2312" w:hAnsi="仿宋" w:eastAsia="仿宋_GB2312"/>
          <w:sz w:val="32"/>
          <w:szCs w:val="32"/>
          <w:highlight w:val="none"/>
          <w:lang w:val="en-US" w:eastAsia="zh-CN"/>
        </w:rPr>
        <w:t>2025</w:t>
      </w:r>
      <w:r>
        <w:rPr>
          <w:rFonts w:hint="eastAsia" w:ascii="仿宋_GB2312" w:hAnsi="仿宋" w:eastAsia="仿宋_GB2312"/>
          <w:sz w:val="32"/>
          <w:szCs w:val="32"/>
          <w:highlight w:val="none"/>
        </w:rPr>
        <w:t>年度绩效运行监控、绩效自评等情况，当年盘活财政资金</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w:t>
      </w:r>
      <w:r>
        <w:rPr>
          <w:rFonts w:hint="eastAsia" w:ascii="仿宋_GB2312" w:hAnsi="仿宋" w:eastAsia="仿宋_GB2312"/>
          <w:sz w:val="32"/>
          <w:szCs w:val="32"/>
          <w:highlight w:val="none"/>
          <w:lang w:val="en-US" w:eastAsia="zh-CN"/>
        </w:rPr>
        <w:t>2026</w:t>
      </w:r>
      <w:r>
        <w:rPr>
          <w:rFonts w:hint="eastAsia" w:ascii="仿宋_GB2312" w:hAnsi="仿宋" w:eastAsia="仿宋_GB2312"/>
          <w:sz w:val="32"/>
          <w:szCs w:val="32"/>
          <w:highlight w:val="none"/>
        </w:rPr>
        <w:t>年度</w:t>
      </w:r>
      <w:r>
        <w:rPr>
          <w:rFonts w:hint="eastAsia" w:ascii="仿宋_GB2312" w:hAnsi="仿宋" w:eastAsia="仿宋_GB2312"/>
          <w:sz w:val="32"/>
          <w:szCs w:val="32"/>
          <w:highlight w:val="none"/>
          <w:lang w:val="en-US" w:eastAsia="zh-CN"/>
        </w:rPr>
        <w:t>增加部门</w:t>
      </w:r>
      <w:r>
        <w:rPr>
          <w:rFonts w:hint="eastAsia" w:ascii="仿宋_GB2312" w:hAnsi="仿宋" w:eastAsia="仿宋_GB2312"/>
          <w:sz w:val="32"/>
          <w:szCs w:val="32"/>
          <w:highlight w:val="none"/>
        </w:rPr>
        <w:t>预算项目</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个</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共计12个</w:t>
      </w:r>
      <w:r>
        <w:rPr>
          <w:rFonts w:hint="eastAsia" w:ascii="仿宋_GB2312" w:hAnsi="仿宋" w:eastAsia="仿宋_GB2312"/>
          <w:sz w:val="32"/>
          <w:szCs w:val="32"/>
          <w:highlight w:val="none"/>
        </w:rPr>
        <w:t>，</w:t>
      </w:r>
      <w:r>
        <w:rPr>
          <w:rFonts w:hint="eastAsia" w:ascii="仿宋_GB2312" w:hAnsi="仿宋" w:eastAsia="仿宋_GB2312"/>
          <w:sz w:val="32"/>
          <w:szCs w:val="32"/>
          <w:highlight w:val="none"/>
          <w:lang w:val="en-US" w:eastAsia="zh-CN"/>
        </w:rPr>
        <w:t>较2025年增加9.09</w:t>
      </w:r>
      <w:r>
        <w:rPr>
          <w:rFonts w:hint="eastAsia" w:ascii="仿宋_GB2312" w:hAnsi="仿宋" w:eastAsia="仿宋_GB2312"/>
          <w:sz w:val="32"/>
          <w:szCs w:val="32"/>
          <w:highlight w:val="none"/>
        </w:rPr>
        <w:t xml:space="preserve"> %。同时对政策和项目资金管理作出调整的</w:t>
      </w:r>
      <w:r>
        <w:rPr>
          <w:rFonts w:hint="eastAsia" w:ascii="仿宋_GB2312" w:hAnsi="仿宋" w:eastAsia="仿宋_GB2312"/>
          <w:sz w:val="32"/>
          <w:szCs w:val="32"/>
          <w:highlight w:val="none"/>
          <w:lang w:val="en-US" w:eastAsia="zh-CN"/>
        </w:rPr>
        <w:t>有2</w:t>
      </w:r>
      <w:r>
        <w:rPr>
          <w:rFonts w:hint="eastAsia" w:ascii="仿宋_GB2312" w:hAnsi="仿宋" w:eastAsia="仿宋_GB2312"/>
          <w:sz w:val="32"/>
          <w:szCs w:val="32"/>
          <w:highlight w:val="none"/>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16</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38</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672CD903">
      <w:pPr>
        <w:adjustRightInd w:val="0"/>
        <w:snapToGrid w:val="0"/>
        <w:spacing w:line="640" w:lineRule="exact"/>
        <w:contextualSpacing/>
        <w:jc w:val="right"/>
        <w:rPr>
          <w:rFonts w:hint="eastAsia" w:ascii="仿宋_GB2312" w:hAnsi="CIDFont+F6" w:eastAsia="仿宋_GB2312"/>
          <w:color w:val="000000"/>
          <w:sz w:val="32"/>
          <w:szCs w:val="32"/>
        </w:rPr>
      </w:pPr>
    </w:p>
    <w:p w14:paraId="2A004D16">
      <w:pPr>
        <w:adjustRightInd w:val="0"/>
        <w:snapToGrid w:val="0"/>
        <w:spacing w:line="640" w:lineRule="exact"/>
        <w:contextualSpacing/>
        <w:jc w:val="right"/>
        <w:rPr>
          <w:rFonts w:hint="eastAsia" w:ascii="仿宋_GB2312" w:hAnsi="CIDFont+F6" w:eastAsia="仿宋_GB2312"/>
          <w:color w:val="000000"/>
          <w:sz w:val="32"/>
          <w:szCs w:val="32"/>
        </w:rPr>
      </w:pPr>
    </w:p>
    <w:p w14:paraId="7046B0C1">
      <w:pPr>
        <w:adjustRightInd w:val="0"/>
        <w:snapToGrid w:val="0"/>
        <w:spacing w:line="640" w:lineRule="exact"/>
        <w:ind w:right="1120"/>
        <w:contextualSpacing/>
        <w:jc w:val="center"/>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w:t>
      </w:r>
      <w:r>
        <w:rPr>
          <w:rFonts w:hint="eastAsia" w:ascii="仿宋_GB2312" w:hAnsi="CIDFont+F6" w:eastAsia="仿宋_GB2312"/>
          <w:color w:val="000000"/>
          <w:sz w:val="32"/>
          <w:szCs w:val="32"/>
          <w:lang w:eastAsia="zh-CN"/>
        </w:rPr>
        <w:t>华池县</w:t>
      </w:r>
      <w:r>
        <w:rPr>
          <w:rFonts w:hint="eastAsia" w:ascii="仿宋_GB2312" w:hAnsi="CIDFont+F6" w:eastAsia="仿宋_GB2312"/>
          <w:color w:val="000000"/>
          <w:sz w:val="32"/>
          <w:szCs w:val="32"/>
          <w:lang w:val="en-US" w:eastAsia="zh-CN"/>
        </w:rPr>
        <w:t>民政局</w:t>
      </w:r>
    </w:p>
    <w:p w14:paraId="1B74D2D0">
      <w:pPr>
        <w:tabs>
          <w:tab w:val="left" w:pos="1272"/>
        </w:tabs>
        <w:ind w:firstLine="5760" w:firstLineChars="1800"/>
        <w:rPr>
          <w:rFonts w:hint="eastAsia"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2026年3月16日</w:t>
      </w:r>
    </w:p>
    <w:p w14:paraId="6249DA7D">
      <w:pPr>
        <w:tabs>
          <w:tab w:val="left" w:pos="1272"/>
        </w:tabs>
        <w:ind w:firstLine="5760" w:firstLineChars="1800"/>
        <w:rPr>
          <w:rFonts w:hint="eastAsia" w:ascii="仿宋_GB2312" w:hAnsi="CIDFont+F6" w:eastAsia="仿宋_GB2312"/>
          <w:color w:val="000000"/>
          <w:sz w:val="32"/>
          <w:szCs w:val="32"/>
          <w:lang w:val="en-US" w:eastAsia="zh-CN"/>
        </w:rPr>
      </w:pPr>
    </w:p>
    <w:p w14:paraId="71FDD22C">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eastAsia="zh-CN"/>
        </w:rPr>
        <w:t>华池县</w:t>
      </w:r>
      <w:r>
        <w:rPr>
          <w:rFonts w:hint="eastAsia" w:ascii="仿宋_GB2312" w:hAnsi="宋体" w:eastAsia="仿宋_GB2312" w:cs="宋体"/>
          <w:spacing w:val="-20"/>
          <w:kern w:val="0"/>
          <w:sz w:val="32"/>
          <w:szCs w:val="32"/>
          <w:lang w:val="en-US" w:eastAsia="zh-CN"/>
        </w:rPr>
        <w:t>民政局</w:t>
      </w:r>
      <w:r>
        <w:rPr>
          <w:rFonts w:hint="eastAsia" w:ascii="仿宋_GB2312" w:hAnsi="宋体" w:eastAsia="仿宋_GB2312" w:cs="宋体"/>
          <w:spacing w:val="-20"/>
          <w:kern w:val="0"/>
          <w:sz w:val="32"/>
          <w:szCs w:val="32"/>
        </w:rPr>
        <w:t xml:space="preserve"> </w:t>
      </w:r>
      <w:bookmarkStart w:id="0" w:name="_GoBack"/>
      <w:bookmarkEnd w:id="0"/>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lang w:val="en-US" w:eastAsia="zh-CN"/>
        </w:rPr>
        <w:t>部门</w:t>
      </w:r>
      <w:r>
        <w:rPr>
          <w:rFonts w:hint="eastAsia" w:ascii="仿宋_GB2312" w:hAnsi="宋体" w:eastAsia="仿宋_GB2312" w:cs="宋体"/>
          <w:spacing w:val="-20"/>
          <w:kern w:val="0"/>
          <w:sz w:val="32"/>
          <w:szCs w:val="32"/>
        </w:rPr>
        <w:t>预算公开表</w:t>
      </w:r>
    </w:p>
    <w:p w14:paraId="1DFA096F">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eastAsia="zh-CN"/>
        </w:rPr>
        <w:t>华池县</w:t>
      </w:r>
      <w:r>
        <w:rPr>
          <w:rFonts w:hint="eastAsia" w:ascii="仿宋_GB2312" w:hAnsi="宋体" w:eastAsia="仿宋_GB2312" w:cs="宋体"/>
          <w:kern w:val="0"/>
          <w:sz w:val="32"/>
          <w:szCs w:val="32"/>
          <w:lang w:val="en-US" w:eastAsia="zh-CN"/>
        </w:rPr>
        <w:t>民政局</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lang w:val="en-US" w:eastAsia="zh-CN"/>
        </w:rPr>
        <w:t>部门</w:t>
      </w:r>
      <w:r>
        <w:rPr>
          <w:rFonts w:hint="eastAsia" w:ascii="仿宋_GB2312" w:hAnsi="宋体" w:eastAsia="仿宋_GB2312" w:cs="宋体"/>
          <w:kern w:val="0"/>
          <w:sz w:val="32"/>
          <w:szCs w:val="32"/>
        </w:rPr>
        <w:t>整体支出绩效目标及预算项目绩效目标表</w:t>
      </w:r>
    </w:p>
    <w:p w14:paraId="44DD93A5">
      <w:pPr>
        <w:pStyle w:val="4"/>
        <w:ind w:left="0" w:leftChars="0" w:firstLine="0" w:firstLineChars="0"/>
        <w:rPr>
          <w:rFonts w:hint="eastAsia"/>
        </w:rPr>
      </w:pPr>
    </w:p>
    <w:p w14:paraId="6C80D2AE">
      <w:pPr>
        <w:tabs>
          <w:tab w:val="left" w:pos="1272"/>
        </w:tabs>
        <w:ind w:firstLine="5760" w:firstLineChars="1800"/>
        <w:rPr>
          <w:rFonts w:hint="eastAsia" w:ascii="仿宋_GB2312" w:hAnsi="CIDFont+F6" w:eastAsia="仿宋_GB2312"/>
          <w:color w:val="000000"/>
          <w:sz w:val="32"/>
          <w:szCs w:val="32"/>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6"/>
      <w:jc w:val="center"/>
    </w:pPr>
  </w:p>
  <w:p w14:paraId="18AFAB9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6"/>
      <w:jc w:val="center"/>
    </w:pPr>
    <w:r>
      <w:fldChar w:fldCharType="begin"/>
    </w:r>
    <w:r>
      <w:instrText xml:space="preserve">PAGE   \* MERGEFORMAT</w:instrText>
    </w:r>
    <w:r>
      <w:fldChar w:fldCharType="separate"/>
    </w:r>
    <w:r>
      <w:rPr>
        <w:lang w:val="zh-CN"/>
      </w:rPr>
      <w:t>27</w:t>
    </w:r>
    <w:r>
      <w:fldChar w:fldCharType="end"/>
    </w:r>
  </w:p>
  <w:p w14:paraId="7F222DAC">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64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1AC1"/>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4641540"/>
    <w:rsid w:val="0723742E"/>
    <w:rsid w:val="113741D2"/>
    <w:rsid w:val="128724F6"/>
    <w:rsid w:val="137E3987"/>
    <w:rsid w:val="150360C6"/>
    <w:rsid w:val="158A6D18"/>
    <w:rsid w:val="18330BA7"/>
    <w:rsid w:val="1D34261E"/>
    <w:rsid w:val="1D882867"/>
    <w:rsid w:val="1F15767E"/>
    <w:rsid w:val="201C44C6"/>
    <w:rsid w:val="24AB4534"/>
    <w:rsid w:val="2A505BBC"/>
    <w:rsid w:val="2B6F2DD8"/>
    <w:rsid w:val="2BA207D1"/>
    <w:rsid w:val="2D3E3216"/>
    <w:rsid w:val="323A2127"/>
    <w:rsid w:val="32F50547"/>
    <w:rsid w:val="348903E7"/>
    <w:rsid w:val="35370DDB"/>
    <w:rsid w:val="360636A0"/>
    <w:rsid w:val="3879492F"/>
    <w:rsid w:val="38A72D01"/>
    <w:rsid w:val="3E64600E"/>
    <w:rsid w:val="42A05423"/>
    <w:rsid w:val="43A22185"/>
    <w:rsid w:val="43A8628C"/>
    <w:rsid w:val="44946FF8"/>
    <w:rsid w:val="4BDA09AC"/>
    <w:rsid w:val="4C433C79"/>
    <w:rsid w:val="4D7F46B4"/>
    <w:rsid w:val="51CE3D3F"/>
    <w:rsid w:val="527E074E"/>
    <w:rsid w:val="54AA3DF7"/>
    <w:rsid w:val="56393C72"/>
    <w:rsid w:val="579503FF"/>
    <w:rsid w:val="58AE7C9F"/>
    <w:rsid w:val="60193217"/>
    <w:rsid w:val="60535296"/>
    <w:rsid w:val="653E3E3E"/>
    <w:rsid w:val="654679D7"/>
    <w:rsid w:val="659070FD"/>
    <w:rsid w:val="66D53242"/>
    <w:rsid w:val="686B6B5C"/>
    <w:rsid w:val="6A143022"/>
    <w:rsid w:val="6BF61837"/>
    <w:rsid w:val="6CCD4BDE"/>
    <w:rsid w:val="6E391F20"/>
    <w:rsid w:val="70E86ED8"/>
    <w:rsid w:val="72FD2525"/>
    <w:rsid w:val="73C02B06"/>
    <w:rsid w:val="76FB26C3"/>
    <w:rsid w:val="78106856"/>
    <w:rsid w:val="7BAD46CF"/>
    <w:rsid w:val="7C6C23C4"/>
    <w:rsid w:val="7D127215"/>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1">
    <w:name w:val="Default Paragraph Font"/>
    <w:autoRedefine/>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autoRedefine/>
    <w:qFormat/>
    <w:uiPriority w:val="0"/>
    <w:pPr>
      <w:jc w:val="left"/>
    </w:pPr>
  </w:style>
  <w:style w:type="paragraph" w:styleId="4">
    <w:name w:val="Body Text Indent 2"/>
    <w:basedOn w:val="1"/>
    <w:next w:val="1"/>
    <w:qFormat/>
    <w:uiPriority w:val="0"/>
    <w:pPr>
      <w:spacing w:line="480" w:lineRule="auto"/>
      <w:ind w:left="420" w:leftChars="200"/>
    </w:pPr>
  </w:style>
  <w:style w:type="paragraph" w:styleId="5">
    <w:name w:val="Balloon Text"/>
    <w:basedOn w:val="1"/>
    <w:link w:val="17"/>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1"/>
    <w:autoRedefine/>
    <w:qFormat/>
    <w:uiPriority w:val="0"/>
    <w:rPr>
      <w:b/>
      <w:bCs/>
    </w:rPr>
  </w:style>
  <w:style w:type="character" w:styleId="12">
    <w:name w:val="line number"/>
    <w:autoRedefine/>
    <w:qFormat/>
    <w:uiPriority w:val="0"/>
  </w:style>
  <w:style w:type="character" w:styleId="13">
    <w:name w:val="annotation reference"/>
    <w:autoRedefine/>
    <w:qFormat/>
    <w:uiPriority w:val="0"/>
    <w:rPr>
      <w:sz w:val="21"/>
      <w:szCs w:val="21"/>
    </w:rPr>
  </w:style>
  <w:style w:type="character" w:customStyle="1" w:styleId="14">
    <w:name w:val="页脚 Char"/>
    <w:link w:val="6"/>
    <w:qFormat/>
    <w:uiPriority w:val="0"/>
    <w:rPr>
      <w:sz w:val="18"/>
      <w:szCs w:val="18"/>
    </w:rPr>
  </w:style>
  <w:style w:type="character" w:customStyle="1" w:styleId="15">
    <w:name w:val="页眉 Char"/>
    <w:link w:val="7"/>
    <w:autoRedefine/>
    <w:qFormat/>
    <w:uiPriority w:val="0"/>
    <w:rPr>
      <w:sz w:val="18"/>
      <w:szCs w:val="18"/>
    </w:rPr>
  </w:style>
  <w:style w:type="paragraph" w:styleId="16">
    <w:name w:val="List Paragraph"/>
    <w:basedOn w:val="1"/>
    <w:qFormat/>
    <w:uiPriority w:val="0"/>
    <w:pPr>
      <w:ind w:firstLine="420" w:firstLineChars="200"/>
    </w:pPr>
  </w:style>
  <w:style w:type="character" w:customStyle="1" w:styleId="17">
    <w:name w:val="批注框文本 Char"/>
    <w:link w:val="5"/>
    <w:qFormat/>
    <w:uiPriority w:val="0"/>
    <w:rPr>
      <w:kern w:val="2"/>
      <w:sz w:val="18"/>
      <w:szCs w:val="18"/>
    </w:rPr>
  </w:style>
  <w:style w:type="character" w:customStyle="1" w:styleId="18">
    <w:name w:val="标题 1 Char"/>
    <w:link w:val="2"/>
    <w:autoRedefine/>
    <w:qFormat/>
    <w:uiPriority w:val="0"/>
    <w:rPr>
      <w:rFonts w:ascii="Times New Roman" w:hAnsi="Times New Roman"/>
      <w:b/>
      <w:bCs/>
      <w:kern w:val="44"/>
      <w:sz w:val="44"/>
      <w:szCs w:val="44"/>
    </w:rPr>
  </w:style>
  <w:style w:type="paragraph" w:customStyle="1" w:styleId="19">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0">
    <w:name w:val="批注文字 Char"/>
    <w:link w:val="3"/>
    <w:qFormat/>
    <w:uiPriority w:val="0"/>
    <w:rPr>
      <w:kern w:val="2"/>
      <w:sz w:val="21"/>
      <w:szCs w:val="22"/>
    </w:rPr>
  </w:style>
  <w:style w:type="character" w:customStyle="1" w:styleId="21">
    <w:name w:val="批注主题 Char"/>
    <w:link w:val="9"/>
    <w:qFormat/>
    <w:uiPriority w:val="0"/>
    <w:rPr>
      <w:b/>
      <w:bCs/>
      <w:kern w:val="2"/>
      <w:sz w:val="21"/>
      <w:szCs w:val="22"/>
    </w:rPr>
  </w:style>
  <w:style w:type="character" w:customStyle="1" w:styleId="22">
    <w:name w:val="fontstyle01"/>
    <w:autoRedefine/>
    <w:qFormat/>
    <w:uiPriority w:val="0"/>
    <w:rPr>
      <w:rFonts w:hint="eastAsia" w:ascii="仿宋_GB2312" w:eastAsia="仿宋_GB2312"/>
      <w:color w:val="000000"/>
      <w:sz w:val="32"/>
      <w:szCs w:val="32"/>
    </w:rPr>
  </w:style>
  <w:style w:type="character" w:customStyle="1" w:styleId="23">
    <w:name w:val="fontstyle21"/>
    <w:autoRedefine/>
    <w:qFormat/>
    <w:uiPriority w:val="0"/>
    <w:rPr>
      <w:rFonts w:hint="default" w:ascii="TimesNewRomanPSMT" w:hAnsi="TimesNewRomanPSMT"/>
      <w:color w:val="000000"/>
      <w:sz w:val="32"/>
      <w:szCs w:val="32"/>
    </w:rPr>
  </w:style>
  <w:style w:type="character" w:customStyle="1" w:styleId="24">
    <w:name w:val="fontstyle11"/>
    <w:autoRedefine/>
    <w:qFormat/>
    <w:uiPriority w:val="0"/>
    <w:rPr>
      <w:rFonts w:hint="eastAsia" w:ascii="仿宋_GB2312" w:eastAsia="仿宋_GB2312"/>
      <w:color w:val="000000"/>
      <w:sz w:val="32"/>
      <w:szCs w:val="32"/>
    </w:rPr>
  </w:style>
  <w:style w:type="character" w:customStyle="1" w:styleId="25">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15</Pages>
  <Words>6287</Words>
  <Characters>6717</Characters>
  <Lines>68</Lines>
  <Paragraphs>19</Paragraphs>
  <TotalTime>1</TotalTime>
  <ScaleCrop>false</ScaleCrop>
  <LinksUpToDate>false</LinksUpToDate>
  <CharactersWithSpaces>6780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落笔画永恒</cp:lastModifiedBy>
  <cp:lastPrinted>2022-02-15T15:45:00Z</cp:lastPrinted>
  <dcterms:modified xsi:type="dcterms:W3CDTF">2026-03-17T06:42:09Z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750F2C738C524418A0736099BB7114C6_13</vt:lpwstr>
  </property>
  <property fmtid="{D5CDD505-2E9C-101B-9397-08002B2CF9AE}" pid="4" name="KSOTemplateDocerSaveRecord">
    <vt:lpwstr>eyJoZGlkIjoiZDBkZjI1NmU2ODk1NzExNjk4OWZmMmZlZDRjOWIxNGEiLCJ1c2VySWQiOiIyMzI3NjgyNjMifQ==</vt:lpwstr>
  </property>
</Properties>
</file>