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CD8B6B5">
      <w:pPr>
        <w:spacing w:line="660" w:lineRule="exact"/>
        <w:jc w:val="center"/>
        <w:rPr>
          <w:rFonts w:ascii="宋体" w:hAnsi="宋体" w:cs="宋体"/>
          <w:b/>
          <w:bCs/>
          <w:kern w:val="0"/>
          <w:sz w:val="44"/>
          <w:szCs w:val="44"/>
        </w:rPr>
      </w:pPr>
    </w:p>
    <w:p w14:paraId="0065D364">
      <w:pPr>
        <w:spacing w:line="660" w:lineRule="exact"/>
        <w:jc w:val="center"/>
        <w:rPr>
          <w:rFonts w:ascii="宋体" w:hAnsi="宋体" w:cs="宋体"/>
          <w:b/>
          <w:bCs/>
          <w:kern w:val="0"/>
          <w:sz w:val="44"/>
          <w:szCs w:val="44"/>
        </w:rPr>
      </w:pPr>
    </w:p>
    <w:p w14:paraId="5AF7918B">
      <w:pPr>
        <w:spacing w:line="660" w:lineRule="exact"/>
        <w:jc w:val="center"/>
        <w:rPr>
          <w:rFonts w:ascii="宋体" w:hAnsi="宋体" w:cs="宋体"/>
          <w:b/>
          <w:bCs/>
          <w:kern w:val="0"/>
          <w:sz w:val="44"/>
          <w:szCs w:val="44"/>
        </w:rPr>
      </w:pPr>
    </w:p>
    <w:p w14:paraId="07A93AAF">
      <w:pPr>
        <w:spacing w:line="660" w:lineRule="exact"/>
        <w:jc w:val="center"/>
        <w:rPr>
          <w:rFonts w:hint="eastAsia" w:ascii="宋体" w:hAnsi="宋体" w:cs="宋体"/>
          <w:b/>
          <w:bCs/>
          <w:kern w:val="0"/>
          <w:sz w:val="44"/>
          <w:szCs w:val="44"/>
          <w:lang w:eastAsia="zh-CN"/>
        </w:rPr>
      </w:pPr>
      <w:r>
        <w:rPr>
          <w:rFonts w:hint="eastAsia" w:ascii="宋体" w:hAnsi="宋体" w:cs="宋体"/>
          <w:b/>
          <w:bCs/>
          <w:kern w:val="0"/>
          <w:sz w:val="44"/>
          <w:szCs w:val="44"/>
          <w:lang w:eastAsia="zh-CN"/>
        </w:rPr>
        <w:t>华池县悦乐工业集中区管理委员会</w:t>
      </w:r>
    </w:p>
    <w:p w14:paraId="67ACC143">
      <w:pPr>
        <w:spacing w:line="660" w:lineRule="exact"/>
        <w:jc w:val="center"/>
        <w:rPr>
          <w:rFonts w:hint="eastAsia" w:ascii="宋体" w:hAnsi="宋体" w:eastAsia="宋体" w:cs="宋体"/>
          <w:b/>
          <w:bCs/>
          <w:kern w:val="0"/>
          <w:sz w:val="44"/>
          <w:szCs w:val="44"/>
          <w:lang w:eastAsia="zh-CN"/>
        </w:rPr>
        <w:sectPr>
          <w:footerReference r:id="rId3" w:type="default"/>
          <w:pgSz w:w="11906" w:h="16838"/>
          <w:pgMar w:top="1134" w:right="1134" w:bottom="1440" w:left="1276" w:header="851" w:footer="992" w:gutter="0"/>
          <w:cols w:space="720" w:num="1"/>
          <w:docGrid w:type="lines" w:linePitch="312" w:charSpace="0"/>
        </w:sectPr>
      </w:pPr>
      <w:r>
        <w:rPr>
          <w:rFonts w:hint="eastAsia" w:ascii="宋体" w:hAnsi="宋体" w:cs="宋体"/>
          <w:b/>
          <w:bCs/>
          <w:kern w:val="0"/>
          <w:sz w:val="44"/>
          <w:szCs w:val="44"/>
          <w:lang w:eastAsia="zh-CN"/>
        </w:rPr>
        <w:t>202</w:t>
      </w:r>
      <w:r>
        <w:rPr>
          <w:rFonts w:hint="default" w:ascii="宋体" w:hAnsi="宋体" w:cs="宋体"/>
          <w:b/>
          <w:bCs/>
          <w:kern w:val="0"/>
          <w:sz w:val="44"/>
          <w:szCs w:val="44"/>
          <w:lang w:val="en-US" w:eastAsia="zh-CN"/>
        </w:rPr>
        <w:t>6</w:t>
      </w:r>
      <w:r>
        <w:rPr>
          <w:rFonts w:hint="eastAsia" w:ascii="宋体" w:hAnsi="宋体" w:cs="宋体"/>
          <w:b/>
          <w:bCs/>
          <w:kern w:val="0"/>
          <w:sz w:val="44"/>
          <w:szCs w:val="44"/>
        </w:rPr>
        <w:t>年单位预算公开情况说明</w:t>
      </w:r>
    </w:p>
    <w:p w14:paraId="23298934">
      <w:pPr>
        <w:spacing w:line="660" w:lineRule="exact"/>
        <w:jc w:val="center"/>
        <w:rPr>
          <w:rFonts w:ascii="宋体" w:hAnsi="宋体" w:cs="宋体"/>
          <w:b/>
          <w:bCs/>
          <w:kern w:val="0"/>
          <w:sz w:val="44"/>
          <w:szCs w:val="44"/>
        </w:rPr>
      </w:pPr>
      <w:r>
        <w:rPr>
          <w:rFonts w:hint="eastAsia" w:ascii="宋体" w:hAnsi="宋体" w:cs="宋体"/>
          <w:b/>
          <w:bCs/>
          <w:kern w:val="0"/>
          <w:sz w:val="44"/>
          <w:szCs w:val="44"/>
        </w:rPr>
        <w:t>目录</w:t>
      </w:r>
    </w:p>
    <w:p w14:paraId="404A4908">
      <w:pPr>
        <w:spacing w:line="660" w:lineRule="exact"/>
        <w:jc w:val="center"/>
        <w:rPr>
          <w:rFonts w:ascii="宋体" w:hAnsi="宋体" w:cs="宋体"/>
          <w:b/>
          <w:bCs/>
          <w:kern w:val="0"/>
          <w:sz w:val="44"/>
          <w:szCs w:val="44"/>
        </w:rPr>
      </w:pPr>
    </w:p>
    <w:p w14:paraId="581C7286">
      <w:pPr>
        <w:spacing w:line="30" w:lineRule="exact"/>
        <w:jc w:val="center"/>
        <w:rPr>
          <w:rFonts w:ascii="黑体" w:eastAsia="黑体"/>
          <w:color w:val="000000"/>
          <w:sz w:val="18"/>
          <w:szCs w:val="18"/>
        </w:rPr>
      </w:pPr>
    </w:p>
    <w:p w14:paraId="53002029">
      <w:pPr>
        <w:spacing w:line="560" w:lineRule="exact"/>
        <w:ind w:firstLine="602" w:firstLineChars="200"/>
        <w:jc w:val="left"/>
        <w:rPr>
          <w:rFonts w:ascii="仿宋_GB2312" w:hAnsi="仿宋" w:eastAsia="仿宋_GB2312"/>
          <w:b/>
          <w:color w:val="000000"/>
          <w:sz w:val="30"/>
          <w:szCs w:val="30"/>
        </w:rPr>
      </w:pPr>
      <w:r>
        <w:rPr>
          <w:rFonts w:hint="eastAsia" w:ascii="仿宋_GB2312" w:hAnsi="仿宋" w:eastAsia="仿宋_GB2312"/>
          <w:b/>
          <w:color w:val="000000"/>
          <w:sz w:val="30"/>
          <w:szCs w:val="30"/>
        </w:rPr>
        <w:t>第一部分部门/单位基本概况</w:t>
      </w:r>
    </w:p>
    <w:p w14:paraId="70C024E0">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rPr>
        <w:t>一、部门/单位职责</w:t>
      </w:r>
    </w:p>
    <w:p w14:paraId="4D83AF2B">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rPr>
        <w:t>二、机构设置情况</w:t>
      </w:r>
    </w:p>
    <w:p w14:paraId="433351F8">
      <w:pPr>
        <w:spacing w:line="560" w:lineRule="exact"/>
        <w:ind w:firstLine="602" w:firstLineChars="200"/>
        <w:jc w:val="left"/>
        <w:rPr>
          <w:rFonts w:ascii="仿宋_GB2312" w:hAnsi="仿宋" w:eastAsia="仿宋_GB2312"/>
          <w:b/>
          <w:color w:val="000000"/>
          <w:sz w:val="30"/>
          <w:szCs w:val="30"/>
        </w:rPr>
      </w:pPr>
      <w:r>
        <w:rPr>
          <w:rFonts w:hint="eastAsia" w:ascii="仿宋_GB2312" w:hAnsi="仿宋" w:eastAsia="仿宋_GB2312"/>
          <w:b/>
          <w:color w:val="000000"/>
          <w:sz w:val="30"/>
          <w:szCs w:val="30"/>
        </w:rPr>
        <w:t>第二部分</w:t>
      </w:r>
      <w:r>
        <w:rPr>
          <w:rFonts w:hint="eastAsia" w:ascii="仿宋_GB2312" w:hAnsi="仿宋" w:eastAsia="仿宋_GB2312"/>
          <w:b/>
          <w:color w:val="000000"/>
          <w:sz w:val="30"/>
          <w:szCs w:val="30"/>
          <w:lang w:eastAsia="zh-CN"/>
        </w:rPr>
        <w:t>202</w:t>
      </w:r>
      <w:r>
        <w:rPr>
          <w:rFonts w:hint="default" w:ascii="仿宋_GB2312" w:hAnsi="仿宋" w:eastAsia="仿宋_GB2312"/>
          <w:b/>
          <w:color w:val="000000"/>
          <w:sz w:val="30"/>
          <w:szCs w:val="30"/>
          <w:lang w:val="en-US" w:eastAsia="zh-CN"/>
        </w:rPr>
        <w:t>6</w:t>
      </w:r>
      <w:r>
        <w:rPr>
          <w:rFonts w:hint="eastAsia" w:ascii="仿宋_GB2312" w:hAnsi="仿宋" w:eastAsia="仿宋_GB2312"/>
          <w:b/>
          <w:color w:val="000000"/>
          <w:sz w:val="30"/>
          <w:szCs w:val="30"/>
        </w:rPr>
        <w:t>年部门/单位预算情况说明</w:t>
      </w:r>
    </w:p>
    <w:p w14:paraId="44EBD670">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lang w:val="en-US" w:eastAsia="zh-CN"/>
        </w:rPr>
        <w:t>三</w:t>
      </w:r>
      <w:r>
        <w:rPr>
          <w:rFonts w:hint="eastAsia" w:ascii="仿宋_GB2312" w:hAnsi="仿宋" w:eastAsia="仿宋_GB2312"/>
          <w:color w:val="000000"/>
          <w:sz w:val="30"/>
          <w:szCs w:val="30"/>
        </w:rPr>
        <w:t>、收支总体情况</w:t>
      </w:r>
    </w:p>
    <w:p w14:paraId="0BB73FF5">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lang w:val="en-US" w:eastAsia="zh-CN"/>
        </w:rPr>
        <w:t>四</w:t>
      </w:r>
      <w:r>
        <w:rPr>
          <w:rFonts w:hint="eastAsia" w:ascii="仿宋_GB2312" w:hAnsi="仿宋" w:eastAsia="仿宋_GB2312"/>
          <w:color w:val="000000"/>
          <w:sz w:val="30"/>
          <w:szCs w:val="30"/>
        </w:rPr>
        <w:t>、一般公共预算情况</w:t>
      </w:r>
    </w:p>
    <w:p w14:paraId="4A12B8CB">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lang w:val="en-US" w:eastAsia="zh-CN"/>
        </w:rPr>
        <w:t>五</w:t>
      </w:r>
      <w:r>
        <w:rPr>
          <w:rFonts w:hint="eastAsia" w:ascii="仿宋_GB2312" w:hAnsi="仿宋" w:eastAsia="仿宋_GB2312"/>
          <w:color w:val="000000"/>
          <w:sz w:val="30"/>
          <w:szCs w:val="30"/>
        </w:rPr>
        <w:t>、一般公共预算财政拨款“三公”经费、培训费、会议费等情况</w:t>
      </w:r>
    </w:p>
    <w:p w14:paraId="435BC81C">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lang w:val="en-US" w:eastAsia="zh-CN"/>
        </w:rPr>
        <w:t>六</w:t>
      </w:r>
      <w:r>
        <w:rPr>
          <w:rFonts w:hint="eastAsia" w:ascii="仿宋_GB2312" w:hAnsi="仿宋" w:eastAsia="仿宋_GB2312"/>
          <w:color w:val="000000"/>
          <w:sz w:val="30"/>
          <w:szCs w:val="30"/>
        </w:rPr>
        <w:t>、一般公共预算财政拨款机关运行经费情况</w:t>
      </w:r>
    </w:p>
    <w:p w14:paraId="2F88CE30">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lang w:val="en-US" w:eastAsia="zh-CN"/>
        </w:rPr>
        <w:t>七</w:t>
      </w:r>
      <w:r>
        <w:rPr>
          <w:rFonts w:hint="eastAsia" w:ascii="仿宋_GB2312" w:hAnsi="仿宋" w:eastAsia="仿宋_GB2312"/>
          <w:color w:val="000000"/>
          <w:sz w:val="30"/>
          <w:szCs w:val="30"/>
        </w:rPr>
        <w:t>、政府采购安排情况</w:t>
      </w:r>
    </w:p>
    <w:p w14:paraId="5046C445">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lang w:val="en-US" w:eastAsia="zh-CN"/>
        </w:rPr>
        <w:t>八</w:t>
      </w:r>
      <w:r>
        <w:rPr>
          <w:rFonts w:hint="eastAsia" w:ascii="仿宋_GB2312" w:hAnsi="仿宋" w:eastAsia="仿宋_GB2312"/>
          <w:color w:val="000000"/>
          <w:sz w:val="30"/>
          <w:szCs w:val="30"/>
        </w:rPr>
        <w:t>、国有资产占用情况</w:t>
      </w:r>
    </w:p>
    <w:p w14:paraId="6D55E2E0">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lang w:val="en-US" w:eastAsia="zh-CN"/>
        </w:rPr>
        <w:t>九</w:t>
      </w:r>
      <w:r>
        <w:rPr>
          <w:rFonts w:hint="eastAsia" w:ascii="仿宋_GB2312" w:hAnsi="仿宋" w:eastAsia="仿宋_GB2312"/>
          <w:color w:val="000000"/>
          <w:sz w:val="30"/>
          <w:szCs w:val="30"/>
        </w:rPr>
        <w:t>、其他重要事项情况说明</w:t>
      </w:r>
    </w:p>
    <w:p w14:paraId="171C4917">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lang w:val="en-US" w:eastAsia="zh-CN"/>
        </w:rPr>
        <w:t>十</w:t>
      </w:r>
      <w:r>
        <w:rPr>
          <w:rFonts w:hint="eastAsia" w:ascii="仿宋_GB2312" w:hAnsi="仿宋" w:eastAsia="仿宋_GB2312"/>
          <w:color w:val="000000"/>
          <w:sz w:val="30"/>
          <w:szCs w:val="30"/>
        </w:rPr>
        <w:t>、预算绩效管理情况</w:t>
      </w:r>
    </w:p>
    <w:p w14:paraId="7042C3D9">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lang w:val="en-US" w:eastAsia="zh-CN"/>
        </w:rPr>
        <w:t>十一</w:t>
      </w:r>
      <w:r>
        <w:rPr>
          <w:rFonts w:hint="eastAsia" w:ascii="仿宋_GB2312" w:hAnsi="仿宋" w:eastAsia="仿宋_GB2312"/>
          <w:color w:val="000000"/>
          <w:sz w:val="30"/>
          <w:szCs w:val="30"/>
        </w:rPr>
        <w:t>、名词解释</w:t>
      </w:r>
    </w:p>
    <w:p w14:paraId="734FD345">
      <w:pPr>
        <w:spacing w:line="560" w:lineRule="exact"/>
        <w:ind w:firstLine="602" w:firstLineChars="200"/>
        <w:jc w:val="left"/>
        <w:rPr>
          <w:rFonts w:ascii="仿宋_GB2312" w:hAnsi="仿宋" w:eastAsia="仿宋_GB2312"/>
          <w:b/>
          <w:color w:val="000000"/>
          <w:sz w:val="30"/>
          <w:szCs w:val="30"/>
        </w:rPr>
      </w:pPr>
      <w:r>
        <w:rPr>
          <w:rFonts w:hint="eastAsia" w:ascii="仿宋_GB2312" w:hAnsi="仿宋" w:eastAsia="仿宋_GB2312"/>
          <w:b/>
          <w:color w:val="000000"/>
          <w:sz w:val="30"/>
          <w:szCs w:val="30"/>
        </w:rPr>
        <w:t>第三部分</w:t>
      </w:r>
      <w:r>
        <w:rPr>
          <w:rFonts w:hint="eastAsia" w:ascii="仿宋_GB2312" w:hAnsi="仿宋" w:eastAsia="仿宋_GB2312"/>
          <w:b/>
          <w:color w:val="000000"/>
          <w:sz w:val="30"/>
          <w:szCs w:val="30"/>
          <w:lang w:eastAsia="zh-CN"/>
        </w:rPr>
        <w:t>202</w:t>
      </w:r>
      <w:r>
        <w:rPr>
          <w:rFonts w:hint="default" w:ascii="仿宋_GB2312" w:hAnsi="仿宋" w:eastAsia="仿宋_GB2312"/>
          <w:b/>
          <w:color w:val="000000"/>
          <w:sz w:val="30"/>
          <w:szCs w:val="30"/>
          <w:lang w:val="en-US" w:eastAsia="zh-CN"/>
        </w:rPr>
        <w:t>6</w:t>
      </w:r>
      <w:r>
        <w:rPr>
          <w:rFonts w:hint="eastAsia" w:ascii="仿宋_GB2312" w:hAnsi="仿宋" w:eastAsia="仿宋_GB2312"/>
          <w:b/>
          <w:color w:val="000000"/>
          <w:sz w:val="30"/>
          <w:szCs w:val="30"/>
        </w:rPr>
        <w:t>年部门（单位）预算公开表</w:t>
      </w:r>
    </w:p>
    <w:p w14:paraId="3FD2078A">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rPr>
        <w:t>一、部门/单位收支总体情况表</w:t>
      </w:r>
    </w:p>
    <w:p w14:paraId="72142C80">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rPr>
        <w:t>二、部门/单位收入总体情况表</w:t>
      </w:r>
    </w:p>
    <w:p w14:paraId="45966E8E">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rPr>
        <w:t>三、部门/单位支出总体情况表</w:t>
      </w:r>
    </w:p>
    <w:p w14:paraId="675B8204">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rPr>
        <w:t>四、财政拨款收支总体情况表</w:t>
      </w:r>
    </w:p>
    <w:p w14:paraId="7622165F">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rPr>
        <w:t>五、财政拨款支出表</w:t>
      </w:r>
    </w:p>
    <w:p w14:paraId="6361183A">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rPr>
        <w:t>六、一般公共预算支出情况表</w:t>
      </w:r>
    </w:p>
    <w:p w14:paraId="600E5294">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rPr>
        <w:t>七、一般公共预算基本支出情况表</w:t>
      </w:r>
    </w:p>
    <w:p w14:paraId="5189B486">
      <w:pPr>
        <w:spacing w:line="560" w:lineRule="exact"/>
        <w:ind w:firstLine="600" w:firstLineChars="200"/>
        <w:jc w:val="left"/>
        <w:rPr>
          <w:rFonts w:ascii="仿宋_GB2312" w:hAnsi="仿宋" w:eastAsia="仿宋_GB2312"/>
          <w:color w:val="000000"/>
          <w:spacing w:val="-20"/>
          <w:sz w:val="30"/>
          <w:szCs w:val="30"/>
        </w:rPr>
      </w:pPr>
      <w:r>
        <w:rPr>
          <w:rFonts w:hint="eastAsia" w:ascii="仿宋_GB2312" w:hAnsi="仿宋" w:eastAsia="仿宋_GB2312"/>
          <w:color w:val="000000"/>
          <w:sz w:val="30"/>
          <w:szCs w:val="30"/>
        </w:rPr>
        <w:t>八、</w:t>
      </w:r>
      <w:r>
        <w:rPr>
          <w:rFonts w:hint="eastAsia" w:ascii="仿宋_GB2312" w:hAnsi="仿宋" w:eastAsia="仿宋_GB2312"/>
          <w:color w:val="000000"/>
          <w:spacing w:val="-20"/>
          <w:sz w:val="30"/>
          <w:szCs w:val="30"/>
        </w:rPr>
        <w:t>一般公共预算财政拨款“三公”经费、会议费、培训费支出情况表</w:t>
      </w:r>
    </w:p>
    <w:p w14:paraId="4B121EFE">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rPr>
        <w:t>九、一般公共预算财政拨款机关运行经费表</w:t>
      </w:r>
    </w:p>
    <w:p w14:paraId="031FDB5A">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rPr>
        <w:t>十、政府性基金预算支出情况表</w:t>
      </w:r>
    </w:p>
    <w:p w14:paraId="5FFFCFAF">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rPr>
        <w:t>十一、部门管理转移支付表</w:t>
      </w:r>
    </w:p>
    <w:p w14:paraId="505BB7C1">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rPr>
        <w:t>十二、国有资本经营预算支出情况表</w:t>
      </w:r>
    </w:p>
    <w:p w14:paraId="4129F3F1">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rPr>
        <w:t>十三、部门/单位整体支出绩效目标表和项目支出绩效目标表</w:t>
      </w:r>
    </w:p>
    <w:p w14:paraId="7F85859C">
      <w:pPr>
        <w:spacing w:line="660" w:lineRule="exact"/>
        <w:jc w:val="center"/>
        <w:rPr>
          <w:rFonts w:ascii="仿宋_GB2312" w:hAnsi="宋体" w:eastAsia="仿宋_GB2312" w:cs="宋体"/>
          <w:b/>
          <w:bCs/>
          <w:kern w:val="0"/>
          <w:sz w:val="44"/>
          <w:szCs w:val="44"/>
        </w:rPr>
      </w:pPr>
    </w:p>
    <w:p w14:paraId="6DBFCF8A">
      <w:pPr>
        <w:spacing w:line="600" w:lineRule="exact"/>
        <w:ind w:firstLine="562" w:firstLineChars="200"/>
        <w:rPr>
          <w:rFonts w:ascii="仿宋_GB2312" w:hAnsi="仿宋" w:eastAsia="仿宋_GB2312" w:cs="宋体"/>
          <w:b/>
          <w:kern w:val="0"/>
          <w:sz w:val="28"/>
          <w:szCs w:val="28"/>
        </w:rPr>
        <w:sectPr>
          <w:footerReference r:id="rId4" w:type="default"/>
          <w:pgSz w:w="11906" w:h="16838"/>
          <w:pgMar w:top="1134" w:right="1134" w:bottom="1440" w:left="1276" w:header="851" w:footer="992" w:gutter="0"/>
          <w:pgNumType w:start="1"/>
          <w:cols w:space="720" w:num="1"/>
          <w:docGrid w:type="lines" w:linePitch="312" w:charSpace="0"/>
        </w:sectPr>
      </w:pPr>
    </w:p>
    <w:p w14:paraId="42E458F6">
      <w:pPr>
        <w:spacing w:line="600" w:lineRule="exact"/>
        <w:ind w:firstLine="643" w:firstLineChars="200"/>
        <w:rPr>
          <w:rFonts w:ascii="仿宋_GB2312" w:hAnsi="黑体" w:eastAsia="仿宋_GB2312" w:cs="宋体"/>
          <w:b/>
          <w:kern w:val="0"/>
          <w:sz w:val="32"/>
          <w:szCs w:val="32"/>
        </w:rPr>
      </w:pPr>
      <w:r>
        <w:rPr>
          <w:rFonts w:hint="eastAsia" w:ascii="仿宋_GB2312" w:hAnsi="黑体" w:eastAsia="仿宋_GB2312" w:cs="宋体"/>
          <w:b/>
          <w:kern w:val="0"/>
          <w:sz w:val="32"/>
          <w:szCs w:val="32"/>
        </w:rPr>
        <w:t>前言</w:t>
      </w:r>
    </w:p>
    <w:p w14:paraId="0AD557B8">
      <w:pPr>
        <w:spacing w:line="600" w:lineRule="exact"/>
        <w:ind w:firstLine="640" w:firstLineChars="200"/>
        <w:rPr>
          <w:rFonts w:ascii="仿宋_GB2312" w:hAnsi="仿宋" w:eastAsia="仿宋_GB2312" w:cs="宋体"/>
          <w:kern w:val="0"/>
          <w:sz w:val="32"/>
          <w:szCs w:val="32"/>
        </w:rPr>
      </w:pPr>
      <w:r>
        <w:rPr>
          <w:rFonts w:hint="eastAsia" w:ascii="仿宋_GB2312" w:hAnsi="仿宋" w:eastAsia="仿宋_GB2312" w:cs="宋体"/>
          <w:kern w:val="0"/>
          <w:sz w:val="32"/>
          <w:szCs w:val="32"/>
        </w:rPr>
        <w:t>按照《中华人民共和国预算法》《中华人民共和国预算法实施条例》以及</w:t>
      </w:r>
      <w:r>
        <w:rPr>
          <w:rFonts w:ascii="仿宋_GB2312" w:hAnsi="仿宋" w:eastAsia="仿宋_GB2312" w:cs="宋体"/>
          <w:kern w:val="0"/>
          <w:sz w:val="32"/>
          <w:szCs w:val="32"/>
        </w:rPr>
        <w:t>财政部</w:t>
      </w:r>
      <w:r>
        <w:rPr>
          <w:rFonts w:hint="eastAsia" w:ascii="仿宋_GB2312" w:hAnsi="仿宋" w:eastAsia="仿宋_GB2312" w:cs="宋体"/>
          <w:kern w:val="0"/>
          <w:sz w:val="32"/>
          <w:szCs w:val="32"/>
        </w:rPr>
        <w:t>《地方预决算公开操作规程》《关于推进部门所属单位预算公开的指导意见》和《中共甘肃省委办公厅甘肃省人民政府办公厅关于进一步推进预算公开工作的实施方案》要求，现将</w:t>
      </w:r>
      <w:r>
        <w:rPr>
          <w:rFonts w:hint="eastAsia" w:ascii="仿宋_GB2312" w:hAnsi="仿宋" w:eastAsia="仿宋_GB2312" w:cs="宋体"/>
          <w:kern w:val="0"/>
          <w:sz w:val="32"/>
          <w:szCs w:val="32"/>
          <w:lang w:eastAsia="zh-CN"/>
        </w:rPr>
        <w:t>202</w:t>
      </w:r>
      <w:r>
        <w:rPr>
          <w:rFonts w:hint="default" w:ascii="仿宋_GB2312" w:hAnsi="仿宋" w:eastAsia="仿宋_GB2312" w:cs="宋体"/>
          <w:kern w:val="0"/>
          <w:sz w:val="32"/>
          <w:szCs w:val="32"/>
          <w:lang w:val="en-US" w:eastAsia="zh-CN"/>
        </w:rPr>
        <w:t>6</w:t>
      </w:r>
      <w:r>
        <w:rPr>
          <w:rFonts w:hint="eastAsia" w:ascii="仿宋_GB2312" w:hAnsi="仿宋" w:eastAsia="仿宋_GB2312" w:cs="宋体"/>
          <w:kern w:val="0"/>
          <w:sz w:val="32"/>
          <w:szCs w:val="32"/>
        </w:rPr>
        <w:t>年部门预算公开如下：</w:t>
      </w:r>
    </w:p>
    <w:p w14:paraId="1BFDDEEA">
      <w:pPr>
        <w:spacing w:line="600" w:lineRule="exact"/>
        <w:ind w:firstLine="640" w:firstLineChars="200"/>
        <w:rPr>
          <w:rFonts w:ascii="黑体" w:hAnsi="黑体" w:eastAsia="黑体" w:cs="宋体"/>
          <w:kern w:val="0"/>
          <w:sz w:val="32"/>
          <w:szCs w:val="32"/>
        </w:rPr>
      </w:pPr>
      <w:r>
        <w:rPr>
          <w:rFonts w:hint="eastAsia" w:ascii="黑体" w:hAnsi="黑体" w:eastAsia="黑体" w:cs="宋体"/>
          <w:kern w:val="0"/>
          <w:sz w:val="32"/>
          <w:szCs w:val="32"/>
        </w:rPr>
        <w:t>一、部门/单位职责</w:t>
      </w:r>
    </w:p>
    <w:p w14:paraId="588D2429">
      <w:pPr>
        <w:spacing w:line="600" w:lineRule="exact"/>
        <w:ind w:firstLine="640" w:firstLineChars="200"/>
        <w:rPr>
          <w:rFonts w:hint="eastAsia" w:ascii="仿宋_GB2312" w:hAnsi="仿宋" w:eastAsia="仿宋_GB2312" w:cs="宋体"/>
          <w:kern w:val="0"/>
          <w:sz w:val="32"/>
          <w:szCs w:val="32"/>
        </w:rPr>
      </w:pPr>
      <w:r>
        <w:rPr>
          <w:rFonts w:hint="eastAsia" w:ascii="仿宋_GB2312" w:hAnsi="仿宋" w:eastAsia="仿宋_GB2312" w:cs="宋体"/>
          <w:kern w:val="0"/>
          <w:sz w:val="32"/>
          <w:szCs w:val="32"/>
        </w:rPr>
        <w:t>（一）贯彻执行党的路线方针政策，研究解决工业集中区建设和发展中的重大问题，根据工业集中区功能定位、产业布局，集合国家、省、市有关政策导向，统筹拟订工业集中区中长期发展规划和年度发展计划，负责拟订统一的支持政策，建立健全投融资体制和收入分配机制，强化经济管理和投资服务。</w:t>
      </w:r>
    </w:p>
    <w:p w14:paraId="749D703F">
      <w:pPr>
        <w:spacing w:line="600" w:lineRule="exact"/>
        <w:ind w:firstLine="640" w:firstLineChars="200"/>
        <w:rPr>
          <w:rFonts w:hint="eastAsia" w:ascii="仿宋_GB2312" w:hAnsi="仿宋" w:eastAsia="仿宋_GB2312" w:cs="宋体"/>
          <w:kern w:val="0"/>
          <w:sz w:val="32"/>
          <w:szCs w:val="32"/>
        </w:rPr>
      </w:pPr>
      <w:r>
        <w:rPr>
          <w:rFonts w:hint="eastAsia" w:ascii="仿宋_GB2312" w:hAnsi="仿宋" w:eastAsia="仿宋_GB2312" w:cs="宋体"/>
          <w:kern w:val="0"/>
          <w:sz w:val="32"/>
          <w:szCs w:val="32"/>
        </w:rPr>
        <w:t>(二)负责工业集中区党的建设、纪检监察、组织人事、千部队伍、群团组织、法治建设等工作。</w:t>
      </w:r>
    </w:p>
    <w:p w14:paraId="679614B9">
      <w:pPr>
        <w:spacing w:line="600" w:lineRule="exact"/>
        <w:ind w:firstLine="640" w:firstLineChars="200"/>
        <w:rPr>
          <w:rFonts w:hint="eastAsia" w:ascii="仿宋_GB2312" w:hAnsi="仿宋" w:eastAsia="仿宋_GB2312" w:cs="宋体"/>
          <w:kern w:val="0"/>
          <w:sz w:val="32"/>
          <w:szCs w:val="32"/>
        </w:rPr>
      </w:pPr>
      <w:r>
        <w:rPr>
          <w:rFonts w:hint="eastAsia" w:ascii="仿宋_GB2312" w:hAnsi="仿宋" w:eastAsia="仿宋_GB2312" w:cs="宋体"/>
          <w:kern w:val="0"/>
          <w:sz w:val="32"/>
          <w:szCs w:val="32"/>
        </w:rPr>
        <w:t>(三)负责工业集中区综合事务、财政预决算、国有资产管理及后勤保障服务等工作。</w:t>
      </w:r>
    </w:p>
    <w:p w14:paraId="15ADE206">
      <w:pPr>
        <w:spacing w:line="600" w:lineRule="exact"/>
        <w:ind w:firstLine="640" w:firstLineChars="200"/>
        <w:rPr>
          <w:rFonts w:hint="eastAsia" w:ascii="仿宋_GB2312" w:hAnsi="仿宋" w:eastAsia="仿宋_GB2312" w:cs="宋体"/>
          <w:kern w:val="0"/>
          <w:sz w:val="32"/>
          <w:szCs w:val="32"/>
        </w:rPr>
      </w:pPr>
      <w:r>
        <w:rPr>
          <w:rFonts w:hint="eastAsia" w:ascii="仿宋_GB2312" w:hAnsi="仿宋" w:eastAsia="仿宋_GB2312" w:cs="宋体"/>
          <w:kern w:val="0"/>
          <w:sz w:val="32"/>
          <w:szCs w:val="32"/>
        </w:rPr>
        <w:t>(四)会同有关部门做好土地储备和征迁工作，对入驻企业项目建设方案进行审核，并督促实施。</w:t>
      </w:r>
    </w:p>
    <w:p w14:paraId="061BA927">
      <w:pPr>
        <w:spacing w:line="600" w:lineRule="exact"/>
        <w:ind w:firstLine="640" w:firstLineChars="200"/>
        <w:rPr>
          <w:rFonts w:hint="eastAsia" w:ascii="仿宋_GB2312" w:hAnsi="仿宋" w:eastAsia="仿宋_GB2312" w:cs="宋体"/>
          <w:kern w:val="0"/>
          <w:sz w:val="32"/>
          <w:szCs w:val="32"/>
        </w:rPr>
      </w:pPr>
      <w:r>
        <w:rPr>
          <w:rFonts w:hint="eastAsia" w:ascii="仿宋_GB2312" w:hAnsi="仿宋" w:eastAsia="仿宋_GB2312" w:cs="宋体"/>
          <w:kern w:val="0"/>
          <w:sz w:val="32"/>
          <w:szCs w:val="32"/>
        </w:rPr>
        <w:t>(五)负责工业集中区经济建设、科技创新、节能减排等。按规定权限，负责投资项目入园审核、备案审批等工作。</w:t>
      </w:r>
    </w:p>
    <w:p w14:paraId="1AF833CB">
      <w:pPr>
        <w:spacing w:line="600" w:lineRule="exact"/>
        <w:ind w:firstLine="640" w:firstLineChars="200"/>
        <w:rPr>
          <w:rFonts w:hint="eastAsia" w:ascii="仿宋_GB2312" w:hAnsi="仿宋" w:eastAsia="仿宋_GB2312" w:cs="宋体"/>
          <w:kern w:val="0"/>
          <w:sz w:val="32"/>
          <w:szCs w:val="32"/>
        </w:rPr>
      </w:pPr>
      <w:r>
        <w:rPr>
          <w:rFonts w:hint="eastAsia" w:ascii="仿宋_GB2312" w:hAnsi="仿宋" w:eastAsia="仿宋_GB2312" w:cs="宋体"/>
          <w:kern w:val="0"/>
          <w:sz w:val="32"/>
          <w:szCs w:val="32"/>
        </w:rPr>
        <w:t>(六)负责编制工业集中区生态环境、应急管理、安全生产和防灾减灾规划，并组织实施和监管；落实工业集中区规划环评、跟踪环评制度，开展环评审查备案。</w:t>
      </w:r>
    </w:p>
    <w:p w14:paraId="6B006278">
      <w:pPr>
        <w:spacing w:line="600" w:lineRule="exact"/>
        <w:ind w:firstLine="640" w:firstLineChars="200"/>
        <w:rPr>
          <w:rFonts w:hint="eastAsia" w:ascii="仿宋_GB2312" w:hAnsi="仿宋" w:eastAsia="仿宋_GB2312" w:cs="宋体"/>
          <w:kern w:val="0"/>
          <w:sz w:val="32"/>
          <w:szCs w:val="32"/>
        </w:rPr>
      </w:pPr>
      <w:r>
        <w:rPr>
          <w:rFonts w:hint="eastAsia" w:ascii="仿宋_GB2312" w:hAnsi="仿宋" w:eastAsia="仿宋_GB2312" w:cs="宋体"/>
          <w:kern w:val="0"/>
          <w:sz w:val="32"/>
          <w:szCs w:val="32"/>
        </w:rPr>
        <w:t>(七)负责工业集中区营商环境、招商引资、合作交流、投资服务，协调落实招商引资优惠政策。</w:t>
      </w:r>
    </w:p>
    <w:p w14:paraId="03AF3FC4">
      <w:pPr>
        <w:spacing w:line="600" w:lineRule="exact"/>
        <w:ind w:firstLine="640" w:firstLineChars="200"/>
        <w:rPr>
          <w:rFonts w:hint="eastAsia" w:ascii="仿宋_GB2312" w:hAnsi="仿宋" w:eastAsia="仿宋_GB2312" w:cs="宋体"/>
          <w:kern w:val="0"/>
          <w:sz w:val="32"/>
          <w:szCs w:val="32"/>
        </w:rPr>
      </w:pPr>
      <w:r>
        <w:rPr>
          <w:rFonts w:hint="eastAsia" w:ascii="仿宋_GB2312" w:hAnsi="仿宋" w:eastAsia="仿宋_GB2312" w:cs="宋体"/>
          <w:kern w:val="0"/>
          <w:sz w:val="32"/>
          <w:szCs w:val="32"/>
        </w:rPr>
        <w:t>(八)负责工业集中区中小企业培育、产业孵化、集中区工业企业运行监测，配合统计部门完成固定资产投资及相关数据上报等入库纳统工作。</w:t>
      </w:r>
    </w:p>
    <w:p w14:paraId="30176886">
      <w:pPr>
        <w:spacing w:line="600" w:lineRule="exact"/>
        <w:ind w:firstLine="640" w:firstLineChars="200"/>
        <w:rPr>
          <w:rFonts w:hint="eastAsia" w:ascii="仿宋_GB2312" w:hAnsi="仿宋" w:eastAsia="仿宋_GB2312" w:cs="宋体"/>
          <w:kern w:val="0"/>
          <w:sz w:val="32"/>
          <w:szCs w:val="32"/>
        </w:rPr>
      </w:pPr>
      <w:r>
        <w:rPr>
          <w:rFonts w:hint="eastAsia" w:ascii="仿宋_GB2312" w:hAnsi="仿宋" w:eastAsia="仿宋_GB2312" w:cs="宋体"/>
          <w:kern w:val="0"/>
          <w:sz w:val="32"/>
          <w:szCs w:val="32"/>
        </w:rPr>
        <w:t>(九)完成县委、县政府交办的其他工作任务。</w:t>
      </w:r>
    </w:p>
    <w:p w14:paraId="3E572EB7">
      <w:pPr>
        <w:spacing w:line="600" w:lineRule="exact"/>
        <w:ind w:firstLine="640" w:firstLineChars="200"/>
        <w:rPr>
          <w:rFonts w:hint="eastAsia" w:ascii="仿宋_GB2312" w:hAnsi="仿宋" w:eastAsia="仿宋_GB2312" w:cs="宋体"/>
          <w:kern w:val="0"/>
          <w:sz w:val="32"/>
          <w:szCs w:val="32"/>
        </w:rPr>
      </w:pPr>
      <w:r>
        <w:rPr>
          <w:rFonts w:hint="eastAsia" w:ascii="仿宋_GB2312" w:hAnsi="仿宋" w:eastAsia="仿宋_GB2312" w:cs="宋体"/>
          <w:kern w:val="0"/>
          <w:sz w:val="32"/>
          <w:szCs w:val="32"/>
        </w:rPr>
        <w:t>(十)职能转变。</w:t>
      </w:r>
    </w:p>
    <w:p w14:paraId="720E48B4">
      <w:pPr>
        <w:spacing w:line="600" w:lineRule="exact"/>
        <w:ind w:firstLine="640" w:firstLineChars="200"/>
        <w:rPr>
          <w:rFonts w:ascii="黑体" w:hAnsi="黑体" w:eastAsia="黑体" w:cs="宋体"/>
          <w:kern w:val="0"/>
          <w:sz w:val="32"/>
          <w:szCs w:val="32"/>
        </w:rPr>
      </w:pPr>
      <w:r>
        <w:rPr>
          <w:rFonts w:hint="eastAsia" w:ascii="黑体" w:hAnsi="黑体" w:eastAsia="黑体" w:cs="宋体"/>
          <w:kern w:val="0"/>
          <w:sz w:val="32"/>
          <w:szCs w:val="32"/>
        </w:rPr>
        <w:t>二、机构设置情况</w:t>
      </w:r>
    </w:p>
    <w:p w14:paraId="77BC1A87">
      <w:pPr>
        <w:spacing w:line="600" w:lineRule="exact"/>
        <w:ind w:firstLine="643" w:firstLineChars="200"/>
        <w:rPr>
          <w:rFonts w:ascii="楷体_GB2312" w:hAnsi="楷体" w:eastAsia="楷体_GB2312" w:cs="宋体"/>
          <w:b/>
          <w:bCs/>
          <w:kern w:val="0"/>
          <w:sz w:val="32"/>
          <w:szCs w:val="32"/>
        </w:rPr>
      </w:pPr>
      <w:r>
        <w:rPr>
          <w:rFonts w:hint="eastAsia" w:ascii="楷体_GB2312" w:hAnsi="楷体" w:eastAsia="楷体_GB2312" w:cs="宋体"/>
          <w:b/>
          <w:bCs/>
          <w:kern w:val="0"/>
          <w:sz w:val="32"/>
          <w:szCs w:val="32"/>
        </w:rPr>
        <w:t>（一）机关内设机构</w:t>
      </w:r>
    </w:p>
    <w:p w14:paraId="1E713CD6">
      <w:pPr>
        <w:spacing w:line="600" w:lineRule="exact"/>
        <w:ind w:firstLine="640" w:firstLineChars="200"/>
        <w:rPr>
          <w:rFonts w:hint="eastAsia" w:ascii="仿宋_GB2312" w:hAnsi="仿宋" w:eastAsia="仿宋_GB2312" w:cs="宋体"/>
          <w:kern w:val="0"/>
          <w:sz w:val="32"/>
          <w:szCs w:val="32"/>
        </w:rPr>
      </w:pPr>
      <w:r>
        <w:rPr>
          <w:rFonts w:hint="eastAsia" w:ascii="仿宋_GB2312" w:hAnsi="仿宋" w:eastAsia="仿宋_GB2312" w:cs="宋体"/>
          <w:kern w:val="0"/>
          <w:sz w:val="32"/>
          <w:szCs w:val="32"/>
        </w:rPr>
        <w:t>第五条华池县悦乐工业集中区党工委、管委会设下列内设</w:t>
      </w:r>
    </w:p>
    <w:p w14:paraId="736EF45D">
      <w:pPr>
        <w:spacing w:line="600" w:lineRule="exact"/>
        <w:ind w:firstLine="640" w:firstLineChars="200"/>
        <w:rPr>
          <w:rFonts w:hint="eastAsia" w:ascii="仿宋_GB2312" w:hAnsi="仿宋" w:eastAsia="仿宋_GB2312" w:cs="宋体"/>
          <w:kern w:val="0"/>
          <w:sz w:val="32"/>
          <w:szCs w:val="32"/>
        </w:rPr>
      </w:pPr>
      <w:r>
        <w:rPr>
          <w:rFonts w:hint="eastAsia" w:ascii="仿宋_GB2312" w:hAnsi="仿宋" w:eastAsia="仿宋_GB2312" w:cs="宋体"/>
          <w:kern w:val="0"/>
          <w:sz w:val="32"/>
          <w:szCs w:val="32"/>
        </w:rPr>
        <w:t>机构。</w:t>
      </w:r>
    </w:p>
    <w:p w14:paraId="35F228B0">
      <w:pPr>
        <w:spacing w:line="600" w:lineRule="exact"/>
        <w:ind w:firstLine="640" w:firstLineChars="200"/>
        <w:rPr>
          <w:rFonts w:hint="eastAsia" w:ascii="仿宋_GB2312" w:hAnsi="仿宋" w:eastAsia="仿宋_GB2312" w:cs="宋体"/>
          <w:kern w:val="0"/>
          <w:sz w:val="32"/>
          <w:szCs w:val="32"/>
        </w:rPr>
      </w:pPr>
      <w:r>
        <w:rPr>
          <w:rFonts w:hint="eastAsia" w:ascii="仿宋_GB2312" w:hAnsi="仿宋" w:eastAsia="仿宋_GB2312" w:cs="宋体"/>
          <w:kern w:val="0"/>
          <w:sz w:val="32"/>
          <w:szCs w:val="32"/>
        </w:rPr>
        <w:t>(一)办公室。负责党工委、管委会文电、会务、机要、档案、保密、材料起草、制度建设、财务资产、后勤保障和综合协调服务等工作；负责工业集中区党的建设、思想政治建设、意识形态、统一战线、纪检监察、组织人事、干部队伍、机构编制、群团组织、法治建设、职称评聘、督查考评等工作；组织开展调查研究，办理人大代表建议、政协委员提案等工作。</w:t>
      </w:r>
    </w:p>
    <w:p w14:paraId="0E2473FF">
      <w:pPr>
        <w:spacing w:line="600" w:lineRule="exact"/>
        <w:ind w:firstLine="640" w:firstLineChars="200"/>
        <w:rPr>
          <w:rFonts w:hint="eastAsia" w:ascii="仿宋_GB2312" w:hAnsi="仿宋" w:eastAsia="仿宋_GB2312" w:cs="宋体"/>
          <w:kern w:val="0"/>
          <w:sz w:val="32"/>
          <w:szCs w:val="32"/>
        </w:rPr>
      </w:pPr>
      <w:r>
        <w:rPr>
          <w:rFonts w:hint="eastAsia" w:ascii="仿宋_GB2312" w:hAnsi="仿宋" w:eastAsia="仿宋_GB2312" w:cs="宋体"/>
          <w:kern w:val="0"/>
          <w:sz w:val="32"/>
          <w:szCs w:val="32"/>
        </w:rPr>
        <w:t>(二)经济运行股。牵头编制工业集中区总体发展规划、中长期规划和年度发展计划并组织实施；负责拟定集中区招商引资政策，组织参与各种招商引资活动；负责投资者信息、企业项目档案的收集、整理及招商策划、项目库建设；负责工业集中区各项经济指标的统计分析、入库报送、监测分析、考核评价及各类项目计划申报工作；按规定权限，承担投资项目入园审核、备案审批、落地协调及管理服务等工作；负责开展节能减排、科技创新及科技成果转化、企业技术升级改造、中小企业服务平台建设等工作；负责工业集中区政府投资项目专项资金、专项债券、企业债券发行、政策性贷款等资金的组织申报、监管使用等工作；协调落实企业各项优惠政策和补助资金，开展劳动纠纷调解及政务服务工作；根据县政府授权履行财政预算、财政收支、各类财政资金管理等工作；负责税收清算管理、税收分配，协助税务部门做好税费征收管理工作。</w:t>
      </w:r>
    </w:p>
    <w:p w14:paraId="7DEBEB40">
      <w:pPr>
        <w:spacing w:line="600" w:lineRule="exact"/>
        <w:ind w:firstLine="640" w:firstLineChars="200"/>
        <w:rPr>
          <w:rFonts w:hint="eastAsia" w:ascii="仿宋_GB2312" w:hAnsi="仿宋" w:eastAsia="仿宋_GB2312" w:cs="宋体"/>
          <w:kern w:val="0"/>
          <w:sz w:val="32"/>
          <w:szCs w:val="32"/>
        </w:rPr>
      </w:pPr>
      <w:r>
        <w:rPr>
          <w:rFonts w:hint="eastAsia" w:ascii="仿宋_GB2312" w:hAnsi="仿宋" w:eastAsia="仿宋_GB2312" w:cs="宋体"/>
          <w:kern w:val="0"/>
          <w:sz w:val="32"/>
          <w:szCs w:val="32"/>
        </w:rPr>
        <w:t>(三)规划建设股。根据华池县国土空间总体规划、控制性详细规划，编制各类专项规划，按程序审批后依法组织实施；开展土地节约集约利用评价和地理信息系统的更新、维护与管理等工作；配合做好工业集中区土地储备、用地报批、征收补偿、拆迁安置、土地供应等工作；负责工业集中区建设项目和工程的方案评审、选址报批、项目招投标、施工许可审批、施工质量监管、工程验收等工作；承担园区基础设施的建设管理和维护运营工作。</w:t>
      </w:r>
    </w:p>
    <w:p w14:paraId="39CC1743">
      <w:pPr>
        <w:spacing w:line="600" w:lineRule="exact"/>
        <w:ind w:firstLine="640" w:firstLineChars="200"/>
        <w:rPr>
          <w:rFonts w:hint="eastAsia" w:ascii="仿宋_GB2312" w:hAnsi="仿宋" w:eastAsia="仿宋_GB2312" w:cs="宋体"/>
          <w:kern w:val="0"/>
          <w:sz w:val="32"/>
          <w:szCs w:val="32"/>
        </w:rPr>
      </w:pPr>
      <w:r>
        <w:rPr>
          <w:rFonts w:hint="eastAsia" w:ascii="仿宋_GB2312" w:hAnsi="仿宋" w:eastAsia="仿宋_GB2312" w:cs="宋体"/>
          <w:kern w:val="0"/>
          <w:sz w:val="32"/>
          <w:szCs w:val="32"/>
        </w:rPr>
        <w:t>(四)安全环保股。认真贯彻执行中、省、市、县安全生产、环境保护、消防法律法规、方针政策和各项重大决策；负责掌握园区各企业安全生产、环保、消防情况的收集、整理、分析，为县委、县政府及管委会进行安全生产科学决策和工作部署提供依据；负责园区内各企业安全生产的监督、检查和隐患排查；配合相关部门进行安全生产的宣传、教育、专项整治活动；完成领导交办的其他工作。</w:t>
      </w:r>
    </w:p>
    <w:p w14:paraId="316EA88B">
      <w:pPr>
        <w:spacing w:line="600" w:lineRule="exact"/>
        <w:ind w:firstLine="643" w:firstLineChars="200"/>
        <w:rPr>
          <w:rFonts w:ascii="楷体_GB2312" w:hAnsi="楷体" w:eastAsia="楷体_GB2312" w:cs="宋体"/>
          <w:b/>
          <w:bCs/>
          <w:kern w:val="0"/>
          <w:sz w:val="32"/>
          <w:szCs w:val="32"/>
        </w:rPr>
      </w:pPr>
      <w:r>
        <w:rPr>
          <w:rFonts w:hint="eastAsia" w:ascii="楷体_GB2312" w:hAnsi="楷体" w:eastAsia="楷体_GB2312" w:cs="宋体"/>
          <w:b/>
          <w:bCs/>
          <w:kern w:val="0"/>
          <w:sz w:val="32"/>
          <w:szCs w:val="32"/>
        </w:rPr>
        <w:t>（二）参照公务员法管理单位</w:t>
      </w:r>
    </w:p>
    <w:p w14:paraId="76DB884D">
      <w:pPr>
        <w:spacing w:line="600" w:lineRule="exact"/>
        <w:ind w:firstLine="640" w:firstLineChars="200"/>
        <w:rPr>
          <w:rFonts w:ascii="仿宋_GB2312" w:hAnsi="仿宋" w:eastAsia="仿宋_GB2312" w:cs="宋体"/>
          <w:kern w:val="0"/>
          <w:sz w:val="32"/>
          <w:szCs w:val="32"/>
        </w:rPr>
      </w:pPr>
      <w:r>
        <w:rPr>
          <w:rFonts w:hint="eastAsia" w:ascii="仿宋_GB2312" w:hAnsi="仿宋" w:eastAsia="仿宋_GB2312" w:cs="宋体"/>
          <w:kern w:val="0"/>
          <w:sz w:val="32"/>
          <w:szCs w:val="32"/>
        </w:rPr>
        <w:t>按编制部门批复“三定”方案编写</w:t>
      </w:r>
    </w:p>
    <w:p w14:paraId="1A18BC42">
      <w:pPr>
        <w:spacing w:line="600" w:lineRule="exact"/>
        <w:ind w:firstLine="643" w:firstLineChars="200"/>
        <w:rPr>
          <w:rFonts w:ascii="楷体_GB2312" w:hAnsi="楷体" w:eastAsia="楷体_GB2312" w:cs="宋体"/>
          <w:b/>
          <w:bCs/>
          <w:kern w:val="0"/>
          <w:sz w:val="32"/>
          <w:szCs w:val="32"/>
        </w:rPr>
      </w:pPr>
      <w:r>
        <w:rPr>
          <w:rFonts w:hint="eastAsia" w:ascii="楷体_GB2312" w:hAnsi="楷体" w:eastAsia="楷体_GB2312" w:cs="宋体"/>
          <w:b/>
          <w:bCs/>
          <w:kern w:val="0"/>
          <w:sz w:val="32"/>
          <w:szCs w:val="32"/>
        </w:rPr>
        <w:t>（三）直属事业单位</w:t>
      </w:r>
    </w:p>
    <w:p w14:paraId="23091B34">
      <w:pPr>
        <w:spacing w:line="600" w:lineRule="exact"/>
        <w:ind w:firstLine="640" w:firstLineChars="200"/>
        <w:rPr>
          <w:rFonts w:ascii="仿宋_GB2312" w:hAnsi="仿宋" w:eastAsia="仿宋_GB2312" w:cs="宋体"/>
          <w:kern w:val="0"/>
          <w:sz w:val="32"/>
          <w:szCs w:val="32"/>
        </w:rPr>
      </w:pPr>
      <w:r>
        <w:rPr>
          <w:rFonts w:hint="eastAsia" w:ascii="仿宋_GB2312" w:hAnsi="仿宋" w:eastAsia="仿宋_GB2312" w:cs="宋体"/>
          <w:kern w:val="0"/>
          <w:sz w:val="32"/>
          <w:szCs w:val="32"/>
        </w:rPr>
        <w:t>按编制部门批复“三定”方案编写</w:t>
      </w:r>
    </w:p>
    <w:p w14:paraId="154D8898">
      <w:pPr>
        <w:spacing w:line="600" w:lineRule="exact"/>
        <w:ind w:firstLine="640" w:firstLineChars="200"/>
        <w:rPr>
          <w:rFonts w:ascii="黑体" w:hAnsi="黑体" w:eastAsia="黑体" w:cs="宋体"/>
          <w:kern w:val="0"/>
          <w:sz w:val="32"/>
          <w:szCs w:val="32"/>
        </w:rPr>
      </w:pPr>
      <w:r>
        <w:rPr>
          <w:rFonts w:hint="eastAsia" w:ascii="黑体" w:hAnsi="黑体" w:eastAsia="黑体" w:cs="宋体"/>
          <w:kern w:val="0"/>
          <w:sz w:val="32"/>
          <w:szCs w:val="32"/>
        </w:rPr>
        <w:t>三、部门/单位收支总体情况</w:t>
      </w:r>
    </w:p>
    <w:p w14:paraId="10AF1836">
      <w:pPr>
        <w:spacing w:line="600" w:lineRule="exact"/>
        <w:ind w:firstLine="640" w:firstLineChars="200"/>
        <w:rPr>
          <w:rFonts w:ascii="仿宋_GB2312" w:hAnsi="仿宋" w:eastAsia="仿宋_GB2312" w:cs="宋体"/>
          <w:kern w:val="0"/>
          <w:sz w:val="32"/>
          <w:szCs w:val="32"/>
        </w:rPr>
      </w:pPr>
      <w:r>
        <w:rPr>
          <w:rFonts w:hint="eastAsia" w:ascii="仿宋_GB2312" w:hAnsi="仿宋" w:eastAsia="仿宋_GB2312" w:cs="宋体"/>
          <w:kern w:val="0"/>
          <w:sz w:val="32"/>
          <w:szCs w:val="32"/>
        </w:rPr>
        <w:t>按照预算管理有关规定，</w:t>
      </w:r>
      <w:r>
        <w:rPr>
          <w:rFonts w:hint="eastAsia" w:ascii="仿宋_GB2312" w:hAnsi="仿宋" w:eastAsia="仿宋_GB2312" w:cs="宋体"/>
          <w:kern w:val="0"/>
          <w:sz w:val="32"/>
          <w:szCs w:val="32"/>
          <w:lang w:eastAsia="zh-CN"/>
        </w:rPr>
        <w:t>202</w:t>
      </w:r>
      <w:r>
        <w:rPr>
          <w:rFonts w:hint="default" w:ascii="仿宋_GB2312" w:hAnsi="仿宋" w:eastAsia="仿宋_GB2312" w:cs="宋体"/>
          <w:kern w:val="0"/>
          <w:sz w:val="32"/>
          <w:szCs w:val="32"/>
          <w:lang w:val="en-US" w:eastAsia="zh-CN"/>
        </w:rPr>
        <w:t>6</w:t>
      </w:r>
      <w:r>
        <w:rPr>
          <w:rFonts w:hint="eastAsia" w:ascii="仿宋_GB2312" w:hAnsi="仿宋" w:eastAsia="仿宋_GB2312" w:cs="宋体"/>
          <w:kern w:val="0"/>
          <w:sz w:val="32"/>
          <w:szCs w:val="32"/>
        </w:rPr>
        <w:t>年部门（单位）收支包括机关预算和直属单位预算在内的汇总情况。</w:t>
      </w:r>
    </w:p>
    <w:p w14:paraId="02D85CDC">
      <w:pPr>
        <w:spacing w:line="600" w:lineRule="exact"/>
        <w:ind w:firstLine="640" w:firstLineChars="200"/>
        <w:rPr>
          <w:rFonts w:ascii="仿宋_GB2312" w:hAnsi="仿宋" w:eastAsia="仿宋_GB2312" w:cs="宋体"/>
          <w:kern w:val="0"/>
          <w:sz w:val="32"/>
          <w:szCs w:val="32"/>
        </w:rPr>
      </w:pPr>
      <w:r>
        <w:rPr>
          <w:rFonts w:hint="eastAsia" w:ascii="仿宋_GB2312" w:hAnsi="仿宋" w:eastAsia="仿宋_GB2312" w:cs="宋体"/>
          <w:kern w:val="0"/>
          <w:sz w:val="32"/>
          <w:szCs w:val="32"/>
          <w:lang w:eastAsia="zh-CN"/>
        </w:rPr>
        <w:t>202</w:t>
      </w:r>
      <w:r>
        <w:rPr>
          <w:rFonts w:hint="default" w:ascii="仿宋_GB2312" w:hAnsi="仿宋" w:eastAsia="仿宋_GB2312" w:cs="宋体"/>
          <w:kern w:val="0"/>
          <w:sz w:val="32"/>
          <w:szCs w:val="32"/>
          <w:lang w:val="en-US" w:eastAsia="zh-CN"/>
        </w:rPr>
        <w:t>6</w:t>
      </w:r>
      <w:r>
        <w:rPr>
          <w:rFonts w:hint="eastAsia" w:ascii="仿宋_GB2312" w:hAnsi="仿宋" w:eastAsia="仿宋_GB2312" w:cs="宋体"/>
          <w:kern w:val="0"/>
          <w:sz w:val="32"/>
          <w:szCs w:val="32"/>
        </w:rPr>
        <w:t>年部门收支总预算</w:t>
      </w:r>
      <w:r>
        <w:rPr>
          <w:rFonts w:hint="eastAsia" w:ascii="仿宋_GB2312" w:hAnsi="仿宋" w:eastAsia="仿宋_GB2312" w:cs="宋体"/>
          <w:kern w:val="0"/>
          <w:sz w:val="32"/>
          <w:szCs w:val="32"/>
          <w:lang w:val="en-US" w:eastAsia="zh-CN"/>
        </w:rPr>
        <w:t>187.98</w:t>
      </w:r>
      <w:r>
        <w:rPr>
          <w:rFonts w:hint="eastAsia" w:ascii="仿宋_GB2312" w:hAnsi="仿宋" w:eastAsia="仿宋_GB2312" w:cs="宋体"/>
          <w:kern w:val="0"/>
          <w:sz w:val="32"/>
          <w:szCs w:val="32"/>
        </w:rPr>
        <w:t>万元。按照综合预算的原则，部门（单位）所有收入和支出均纳入部门预算管理。收入包括：一般公共预算拨款收入、政府性基金预算拨款收入、事业收入、事业单位经营收入、其他收入、使用非财政拨款结余、上年结转；支出包括：一般公共服务支出、公共安全支出、教育支出、科学技术支出、社会保障和就业支出、卫生健康支出、交通运输支出、住房保障支出、其他支出。</w:t>
      </w:r>
    </w:p>
    <w:p w14:paraId="78846D78">
      <w:pPr>
        <w:spacing w:line="600" w:lineRule="exact"/>
        <w:ind w:firstLine="643" w:firstLineChars="200"/>
        <w:rPr>
          <w:rFonts w:ascii="楷体_GB2312" w:hAnsi="楷体" w:eastAsia="楷体_GB2312"/>
          <w:sz w:val="32"/>
          <w:szCs w:val="32"/>
        </w:rPr>
      </w:pPr>
      <w:r>
        <w:rPr>
          <w:rFonts w:hint="eastAsia" w:ascii="楷体_GB2312" w:hAnsi="楷体" w:eastAsia="楷体_GB2312" w:cs="宋体"/>
          <w:b/>
          <w:bCs/>
          <w:kern w:val="0"/>
          <w:sz w:val="32"/>
          <w:szCs w:val="32"/>
        </w:rPr>
        <w:t>（一）收入预算</w:t>
      </w:r>
    </w:p>
    <w:p w14:paraId="14E911E5">
      <w:pPr>
        <w:widowControl/>
        <w:spacing w:line="560" w:lineRule="exact"/>
        <w:ind w:firstLine="640" w:firstLineChars="200"/>
        <w:jc w:val="left"/>
        <w:rPr>
          <w:rFonts w:hint="eastAsia" w:ascii="仿宋_GB2312" w:hAnsi="仿宋" w:eastAsia="仿宋_GB2312"/>
          <w:sz w:val="32"/>
          <w:szCs w:val="32"/>
          <w:lang w:val="en-US" w:eastAsia="zh-CN"/>
        </w:rPr>
      </w:pPr>
      <w:r>
        <w:rPr>
          <w:rFonts w:hint="eastAsia" w:ascii="仿宋_GB2312" w:hAnsi="仿宋" w:eastAsia="仿宋_GB2312"/>
          <w:sz w:val="32"/>
          <w:szCs w:val="32"/>
          <w:lang w:eastAsia="zh-CN"/>
        </w:rPr>
        <w:t>202</w:t>
      </w:r>
      <w:r>
        <w:rPr>
          <w:rFonts w:hint="default" w:ascii="仿宋_GB2312" w:hAnsi="仿宋" w:eastAsia="仿宋_GB2312"/>
          <w:sz w:val="32"/>
          <w:szCs w:val="32"/>
          <w:lang w:val="en-US" w:eastAsia="zh-CN"/>
        </w:rPr>
        <w:t>6</w:t>
      </w:r>
      <w:r>
        <w:rPr>
          <w:rFonts w:hint="eastAsia" w:ascii="仿宋_GB2312" w:hAnsi="仿宋" w:eastAsia="仿宋_GB2312"/>
          <w:sz w:val="32"/>
          <w:szCs w:val="32"/>
        </w:rPr>
        <w:t>年收入预算</w:t>
      </w:r>
      <w:r>
        <w:rPr>
          <w:rFonts w:hint="eastAsia" w:ascii="仿宋_GB2312" w:hAnsi="仿宋" w:eastAsia="仿宋_GB2312"/>
          <w:sz w:val="32"/>
          <w:szCs w:val="32"/>
          <w:lang w:val="en-US" w:eastAsia="zh-CN"/>
        </w:rPr>
        <w:t>187.98</w:t>
      </w:r>
      <w:r>
        <w:rPr>
          <w:rFonts w:hint="eastAsia" w:ascii="仿宋_GB2312" w:hAnsi="仿宋" w:eastAsia="仿宋_GB2312"/>
          <w:sz w:val="32"/>
          <w:szCs w:val="32"/>
        </w:rPr>
        <w:t>万元。包括：一般公共预算收入</w:t>
      </w:r>
      <w:r>
        <w:rPr>
          <w:rFonts w:hint="eastAsia" w:ascii="仿宋_GB2312" w:hAnsi="仿宋" w:eastAsia="仿宋_GB2312"/>
          <w:sz w:val="32"/>
          <w:szCs w:val="32"/>
          <w:lang w:val="en-US" w:eastAsia="zh-CN"/>
        </w:rPr>
        <w:t>187.98</w:t>
      </w:r>
      <w:r>
        <w:rPr>
          <w:rFonts w:hint="eastAsia" w:ascii="仿宋_GB2312" w:hAnsi="仿宋" w:eastAsia="仿宋_GB2312"/>
          <w:sz w:val="32"/>
          <w:szCs w:val="32"/>
        </w:rPr>
        <w:t>万元，占</w:t>
      </w:r>
      <w:r>
        <w:rPr>
          <w:rFonts w:hint="eastAsia" w:ascii="仿宋_GB2312" w:hAnsi="仿宋" w:eastAsia="仿宋_GB2312"/>
          <w:sz w:val="32"/>
          <w:szCs w:val="32"/>
          <w:lang w:val="en-US" w:eastAsia="zh-CN"/>
        </w:rPr>
        <w:t>100</w:t>
      </w:r>
      <w:r>
        <w:rPr>
          <w:rFonts w:hint="eastAsia" w:ascii="仿宋_GB2312" w:hAnsi="仿宋" w:eastAsia="仿宋_GB2312"/>
          <w:sz w:val="32"/>
          <w:szCs w:val="32"/>
        </w:rPr>
        <w:t>%</w:t>
      </w:r>
      <w:r>
        <w:rPr>
          <w:rFonts w:hint="eastAsia" w:ascii="仿宋_GB2312" w:hAnsi="仿宋" w:eastAsia="仿宋_GB2312"/>
          <w:sz w:val="32"/>
          <w:szCs w:val="32"/>
          <w:lang w:eastAsia="zh-CN"/>
        </w:rPr>
        <w:t>。</w:t>
      </w:r>
    </w:p>
    <w:p w14:paraId="2217B580">
      <w:pPr>
        <w:adjustRightInd w:val="0"/>
        <w:snapToGrid w:val="0"/>
        <w:spacing w:line="640" w:lineRule="exact"/>
        <w:ind w:firstLine="643" w:firstLineChars="200"/>
        <w:contextualSpacing/>
        <w:rPr>
          <w:rFonts w:ascii="楷体_GB2312" w:hAnsi="楷体" w:eastAsia="楷体_GB2312" w:cs="宋体"/>
          <w:b/>
          <w:bCs/>
          <w:kern w:val="0"/>
          <w:sz w:val="32"/>
          <w:szCs w:val="32"/>
        </w:rPr>
      </w:pPr>
      <w:r>
        <w:rPr>
          <w:rFonts w:hint="eastAsia" w:ascii="楷体_GB2312" w:hAnsi="楷体" w:eastAsia="楷体_GB2312" w:cs="宋体"/>
          <w:b/>
          <w:bCs/>
          <w:kern w:val="0"/>
          <w:sz w:val="32"/>
          <w:szCs w:val="32"/>
        </w:rPr>
        <w:t>（二）支出预算</w:t>
      </w:r>
    </w:p>
    <w:p w14:paraId="356FC486">
      <w:pPr>
        <w:widowControl/>
        <w:adjustRightInd w:val="0"/>
        <w:snapToGrid w:val="0"/>
        <w:spacing w:line="640" w:lineRule="exact"/>
        <w:ind w:firstLine="640" w:firstLineChars="200"/>
        <w:contextualSpacing/>
        <w:jc w:val="left"/>
        <w:rPr>
          <w:rFonts w:ascii="仿宋_GB2312" w:hAnsi="仿宋" w:eastAsia="仿宋_GB2312"/>
          <w:sz w:val="32"/>
          <w:szCs w:val="32"/>
        </w:rPr>
      </w:pPr>
      <w:r>
        <w:rPr>
          <w:rFonts w:hint="eastAsia" w:ascii="仿宋_GB2312" w:hAnsi="仿宋" w:eastAsia="仿宋_GB2312"/>
          <w:sz w:val="32"/>
          <w:szCs w:val="32"/>
          <w:lang w:eastAsia="zh-CN"/>
        </w:rPr>
        <w:t>202</w:t>
      </w:r>
      <w:r>
        <w:rPr>
          <w:rFonts w:hint="default" w:ascii="仿宋_GB2312" w:hAnsi="仿宋" w:eastAsia="仿宋_GB2312"/>
          <w:sz w:val="32"/>
          <w:szCs w:val="32"/>
          <w:lang w:val="en-US" w:eastAsia="zh-CN"/>
        </w:rPr>
        <w:t>6</w:t>
      </w:r>
      <w:r>
        <w:rPr>
          <w:rFonts w:hint="eastAsia" w:ascii="仿宋_GB2312" w:hAnsi="仿宋" w:eastAsia="仿宋_GB2312"/>
          <w:sz w:val="32"/>
          <w:szCs w:val="32"/>
        </w:rPr>
        <w:t>年支出预算</w:t>
      </w:r>
      <w:r>
        <w:rPr>
          <w:rFonts w:hint="eastAsia" w:ascii="仿宋_GB2312" w:hAnsi="仿宋" w:eastAsia="仿宋_GB2312"/>
          <w:sz w:val="32"/>
          <w:szCs w:val="32"/>
          <w:lang w:val="en-US" w:eastAsia="zh-CN"/>
        </w:rPr>
        <w:t>187.98</w:t>
      </w:r>
      <w:r>
        <w:rPr>
          <w:rFonts w:hint="eastAsia" w:ascii="仿宋_GB2312" w:hAnsi="仿宋" w:eastAsia="仿宋_GB2312"/>
          <w:sz w:val="32"/>
          <w:szCs w:val="32"/>
        </w:rPr>
        <w:t>万元。</w:t>
      </w:r>
      <w:r>
        <w:rPr>
          <w:rStyle w:val="20"/>
          <w:rFonts w:hint="default" w:hAnsi="仿宋"/>
        </w:rPr>
        <w:t>其中：基本支出</w:t>
      </w:r>
      <w:r>
        <w:rPr>
          <w:rStyle w:val="21"/>
          <w:rFonts w:hint="eastAsia" w:ascii="仿宋_GB2312" w:hAnsi="仿宋" w:eastAsia="仿宋_GB2312"/>
          <w:lang w:val="en-US" w:eastAsia="zh-CN"/>
        </w:rPr>
        <w:t>107.98</w:t>
      </w:r>
      <w:r>
        <w:rPr>
          <w:rStyle w:val="20"/>
          <w:rFonts w:hint="default" w:hAnsi="仿宋"/>
        </w:rPr>
        <w:t>万元，占</w:t>
      </w:r>
      <w:r>
        <w:rPr>
          <w:rStyle w:val="20"/>
          <w:rFonts w:hint="eastAsia" w:hAnsi="仿宋" w:eastAsia="仿宋_GB2312"/>
          <w:lang w:val="en-US" w:eastAsia="zh-CN"/>
        </w:rPr>
        <w:t>57.44</w:t>
      </w:r>
      <w:r>
        <w:rPr>
          <w:rStyle w:val="21"/>
          <w:rFonts w:hint="eastAsia" w:ascii="仿宋_GB2312" w:hAnsi="仿宋" w:eastAsia="仿宋_GB2312"/>
        </w:rPr>
        <w:t>%</w:t>
      </w:r>
      <w:r>
        <w:rPr>
          <w:rStyle w:val="20"/>
          <w:rFonts w:hint="default" w:hAnsi="仿宋"/>
        </w:rPr>
        <w:t>；项目支出</w:t>
      </w:r>
      <w:r>
        <w:rPr>
          <w:rStyle w:val="20"/>
          <w:rFonts w:hint="eastAsia" w:hAnsi="仿宋" w:eastAsia="仿宋_GB2312"/>
          <w:lang w:val="en-US" w:eastAsia="zh-CN"/>
        </w:rPr>
        <w:t>80</w:t>
      </w:r>
      <w:r>
        <w:rPr>
          <w:rStyle w:val="20"/>
          <w:rFonts w:hint="default" w:hAnsi="仿宋"/>
        </w:rPr>
        <w:t>万元，占</w:t>
      </w:r>
      <w:r>
        <w:rPr>
          <w:rStyle w:val="21"/>
          <w:rFonts w:hint="eastAsia" w:ascii="仿宋_GB2312" w:hAnsi="仿宋" w:eastAsia="仿宋_GB2312"/>
          <w:lang w:val="en-US" w:eastAsia="zh-CN"/>
        </w:rPr>
        <w:t>42.56</w:t>
      </w:r>
      <w:r>
        <w:rPr>
          <w:rStyle w:val="21"/>
          <w:rFonts w:hint="eastAsia" w:ascii="仿宋_GB2312" w:hAnsi="仿宋" w:eastAsia="仿宋_GB2312"/>
        </w:rPr>
        <w:t>%</w:t>
      </w:r>
      <w:r>
        <w:rPr>
          <w:rStyle w:val="20"/>
          <w:rFonts w:hint="default" w:hAnsi="仿宋"/>
        </w:rPr>
        <w:t>。</w:t>
      </w:r>
    </w:p>
    <w:p w14:paraId="7D7ADD50">
      <w:pPr>
        <w:adjustRightInd w:val="0"/>
        <w:snapToGrid w:val="0"/>
        <w:spacing w:line="640" w:lineRule="exact"/>
        <w:ind w:firstLine="640" w:firstLineChars="200"/>
        <w:contextualSpacing/>
        <w:rPr>
          <w:rFonts w:ascii="黑体" w:hAnsi="黑体" w:eastAsia="黑体" w:cs="宋体"/>
          <w:kern w:val="0"/>
          <w:sz w:val="32"/>
          <w:szCs w:val="32"/>
        </w:rPr>
      </w:pPr>
      <w:r>
        <w:rPr>
          <w:rFonts w:hint="eastAsia" w:ascii="黑体" w:hAnsi="黑体" w:eastAsia="黑体" w:cs="宋体"/>
          <w:kern w:val="0"/>
          <w:sz w:val="32"/>
          <w:szCs w:val="32"/>
        </w:rPr>
        <w:t>四、一般公共预算情况</w:t>
      </w:r>
    </w:p>
    <w:p w14:paraId="0F3C656B">
      <w:pPr>
        <w:widowControl/>
        <w:adjustRightInd w:val="0"/>
        <w:snapToGrid w:val="0"/>
        <w:spacing w:line="640" w:lineRule="exact"/>
        <w:ind w:firstLine="640" w:firstLineChars="200"/>
        <w:contextualSpacing/>
        <w:jc w:val="left"/>
        <w:rPr>
          <w:rFonts w:hint="eastAsia" w:ascii="仿宋_GB2312" w:hAnsi="仿宋" w:eastAsia="仿宋_GB2312"/>
          <w:sz w:val="32"/>
          <w:szCs w:val="32"/>
          <w:lang w:val="en-US" w:eastAsia="zh-CN"/>
        </w:rPr>
      </w:pPr>
      <w:r>
        <w:rPr>
          <w:rStyle w:val="21"/>
          <w:rFonts w:hint="eastAsia" w:ascii="仿宋_GB2312" w:hAnsi="仿宋" w:eastAsia="仿宋_GB2312"/>
          <w:lang w:eastAsia="zh-CN"/>
        </w:rPr>
        <w:t>202</w:t>
      </w:r>
      <w:r>
        <w:rPr>
          <w:rStyle w:val="21"/>
          <w:rFonts w:hint="default" w:ascii="仿宋_GB2312" w:hAnsi="仿宋" w:eastAsia="仿宋_GB2312"/>
          <w:lang w:val="en-US" w:eastAsia="zh-CN"/>
        </w:rPr>
        <w:t>6</w:t>
      </w:r>
      <w:r>
        <w:rPr>
          <w:rStyle w:val="20"/>
          <w:rFonts w:hint="default" w:hAnsi="仿宋"/>
        </w:rPr>
        <w:t>年一般公共预算当年支出</w:t>
      </w:r>
      <w:r>
        <w:rPr>
          <w:rFonts w:hint="eastAsia" w:ascii="仿宋_GB2312" w:hAnsi="仿宋" w:eastAsia="仿宋_GB2312"/>
          <w:sz w:val="32"/>
          <w:szCs w:val="32"/>
          <w:lang w:val="en-US" w:eastAsia="zh-CN"/>
        </w:rPr>
        <w:t>187.98</w:t>
      </w:r>
      <w:r>
        <w:rPr>
          <w:rStyle w:val="20"/>
          <w:rFonts w:hint="default" w:hAnsi="仿宋"/>
        </w:rPr>
        <w:t>万元</w:t>
      </w:r>
      <w:r>
        <w:rPr>
          <w:rStyle w:val="20"/>
          <w:rFonts w:hint="eastAsia" w:hAnsi="仿宋" w:eastAsia="仿宋_GB2312"/>
          <w:lang w:val="en-US" w:eastAsia="zh-CN"/>
        </w:rPr>
        <w:t>.</w:t>
      </w:r>
    </w:p>
    <w:p w14:paraId="59725234">
      <w:pPr>
        <w:spacing w:line="640" w:lineRule="exact"/>
        <w:ind w:firstLine="643" w:firstLineChars="200"/>
        <w:contextualSpacing/>
        <w:rPr>
          <w:rFonts w:ascii="楷体_GB2312" w:hAnsi="楷体" w:eastAsia="楷体_GB2312" w:cs="宋体"/>
          <w:b/>
          <w:bCs/>
          <w:kern w:val="0"/>
          <w:sz w:val="32"/>
          <w:szCs w:val="32"/>
        </w:rPr>
      </w:pPr>
      <w:r>
        <w:rPr>
          <w:rFonts w:hint="eastAsia" w:ascii="楷体_GB2312" w:hAnsi="楷体" w:eastAsia="楷体_GB2312" w:cs="宋体"/>
          <w:b/>
          <w:bCs/>
          <w:kern w:val="0"/>
          <w:sz w:val="32"/>
          <w:szCs w:val="32"/>
        </w:rPr>
        <w:t>（一）基本支出</w:t>
      </w:r>
    </w:p>
    <w:p w14:paraId="1AE41538">
      <w:pPr>
        <w:widowControl/>
        <w:spacing w:line="640" w:lineRule="exact"/>
        <w:ind w:firstLine="640" w:firstLineChars="200"/>
        <w:contextualSpacing/>
        <w:jc w:val="left"/>
        <w:rPr>
          <w:rFonts w:hint="default" w:ascii="仿宋_GB2312" w:hAnsi="仿宋" w:eastAsia="仿宋_GB2312"/>
          <w:sz w:val="32"/>
          <w:szCs w:val="32"/>
          <w:lang w:val="en-US" w:eastAsia="zh-CN"/>
        </w:rPr>
      </w:pPr>
      <w:r>
        <w:rPr>
          <w:rFonts w:hint="eastAsia" w:ascii="仿宋_GB2312" w:hAnsi="仿宋" w:eastAsia="仿宋_GB2312"/>
          <w:sz w:val="32"/>
          <w:szCs w:val="32"/>
          <w:lang w:eastAsia="zh-CN"/>
        </w:rPr>
        <w:t>202</w:t>
      </w:r>
      <w:r>
        <w:rPr>
          <w:rFonts w:hint="default" w:ascii="仿宋_GB2312" w:hAnsi="仿宋" w:eastAsia="仿宋_GB2312"/>
          <w:sz w:val="32"/>
          <w:szCs w:val="32"/>
          <w:lang w:val="en-US" w:eastAsia="zh-CN"/>
        </w:rPr>
        <w:t>6</w:t>
      </w:r>
      <w:r>
        <w:rPr>
          <w:rFonts w:hint="eastAsia" w:ascii="仿宋_GB2312" w:hAnsi="仿宋" w:eastAsia="仿宋_GB2312"/>
          <w:sz w:val="32"/>
          <w:szCs w:val="32"/>
        </w:rPr>
        <w:t>年基本支出</w:t>
      </w:r>
      <w:r>
        <w:rPr>
          <w:rFonts w:hint="eastAsia" w:ascii="仿宋_GB2312" w:hAnsi="仿宋" w:eastAsia="仿宋_GB2312"/>
          <w:sz w:val="32"/>
          <w:szCs w:val="32"/>
          <w:lang w:val="en-US" w:eastAsia="zh-CN"/>
        </w:rPr>
        <w:t>107.98</w:t>
      </w:r>
      <w:r>
        <w:rPr>
          <w:rFonts w:hint="eastAsia" w:ascii="仿宋_GB2312" w:hAnsi="仿宋" w:eastAsia="仿宋_GB2312"/>
          <w:sz w:val="32"/>
          <w:szCs w:val="32"/>
        </w:rPr>
        <w:t>万元，比</w:t>
      </w:r>
      <w:r>
        <w:rPr>
          <w:rFonts w:hint="eastAsia" w:ascii="仿宋_GB2312" w:hAnsi="仿宋" w:eastAsia="仿宋_GB2312"/>
          <w:sz w:val="32"/>
          <w:szCs w:val="32"/>
          <w:lang w:eastAsia="zh-CN"/>
        </w:rPr>
        <w:t>202</w:t>
      </w:r>
      <w:r>
        <w:rPr>
          <w:rFonts w:hint="default" w:ascii="仿宋_GB2312" w:hAnsi="仿宋" w:eastAsia="仿宋_GB2312"/>
          <w:sz w:val="32"/>
          <w:szCs w:val="32"/>
          <w:lang w:val="en-US" w:eastAsia="zh-CN"/>
        </w:rPr>
        <w:t>5</w:t>
      </w:r>
      <w:r>
        <w:rPr>
          <w:rFonts w:hint="eastAsia" w:ascii="仿宋_GB2312" w:hAnsi="仿宋" w:eastAsia="仿宋_GB2312"/>
          <w:sz w:val="32"/>
          <w:szCs w:val="32"/>
        </w:rPr>
        <w:t>年预算增加</w:t>
      </w:r>
      <w:r>
        <w:rPr>
          <w:rFonts w:hint="eastAsia" w:ascii="仿宋_GB2312" w:hAnsi="仿宋" w:eastAsia="仿宋_GB2312"/>
          <w:sz w:val="32"/>
          <w:szCs w:val="32"/>
          <w:lang w:val="en-US" w:eastAsia="zh-CN"/>
        </w:rPr>
        <w:t>17.9</w:t>
      </w:r>
      <w:r>
        <w:rPr>
          <w:rFonts w:hint="eastAsia" w:ascii="仿宋_GB2312" w:hAnsi="仿宋" w:eastAsia="仿宋_GB2312"/>
          <w:sz w:val="32"/>
          <w:szCs w:val="32"/>
        </w:rPr>
        <w:t>万元，增长</w:t>
      </w:r>
      <w:r>
        <w:rPr>
          <w:rFonts w:hint="eastAsia" w:ascii="仿宋_GB2312" w:hAnsi="仿宋" w:eastAsia="仿宋_GB2312"/>
          <w:sz w:val="32"/>
          <w:szCs w:val="32"/>
          <w:lang w:val="en-US" w:eastAsia="zh-CN"/>
        </w:rPr>
        <w:t>19.87</w:t>
      </w:r>
      <w:r>
        <w:rPr>
          <w:rFonts w:hint="eastAsia" w:ascii="仿宋_GB2312" w:hAnsi="仿宋" w:eastAsia="仿宋_GB2312"/>
          <w:sz w:val="32"/>
          <w:szCs w:val="32"/>
        </w:rPr>
        <w:t>%，增长的主要原因是</w:t>
      </w:r>
      <w:r>
        <w:rPr>
          <w:rFonts w:hint="eastAsia" w:ascii="仿宋_GB2312" w:hAnsi="仿宋" w:eastAsia="仿宋_GB2312"/>
          <w:sz w:val="32"/>
          <w:szCs w:val="32"/>
          <w:lang w:eastAsia="zh-CN"/>
        </w:rPr>
        <w:t>单位新增工作人员</w:t>
      </w:r>
      <w:r>
        <w:rPr>
          <w:rFonts w:hint="eastAsia" w:ascii="仿宋_GB2312" w:hAnsi="仿宋" w:eastAsia="仿宋_GB2312"/>
          <w:sz w:val="32"/>
          <w:szCs w:val="32"/>
          <w:lang w:val="en-US" w:eastAsia="zh-CN"/>
        </w:rPr>
        <w:t>1名。</w:t>
      </w:r>
    </w:p>
    <w:p w14:paraId="70883497">
      <w:pPr>
        <w:widowControl/>
        <w:adjustRightInd w:val="0"/>
        <w:snapToGrid w:val="0"/>
        <w:spacing w:line="640" w:lineRule="exact"/>
        <w:ind w:firstLine="640" w:firstLineChars="200"/>
        <w:contextualSpacing/>
        <w:jc w:val="left"/>
        <w:rPr>
          <w:rFonts w:ascii="仿宋_GB2312" w:hAnsi="仿宋" w:eastAsia="仿宋_GB2312"/>
          <w:sz w:val="32"/>
          <w:szCs w:val="32"/>
        </w:rPr>
      </w:pPr>
      <w:r>
        <w:rPr>
          <w:rFonts w:hint="eastAsia" w:ascii="仿宋_GB2312" w:hAnsi="仿宋" w:eastAsia="仿宋_GB2312"/>
          <w:sz w:val="32"/>
          <w:szCs w:val="32"/>
        </w:rPr>
        <w:t>其中：人员经费支出</w:t>
      </w:r>
      <w:r>
        <w:rPr>
          <w:rFonts w:hint="eastAsia" w:ascii="仿宋_GB2312" w:hAnsi="仿宋" w:eastAsia="仿宋_GB2312"/>
          <w:sz w:val="32"/>
          <w:szCs w:val="32"/>
          <w:lang w:val="en-US" w:eastAsia="zh-CN"/>
        </w:rPr>
        <w:t>92.58</w:t>
      </w:r>
      <w:r>
        <w:rPr>
          <w:rFonts w:hint="eastAsia" w:ascii="仿宋_GB2312" w:hAnsi="仿宋" w:eastAsia="仿宋_GB2312"/>
          <w:sz w:val="32"/>
          <w:szCs w:val="32"/>
        </w:rPr>
        <w:t>万元，主要包括：基本工资</w:t>
      </w:r>
      <w:r>
        <w:rPr>
          <w:rFonts w:hint="eastAsia" w:ascii="仿宋_GB2312" w:hAnsi="仿宋" w:eastAsia="仿宋_GB2312"/>
          <w:sz w:val="32"/>
          <w:szCs w:val="32"/>
          <w:lang w:val="en-US" w:eastAsia="zh-CN"/>
        </w:rPr>
        <w:t>26.63万元</w:t>
      </w:r>
      <w:r>
        <w:rPr>
          <w:rFonts w:hint="eastAsia" w:ascii="仿宋_GB2312" w:hAnsi="仿宋" w:eastAsia="仿宋_GB2312"/>
          <w:sz w:val="32"/>
          <w:szCs w:val="32"/>
        </w:rPr>
        <w:t>、津贴补贴</w:t>
      </w:r>
      <w:r>
        <w:rPr>
          <w:rFonts w:hint="eastAsia" w:ascii="仿宋_GB2312" w:hAnsi="仿宋" w:eastAsia="仿宋_GB2312"/>
          <w:sz w:val="32"/>
          <w:szCs w:val="32"/>
          <w:lang w:val="en-US" w:eastAsia="zh-CN"/>
        </w:rPr>
        <w:t>29.02万元</w:t>
      </w:r>
      <w:r>
        <w:rPr>
          <w:rFonts w:hint="eastAsia" w:ascii="仿宋_GB2312" w:hAnsi="仿宋" w:eastAsia="仿宋_GB2312"/>
          <w:sz w:val="32"/>
          <w:szCs w:val="32"/>
        </w:rPr>
        <w:t>、奖金</w:t>
      </w:r>
      <w:r>
        <w:rPr>
          <w:rFonts w:hint="eastAsia" w:ascii="仿宋_GB2312" w:hAnsi="仿宋" w:eastAsia="仿宋_GB2312"/>
          <w:sz w:val="32"/>
          <w:szCs w:val="32"/>
          <w:lang w:val="en-US" w:eastAsia="zh-CN"/>
        </w:rPr>
        <w:t>10.46万元</w:t>
      </w:r>
      <w:r>
        <w:rPr>
          <w:rFonts w:hint="eastAsia" w:ascii="仿宋_GB2312" w:hAnsi="仿宋" w:eastAsia="仿宋_GB2312"/>
          <w:sz w:val="32"/>
          <w:szCs w:val="32"/>
        </w:rPr>
        <w:t>、机关事业单位基本养老保险缴费</w:t>
      </w:r>
      <w:r>
        <w:rPr>
          <w:rFonts w:hint="eastAsia" w:ascii="仿宋_GB2312" w:hAnsi="仿宋" w:eastAsia="仿宋_GB2312"/>
          <w:sz w:val="32"/>
          <w:szCs w:val="32"/>
          <w:lang w:val="en-US" w:eastAsia="zh-CN"/>
        </w:rPr>
        <w:t>9.26万元</w:t>
      </w:r>
      <w:r>
        <w:rPr>
          <w:rFonts w:hint="eastAsia" w:ascii="仿宋_GB2312" w:hAnsi="仿宋" w:eastAsia="仿宋_GB2312"/>
          <w:sz w:val="32"/>
          <w:szCs w:val="32"/>
        </w:rPr>
        <w:t>、职业年金缴费</w:t>
      </w:r>
      <w:r>
        <w:rPr>
          <w:rFonts w:hint="eastAsia" w:ascii="仿宋_GB2312" w:hAnsi="仿宋" w:eastAsia="仿宋_GB2312"/>
          <w:sz w:val="32"/>
          <w:szCs w:val="32"/>
          <w:lang w:val="en-US" w:eastAsia="zh-CN"/>
        </w:rPr>
        <w:t>4.63万元</w:t>
      </w:r>
      <w:r>
        <w:rPr>
          <w:rFonts w:hint="eastAsia" w:ascii="仿宋_GB2312" w:hAnsi="仿宋" w:eastAsia="仿宋_GB2312"/>
          <w:sz w:val="32"/>
          <w:szCs w:val="32"/>
        </w:rPr>
        <w:t>、职工基本医疗保险缴费</w:t>
      </w:r>
      <w:r>
        <w:rPr>
          <w:rFonts w:hint="eastAsia" w:ascii="仿宋_GB2312" w:hAnsi="仿宋" w:eastAsia="仿宋_GB2312"/>
          <w:sz w:val="32"/>
          <w:szCs w:val="32"/>
          <w:lang w:val="en-US" w:eastAsia="zh-CN"/>
        </w:rPr>
        <w:t>3.76万元</w:t>
      </w:r>
      <w:r>
        <w:rPr>
          <w:rFonts w:hint="eastAsia" w:ascii="仿宋_GB2312" w:hAnsi="仿宋" w:eastAsia="仿宋_GB2312"/>
          <w:sz w:val="32"/>
          <w:szCs w:val="32"/>
        </w:rPr>
        <w:t>、公务员医疗补助缴费</w:t>
      </w:r>
      <w:r>
        <w:rPr>
          <w:rFonts w:hint="eastAsia" w:ascii="仿宋_GB2312" w:hAnsi="仿宋" w:eastAsia="仿宋_GB2312"/>
          <w:sz w:val="32"/>
          <w:szCs w:val="32"/>
          <w:lang w:val="en-US" w:eastAsia="zh-CN"/>
        </w:rPr>
        <w:t>0.81万元</w:t>
      </w:r>
      <w:r>
        <w:rPr>
          <w:rFonts w:hint="eastAsia" w:ascii="仿宋_GB2312" w:hAnsi="仿宋" w:eastAsia="仿宋_GB2312"/>
          <w:sz w:val="32"/>
          <w:szCs w:val="32"/>
        </w:rPr>
        <w:t>、其他社会保障缴费</w:t>
      </w:r>
      <w:r>
        <w:rPr>
          <w:rFonts w:hint="eastAsia" w:ascii="仿宋_GB2312" w:hAnsi="仿宋" w:eastAsia="仿宋_GB2312"/>
          <w:sz w:val="32"/>
          <w:szCs w:val="32"/>
          <w:lang w:val="en-US" w:eastAsia="zh-CN"/>
        </w:rPr>
        <w:t>0.23万元</w:t>
      </w:r>
      <w:r>
        <w:rPr>
          <w:rFonts w:hint="eastAsia" w:ascii="仿宋_GB2312" w:hAnsi="仿宋" w:eastAsia="仿宋_GB2312"/>
          <w:sz w:val="32"/>
          <w:szCs w:val="32"/>
        </w:rPr>
        <w:t>、住房公积金</w:t>
      </w:r>
      <w:r>
        <w:rPr>
          <w:rFonts w:hint="eastAsia" w:ascii="仿宋_GB2312" w:hAnsi="仿宋" w:eastAsia="仿宋_GB2312"/>
          <w:sz w:val="32"/>
          <w:szCs w:val="32"/>
          <w:lang w:val="en-US" w:eastAsia="zh-CN"/>
        </w:rPr>
        <w:t>6.94万元</w:t>
      </w:r>
      <w:r>
        <w:rPr>
          <w:rFonts w:hint="eastAsia" w:ascii="仿宋_GB2312" w:hAnsi="仿宋" w:eastAsia="仿宋_GB2312"/>
          <w:sz w:val="32"/>
          <w:szCs w:val="32"/>
        </w:rPr>
        <w:t>、其他对个人和家庭的补助</w:t>
      </w:r>
      <w:r>
        <w:rPr>
          <w:rFonts w:hint="eastAsia" w:ascii="仿宋_GB2312" w:hAnsi="仿宋" w:eastAsia="仿宋_GB2312"/>
          <w:sz w:val="32"/>
          <w:szCs w:val="32"/>
          <w:lang w:val="en-US" w:eastAsia="zh-CN"/>
        </w:rPr>
        <w:t>0.83万元</w:t>
      </w:r>
      <w:r>
        <w:rPr>
          <w:rFonts w:hint="eastAsia" w:ascii="仿宋_GB2312" w:hAnsi="仿宋" w:eastAsia="仿宋_GB2312"/>
          <w:sz w:val="32"/>
          <w:szCs w:val="32"/>
        </w:rPr>
        <w:t>等。</w:t>
      </w:r>
    </w:p>
    <w:p w14:paraId="5167C9CF">
      <w:pPr>
        <w:widowControl/>
        <w:adjustRightInd w:val="0"/>
        <w:snapToGrid w:val="0"/>
        <w:spacing w:line="640" w:lineRule="exact"/>
        <w:ind w:firstLine="640" w:firstLineChars="200"/>
        <w:contextualSpacing/>
        <w:jc w:val="left"/>
        <w:rPr>
          <w:rFonts w:ascii="仿宋_GB2312" w:hAnsi="仿宋" w:eastAsia="仿宋_GB2312"/>
          <w:sz w:val="32"/>
          <w:szCs w:val="32"/>
        </w:rPr>
      </w:pPr>
      <w:r>
        <w:rPr>
          <w:rFonts w:hint="eastAsia" w:ascii="仿宋_GB2312" w:hAnsi="仿宋" w:eastAsia="仿宋_GB2312"/>
          <w:sz w:val="32"/>
          <w:szCs w:val="32"/>
        </w:rPr>
        <w:t>公用经费支出</w:t>
      </w:r>
      <w:r>
        <w:rPr>
          <w:rFonts w:hint="eastAsia" w:ascii="仿宋_GB2312" w:hAnsi="仿宋" w:eastAsia="仿宋_GB2312"/>
          <w:sz w:val="32"/>
          <w:szCs w:val="32"/>
          <w:lang w:val="en-US" w:eastAsia="zh-CN"/>
        </w:rPr>
        <w:t>11.37</w:t>
      </w:r>
      <w:r>
        <w:rPr>
          <w:rFonts w:hint="eastAsia" w:ascii="仿宋_GB2312" w:hAnsi="仿宋" w:eastAsia="仿宋_GB2312"/>
          <w:sz w:val="32"/>
          <w:szCs w:val="32"/>
        </w:rPr>
        <w:t>万元，主要包括：办公费</w:t>
      </w:r>
      <w:r>
        <w:rPr>
          <w:rFonts w:hint="eastAsia" w:ascii="仿宋_GB2312" w:hAnsi="仿宋" w:eastAsia="仿宋_GB2312"/>
          <w:sz w:val="32"/>
          <w:szCs w:val="32"/>
          <w:lang w:val="en-US" w:eastAsia="zh-CN"/>
        </w:rPr>
        <w:t>1.62万元</w:t>
      </w:r>
      <w:r>
        <w:rPr>
          <w:rFonts w:hint="eastAsia" w:ascii="仿宋_GB2312" w:hAnsi="仿宋" w:eastAsia="仿宋_GB2312"/>
          <w:sz w:val="32"/>
          <w:szCs w:val="32"/>
        </w:rPr>
        <w:t>、印刷费</w:t>
      </w:r>
      <w:r>
        <w:rPr>
          <w:rFonts w:hint="eastAsia" w:ascii="仿宋_GB2312" w:hAnsi="仿宋" w:eastAsia="仿宋_GB2312"/>
          <w:sz w:val="32"/>
          <w:szCs w:val="32"/>
          <w:lang w:val="en-US" w:eastAsia="zh-CN"/>
        </w:rPr>
        <w:t>0.5万元</w:t>
      </w:r>
      <w:r>
        <w:rPr>
          <w:rFonts w:hint="eastAsia" w:ascii="仿宋_GB2312" w:hAnsi="仿宋" w:eastAsia="仿宋_GB2312"/>
          <w:sz w:val="32"/>
          <w:szCs w:val="32"/>
        </w:rPr>
        <w:t>、水费</w:t>
      </w:r>
      <w:r>
        <w:rPr>
          <w:rFonts w:hint="eastAsia" w:ascii="仿宋_GB2312" w:hAnsi="仿宋" w:eastAsia="仿宋_GB2312"/>
          <w:sz w:val="32"/>
          <w:szCs w:val="32"/>
          <w:lang w:val="en-US" w:eastAsia="zh-CN"/>
        </w:rPr>
        <w:t>0.06万元</w:t>
      </w:r>
      <w:r>
        <w:rPr>
          <w:rFonts w:hint="eastAsia" w:ascii="仿宋_GB2312" w:hAnsi="仿宋" w:eastAsia="仿宋_GB2312"/>
          <w:sz w:val="32"/>
          <w:szCs w:val="32"/>
        </w:rPr>
        <w:t>、电费</w:t>
      </w:r>
      <w:r>
        <w:rPr>
          <w:rFonts w:hint="eastAsia" w:ascii="仿宋_GB2312" w:hAnsi="仿宋" w:eastAsia="仿宋_GB2312"/>
          <w:sz w:val="32"/>
          <w:szCs w:val="32"/>
          <w:lang w:val="en-US" w:eastAsia="zh-CN"/>
        </w:rPr>
        <w:t>3.6万元</w:t>
      </w:r>
      <w:r>
        <w:rPr>
          <w:rFonts w:hint="eastAsia" w:ascii="仿宋_GB2312" w:hAnsi="仿宋" w:eastAsia="仿宋_GB2312"/>
          <w:sz w:val="32"/>
          <w:szCs w:val="32"/>
        </w:rPr>
        <w:t>、邮电费</w:t>
      </w:r>
      <w:r>
        <w:rPr>
          <w:rFonts w:hint="eastAsia" w:ascii="仿宋_GB2312" w:hAnsi="仿宋" w:eastAsia="仿宋_GB2312"/>
          <w:sz w:val="32"/>
          <w:szCs w:val="32"/>
          <w:lang w:val="en-US" w:eastAsia="zh-CN"/>
        </w:rPr>
        <w:t>0.46万元</w:t>
      </w:r>
      <w:r>
        <w:rPr>
          <w:rFonts w:hint="eastAsia" w:ascii="仿宋_GB2312" w:hAnsi="仿宋" w:eastAsia="仿宋_GB2312"/>
          <w:sz w:val="32"/>
          <w:szCs w:val="32"/>
        </w:rPr>
        <w:t>、取暖费</w:t>
      </w:r>
      <w:r>
        <w:rPr>
          <w:rFonts w:hint="eastAsia" w:ascii="仿宋_GB2312" w:hAnsi="仿宋" w:eastAsia="仿宋_GB2312"/>
          <w:sz w:val="32"/>
          <w:szCs w:val="32"/>
          <w:lang w:val="en-US" w:eastAsia="zh-CN"/>
        </w:rPr>
        <w:t>0.91万元</w:t>
      </w:r>
      <w:r>
        <w:rPr>
          <w:rFonts w:hint="eastAsia" w:ascii="仿宋_GB2312" w:hAnsi="仿宋" w:eastAsia="仿宋_GB2312"/>
          <w:sz w:val="32"/>
          <w:szCs w:val="32"/>
        </w:rPr>
        <w:t>、物业管理费、差旅费</w:t>
      </w:r>
      <w:r>
        <w:rPr>
          <w:rFonts w:hint="eastAsia" w:ascii="仿宋_GB2312" w:hAnsi="仿宋" w:eastAsia="仿宋_GB2312"/>
          <w:sz w:val="32"/>
          <w:szCs w:val="32"/>
          <w:lang w:val="en-US" w:eastAsia="zh-CN"/>
        </w:rPr>
        <w:t>0.6万元</w:t>
      </w:r>
      <w:r>
        <w:rPr>
          <w:rFonts w:hint="eastAsia" w:ascii="仿宋_GB2312" w:hAnsi="仿宋" w:eastAsia="仿宋_GB2312"/>
          <w:sz w:val="32"/>
          <w:szCs w:val="32"/>
        </w:rPr>
        <w:t>、工会经费</w:t>
      </w:r>
      <w:r>
        <w:rPr>
          <w:rFonts w:hint="eastAsia" w:ascii="仿宋_GB2312" w:hAnsi="仿宋" w:eastAsia="仿宋_GB2312"/>
          <w:sz w:val="32"/>
          <w:szCs w:val="32"/>
          <w:lang w:val="en-US" w:eastAsia="zh-CN"/>
        </w:rPr>
        <w:t>0.67万元</w:t>
      </w:r>
      <w:r>
        <w:rPr>
          <w:rFonts w:hint="eastAsia" w:ascii="仿宋_GB2312" w:hAnsi="仿宋" w:eastAsia="仿宋_GB2312"/>
          <w:sz w:val="32"/>
          <w:szCs w:val="32"/>
        </w:rPr>
        <w:t>、福利费</w:t>
      </w:r>
      <w:r>
        <w:rPr>
          <w:rFonts w:hint="eastAsia" w:ascii="仿宋_GB2312" w:hAnsi="仿宋" w:eastAsia="仿宋_GB2312"/>
          <w:sz w:val="32"/>
          <w:szCs w:val="32"/>
          <w:lang w:val="en-US" w:eastAsia="zh-CN"/>
        </w:rPr>
        <w:t>1.39万元</w:t>
      </w:r>
      <w:r>
        <w:rPr>
          <w:rFonts w:hint="eastAsia" w:ascii="仿宋_GB2312" w:hAnsi="仿宋" w:eastAsia="仿宋_GB2312"/>
          <w:sz w:val="32"/>
          <w:szCs w:val="32"/>
        </w:rPr>
        <w:t>、其他交通费用</w:t>
      </w:r>
      <w:r>
        <w:rPr>
          <w:rFonts w:hint="eastAsia" w:ascii="仿宋_GB2312" w:hAnsi="仿宋" w:eastAsia="仿宋_GB2312"/>
          <w:sz w:val="32"/>
          <w:szCs w:val="32"/>
          <w:lang w:val="en-US" w:eastAsia="zh-CN"/>
        </w:rPr>
        <w:t>4.8万元</w:t>
      </w:r>
      <w:r>
        <w:rPr>
          <w:rFonts w:hint="eastAsia" w:ascii="仿宋_GB2312" w:hAnsi="仿宋" w:eastAsia="仿宋_GB2312"/>
          <w:sz w:val="32"/>
          <w:szCs w:val="32"/>
        </w:rPr>
        <w:t>。</w:t>
      </w:r>
    </w:p>
    <w:p w14:paraId="47B79818">
      <w:pPr>
        <w:adjustRightInd w:val="0"/>
        <w:snapToGrid w:val="0"/>
        <w:spacing w:line="640" w:lineRule="exact"/>
        <w:ind w:firstLine="643" w:firstLineChars="200"/>
        <w:contextualSpacing/>
        <w:rPr>
          <w:rFonts w:ascii="楷体_GB2312" w:hAnsi="楷体" w:eastAsia="楷体_GB2312" w:cs="宋体"/>
          <w:b/>
          <w:bCs/>
          <w:kern w:val="0"/>
          <w:sz w:val="32"/>
          <w:szCs w:val="32"/>
        </w:rPr>
      </w:pPr>
      <w:r>
        <w:rPr>
          <w:rFonts w:hint="eastAsia" w:ascii="楷体_GB2312" w:hAnsi="楷体" w:eastAsia="楷体_GB2312" w:cs="宋体"/>
          <w:b/>
          <w:bCs/>
          <w:kern w:val="0"/>
          <w:sz w:val="32"/>
          <w:szCs w:val="32"/>
        </w:rPr>
        <w:t>（二）项目支出</w:t>
      </w:r>
    </w:p>
    <w:p w14:paraId="2DD7CC27">
      <w:pPr>
        <w:widowControl/>
        <w:adjustRightInd w:val="0"/>
        <w:snapToGrid w:val="0"/>
        <w:spacing w:line="640" w:lineRule="exact"/>
        <w:ind w:firstLine="640" w:firstLineChars="200"/>
        <w:contextualSpacing/>
        <w:jc w:val="left"/>
        <w:rPr>
          <w:rFonts w:ascii="仿宋_GB2312" w:hAnsi="仿宋" w:eastAsia="仿宋_GB2312"/>
          <w:sz w:val="32"/>
          <w:szCs w:val="32"/>
        </w:rPr>
      </w:pPr>
      <w:r>
        <w:rPr>
          <w:rFonts w:hint="eastAsia" w:ascii="仿宋_GB2312" w:hAnsi="仿宋" w:eastAsia="仿宋_GB2312"/>
          <w:sz w:val="32"/>
          <w:szCs w:val="32"/>
          <w:lang w:eastAsia="zh-CN"/>
        </w:rPr>
        <w:t>202</w:t>
      </w:r>
      <w:r>
        <w:rPr>
          <w:rFonts w:hint="default" w:ascii="仿宋_GB2312" w:hAnsi="仿宋" w:eastAsia="仿宋_GB2312"/>
          <w:sz w:val="32"/>
          <w:szCs w:val="32"/>
          <w:lang w:val="en-US" w:eastAsia="zh-CN"/>
        </w:rPr>
        <w:t>6</w:t>
      </w:r>
      <w:r>
        <w:rPr>
          <w:rFonts w:hint="eastAsia" w:ascii="仿宋_GB2312" w:hAnsi="仿宋" w:eastAsia="仿宋_GB2312"/>
          <w:sz w:val="32"/>
          <w:szCs w:val="32"/>
        </w:rPr>
        <w:t>年一般公共预算财政拨款项目支出预算</w:t>
      </w:r>
      <w:r>
        <w:rPr>
          <w:rFonts w:hint="eastAsia" w:ascii="仿宋_GB2312" w:hAnsi="仿宋" w:eastAsia="仿宋_GB2312"/>
          <w:sz w:val="32"/>
          <w:szCs w:val="32"/>
          <w:lang w:val="en-US" w:eastAsia="zh-CN"/>
        </w:rPr>
        <w:t>80</w:t>
      </w:r>
      <w:r>
        <w:rPr>
          <w:rFonts w:hint="eastAsia" w:ascii="仿宋_GB2312" w:hAnsi="仿宋" w:eastAsia="仿宋_GB2312"/>
          <w:sz w:val="32"/>
          <w:szCs w:val="32"/>
        </w:rPr>
        <w:t>万元，比</w:t>
      </w:r>
      <w:r>
        <w:rPr>
          <w:rFonts w:hint="eastAsia" w:ascii="仿宋_GB2312" w:hAnsi="仿宋" w:eastAsia="仿宋_GB2312"/>
          <w:sz w:val="32"/>
          <w:szCs w:val="32"/>
          <w:lang w:eastAsia="zh-CN"/>
        </w:rPr>
        <w:t>202</w:t>
      </w:r>
      <w:r>
        <w:rPr>
          <w:rFonts w:hint="default" w:ascii="仿宋_GB2312" w:hAnsi="仿宋" w:eastAsia="仿宋_GB2312"/>
          <w:sz w:val="32"/>
          <w:szCs w:val="32"/>
          <w:lang w:val="en-US" w:eastAsia="zh-CN"/>
        </w:rPr>
        <w:t>5</w:t>
      </w:r>
      <w:r>
        <w:rPr>
          <w:rFonts w:hint="eastAsia" w:ascii="仿宋_GB2312" w:hAnsi="仿宋" w:eastAsia="仿宋_GB2312"/>
          <w:sz w:val="32"/>
          <w:szCs w:val="32"/>
        </w:rPr>
        <w:t>年预算增加</w:t>
      </w:r>
      <w:r>
        <w:rPr>
          <w:rFonts w:hint="eastAsia" w:ascii="仿宋_GB2312" w:hAnsi="仿宋" w:eastAsia="仿宋_GB2312"/>
          <w:sz w:val="32"/>
          <w:szCs w:val="32"/>
          <w:lang w:val="en-US" w:eastAsia="zh-CN"/>
        </w:rPr>
        <w:t>6.83</w:t>
      </w:r>
      <w:r>
        <w:rPr>
          <w:rFonts w:hint="eastAsia" w:ascii="仿宋_GB2312" w:hAnsi="仿宋" w:eastAsia="仿宋_GB2312"/>
          <w:sz w:val="32"/>
          <w:szCs w:val="32"/>
        </w:rPr>
        <w:t>万元，增长</w:t>
      </w:r>
      <w:r>
        <w:rPr>
          <w:rFonts w:hint="eastAsia" w:ascii="仿宋_GB2312" w:hAnsi="仿宋" w:eastAsia="仿宋_GB2312"/>
          <w:sz w:val="32"/>
          <w:szCs w:val="32"/>
          <w:lang w:val="en-US" w:eastAsia="zh-CN"/>
        </w:rPr>
        <w:t>9.33</w:t>
      </w:r>
      <w:r>
        <w:rPr>
          <w:rFonts w:hint="eastAsia" w:ascii="仿宋_GB2312" w:hAnsi="仿宋" w:eastAsia="仿宋_GB2312"/>
          <w:sz w:val="32"/>
          <w:szCs w:val="32"/>
        </w:rPr>
        <w:t>%。</w:t>
      </w:r>
    </w:p>
    <w:p w14:paraId="2CA5B858">
      <w:pPr>
        <w:adjustRightInd w:val="0"/>
        <w:snapToGrid w:val="0"/>
        <w:spacing w:line="640" w:lineRule="exact"/>
        <w:ind w:firstLine="643" w:firstLineChars="200"/>
        <w:contextualSpacing/>
        <w:rPr>
          <w:rFonts w:ascii="楷体_GB2312" w:hAnsi="楷体" w:eastAsia="楷体_GB2312" w:cs="宋体"/>
          <w:b/>
          <w:bCs/>
          <w:kern w:val="0"/>
          <w:sz w:val="32"/>
          <w:szCs w:val="32"/>
        </w:rPr>
      </w:pPr>
      <w:r>
        <w:rPr>
          <w:rFonts w:hint="eastAsia" w:ascii="楷体_GB2312" w:hAnsi="楷体" w:eastAsia="楷体_GB2312" w:cs="宋体"/>
          <w:b/>
          <w:bCs/>
          <w:kern w:val="0"/>
          <w:sz w:val="32"/>
          <w:szCs w:val="32"/>
        </w:rPr>
        <w:t>（三）支出功能分类说明</w:t>
      </w:r>
    </w:p>
    <w:p w14:paraId="1E181CAA">
      <w:pPr>
        <w:widowControl/>
        <w:adjustRightInd w:val="0"/>
        <w:snapToGrid w:val="0"/>
        <w:spacing w:line="640" w:lineRule="exact"/>
        <w:ind w:firstLine="640" w:firstLineChars="200"/>
        <w:contextualSpacing/>
        <w:jc w:val="left"/>
        <w:rPr>
          <w:rFonts w:ascii="仿宋_GB2312" w:eastAsia="仿宋_GB2312"/>
          <w:color w:val="000000"/>
          <w:sz w:val="32"/>
          <w:szCs w:val="32"/>
        </w:rPr>
      </w:pPr>
      <w:r>
        <w:rPr>
          <w:rFonts w:hint="eastAsia" w:ascii="仿宋_GB2312" w:hAnsi="TimesNewRomanPS-BoldMT" w:eastAsia="仿宋_GB2312"/>
          <w:bCs/>
          <w:color w:val="000000"/>
          <w:sz w:val="32"/>
          <w:szCs w:val="32"/>
        </w:rPr>
        <w:t>1.</w:t>
      </w:r>
      <w:r>
        <w:rPr>
          <w:rFonts w:hint="eastAsia" w:ascii="仿宋_GB2312" w:eastAsia="仿宋_GB2312"/>
          <w:color w:val="000000"/>
          <w:sz w:val="32"/>
          <w:szCs w:val="32"/>
        </w:rPr>
        <w:t>一般公共服务（类）纪检监察事务（款）派驻派出机构（项）</w:t>
      </w:r>
      <w:r>
        <w:rPr>
          <w:rFonts w:hint="eastAsia" w:ascii="仿宋_GB2312" w:hAnsi="TimesNewRomanPSMT" w:eastAsia="仿宋_GB2312"/>
          <w:color w:val="000000"/>
          <w:sz w:val="32"/>
          <w:szCs w:val="32"/>
          <w:lang w:eastAsia="zh-CN"/>
        </w:rPr>
        <w:t>202</w:t>
      </w:r>
      <w:r>
        <w:rPr>
          <w:rFonts w:hint="eastAsia" w:ascii="仿宋_GB2312" w:hAnsi="TimesNewRomanPSMT" w:eastAsia="仿宋_GB2312"/>
          <w:color w:val="000000"/>
          <w:sz w:val="32"/>
          <w:szCs w:val="32"/>
          <w:lang w:val="en-US" w:eastAsia="zh-CN"/>
        </w:rPr>
        <w:t>6</w:t>
      </w:r>
      <w:r>
        <w:rPr>
          <w:rFonts w:hint="eastAsia" w:ascii="仿宋_GB2312" w:eastAsia="仿宋_GB2312"/>
          <w:color w:val="000000"/>
          <w:sz w:val="32"/>
          <w:szCs w:val="32"/>
        </w:rPr>
        <w:t>年预算数为万元，比</w:t>
      </w:r>
      <w:r>
        <w:rPr>
          <w:rFonts w:hint="eastAsia" w:ascii="仿宋_GB2312" w:hAnsi="TimesNewRomanPSMT" w:eastAsia="仿宋_GB2312"/>
          <w:color w:val="000000"/>
          <w:sz w:val="32"/>
          <w:szCs w:val="32"/>
          <w:lang w:eastAsia="zh-CN"/>
        </w:rPr>
        <w:t>202</w:t>
      </w:r>
      <w:r>
        <w:rPr>
          <w:rFonts w:hint="eastAsia" w:ascii="仿宋_GB2312" w:hAnsi="TimesNewRomanPSMT" w:eastAsia="仿宋_GB2312"/>
          <w:color w:val="000000"/>
          <w:sz w:val="32"/>
          <w:szCs w:val="32"/>
          <w:lang w:val="en-US" w:eastAsia="zh-CN"/>
        </w:rPr>
        <w:t>5</w:t>
      </w:r>
      <w:r>
        <w:rPr>
          <w:rFonts w:hint="eastAsia" w:ascii="仿宋_GB2312" w:eastAsia="仿宋_GB2312"/>
          <w:color w:val="000000"/>
          <w:sz w:val="32"/>
          <w:szCs w:val="32"/>
        </w:rPr>
        <w:t>年预算增加万元，主要原因是……</w:t>
      </w:r>
    </w:p>
    <w:p w14:paraId="0A65071F">
      <w:pPr>
        <w:adjustRightInd w:val="0"/>
        <w:snapToGrid w:val="0"/>
        <w:spacing w:line="640" w:lineRule="exact"/>
        <w:ind w:firstLine="640" w:firstLineChars="200"/>
        <w:contextualSpacing/>
        <w:rPr>
          <w:rFonts w:ascii="黑体" w:hAnsi="黑体" w:eastAsia="黑体" w:cs="宋体"/>
          <w:kern w:val="0"/>
          <w:sz w:val="32"/>
          <w:szCs w:val="32"/>
        </w:rPr>
      </w:pPr>
      <w:r>
        <w:rPr>
          <w:rFonts w:hint="eastAsia" w:ascii="黑体" w:hAnsi="黑体" w:eastAsia="黑体" w:cs="宋体"/>
          <w:kern w:val="0"/>
          <w:sz w:val="32"/>
          <w:szCs w:val="32"/>
        </w:rPr>
        <w:t>五、部门（单位）一般公共预算财政拨款“三公”经费、培训费、会议费等情况</w:t>
      </w:r>
    </w:p>
    <w:p w14:paraId="6CC67525">
      <w:pPr>
        <w:adjustRightInd w:val="0"/>
        <w:snapToGrid w:val="0"/>
        <w:spacing w:line="640" w:lineRule="exact"/>
        <w:ind w:firstLine="643" w:firstLineChars="200"/>
        <w:contextualSpacing/>
        <w:rPr>
          <w:rFonts w:ascii="仿宋_GB2312" w:hAnsi="仿宋" w:eastAsia="仿宋_GB2312"/>
          <w:sz w:val="32"/>
          <w:szCs w:val="32"/>
        </w:rPr>
      </w:pPr>
      <w:r>
        <w:rPr>
          <w:rFonts w:hint="eastAsia" w:ascii="楷体_GB2312" w:hAnsi="楷体" w:eastAsia="楷体_GB2312" w:cs="宋体"/>
          <w:b/>
          <w:bCs/>
          <w:kern w:val="0"/>
          <w:sz w:val="32"/>
          <w:szCs w:val="32"/>
        </w:rPr>
        <w:t>（一）“三公”经费情况说明</w:t>
      </w:r>
    </w:p>
    <w:p w14:paraId="3C18502F">
      <w:pPr>
        <w:adjustRightInd w:val="0"/>
        <w:snapToGrid w:val="0"/>
        <w:spacing w:line="640" w:lineRule="exact"/>
        <w:ind w:firstLine="643" w:firstLineChars="200"/>
        <w:contextualSpacing/>
        <w:rPr>
          <w:rFonts w:ascii="楷体_GB2312" w:hAnsi="楷体" w:eastAsia="楷体_GB2312" w:cs="宋体"/>
          <w:b/>
          <w:bCs/>
          <w:kern w:val="0"/>
          <w:sz w:val="32"/>
          <w:szCs w:val="32"/>
        </w:rPr>
      </w:pPr>
      <w:r>
        <w:rPr>
          <w:rFonts w:hint="eastAsia" w:ascii="楷体_GB2312" w:hAnsi="楷体" w:eastAsia="楷体_GB2312" w:cs="宋体"/>
          <w:b/>
          <w:bCs/>
          <w:kern w:val="0"/>
          <w:sz w:val="32"/>
          <w:szCs w:val="32"/>
        </w:rPr>
        <w:t>（二）培训费预算情况说明</w:t>
      </w:r>
    </w:p>
    <w:p w14:paraId="27BFF129">
      <w:pPr>
        <w:adjustRightInd w:val="0"/>
        <w:snapToGrid w:val="0"/>
        <w:spacing w:line="640" w:lineRule="exact"/>
        <w:ind w:firstLine="643" w:firstLineChars="200"/>
        <w:contextualSpacing/>
        <w:rPr>
          <w:rFonts w:ascii="楷体_GB2312" w:hAnsi="楷体" w:eastAsia="楷体_GB2312" w:cs="宋体"/>
          <w:b/>
          <w:bCs/>
          <w:kern w:val="0"/>
          <w:sz w:val="32"/>
          <w:szCs w:val="32"/>
        </w:rPr>
      </w:pPr>
      <w:r>
        <w:rPr>
          <w:rFonts w:hint="eastAsia" w:ascii="楷体_GB2312" w:hAnsi="楷体" w:eastAsia="楷体_GB2312" w:cs="宋体"/>
          <w:b/>
          <w:bCs/>
          <w:kern w:val="0"/>
          <w:sz w:val="32"/>
          <w:szCs w:val="32"/>
        </w:rPr>
        <w:t>（三）会议费预算情况说明</w:t>
      </w:r>
    </w:p>
    <w:p w14:paraId="7D35BB7E">
      <w:pPr>
        <w:adjustRightInd w:val="0"/>
        <w:snapToGrid w:val="0"/>
        <w:spacing w:line="640" w:lineRule="exact"/>
        <w:ind w:firstLine="640" w:firstLineChars="200"/>
        <w:contextualSpacing/>
        <w:rPr>
          <w:rFonts w:ascii="黑体" w:hAnsi="黑体" w:eastAsia="黑体" w:cs="宋体"/>
          <w:kern w:val="0"/>
          <w:sz w:val="32"/>
          <w:szCs w:val="32"/>
        </w:rPr>
      </w:pPr>
      <w:bookmarkStart w:id="0" w:name="_GoBack"/>
      <w:bookmarkEnd w:id="0"/>
      <w:r>
        <w:rPr>
          <w:rFonts w:hint="eastAsia" w:ascii="黑体" w:hAnsi="黑体" w:eastAsia="黑体" w:cs="宋体"/>
          <w:kern w:val="0"/>
          <w:sz w:val="32"/>
          <w:szCs w:val="32"/>
        </w:rPr>
        <w:t>六、一般公共预算财政拨款机关运行经费情况</w:t>
      </w:r>
    </w:p>
    <w:p w14:paraId="2A2D2CF6">
      <w:pPr>
        <w:widowControl/>
        <w:adjustRightInd w:val="0"/>
        <w:snapToGrid w:val="0"/>
        <w:spacing w:line="640" w:lineRule="exact"/>
        <w:ind w:firstLine="640" w:firstLineChars="200"/>
        <w:contextualSpacing/>
        <w:jc w:val="left"/>
        <w:rPr>
          <w:rFonts w:ascii="仿宋_GB2312" w:hAnsi="仿宋" w:eastAsia="仿宋_GB2312"/>
          <w:sz w:val="32"/>
          <w:szCs w:val="32"/>
        </w:rPr>
      </w:pPr>
      <w:r>
        <w:rPr>
          <w:rFonts w:hint="eastAsia" w:ascii="仿宋_GB2312" w:hAnsi="仿宋" w:eastAsia="仿宋_GB2312"/>
          <w:sz w:val="32"/>
          <w:szCs w:val="32"/>
        </w:rPr>
        <w:t>机关运行经费万元，较</w:t>
      </w:r>
      <w:r>
        <w:rPr>
          <w:rFonts w:hint="eastAsia" w:ascii="仿宋_GB2312" w:hAnsi="仿宋" w:eastAsia="仿宋_GB2312"/>
          <w:sz w:val="32"/>
          <w:szCs w:val="32"/>
          <w:lang w:eastAsia="zh-CN"/>
        </w:rPr>
        <w:t>202</w:t>
      </w:r>
      <w:r>
        <w:rPr>
          <w:rFonts w:hint="eastAsia" w:ascii="仿宋_GB2312" w:hAnsi="仿宋" w:eastAsia="仿宋_GB2312"/>
          <w:sz w:val="32"/>
          <w:szCs w:val="32"/>
          <w:lang w:val="en-US" w:eastAsia="zh-CN"/>
        </w:rPr>
        <w:t>5</w:t>
      </w:r>
      <w:r>
        <w:rPr>
          <w:rFonts w:hint="eastAsia" w:ascii="仿宋_GB2312" w:hAnsi="仿宋" w:eastAsia="仿宋_GB2312"/>
          <w:sz w:val="32"/>
          <w:szCs w:val="32"/>
        </w:rPr>
        <w:t>年预算增加（减少）万元，增长（下降）%，增长（下降）的主要原因是。</w:t>
      </w:r>
    </w:p>
    <w:p w14:paraId="57B4FFAE">
      <w:pPr>
        <w:adjustRightInd w:val="0"/>
        <w:snapToGrid w:val="0"/>
        <w:spacing w:line="640" w:lineRule="exact"/>
        <w:ind w:firstLine="640" w:firstLineChars="200"/>
        <w:contextualSpacing/>
        <w:rPr>
          <w:rFonts w:ascii="黑体" w:hAnsi="黑体" w:eastAsia="黑体" w:cs="宋体"/>
          <w:kern w:val="0"/>
          <w:sz w:val="32"/>
          <w:szCs w:val="32"/>
        </w:rPr>
      </w:pPr>
      <w:r>
        <w:rPr>
          <w:rFonts w:hint="eastAsia" w:ascii="黑体" w:hAnsi="黑体" w:eastAsia="黑体" w:cs="宋体"/>
          <w:kern w:val="0"/>
          <w:sz w:val="32"/>
          <w:szCs w:val="32"/>
        </w:rPr>
        <w:t>七、政府采购安排情况</w:t>
      </w:r>
    </w:p>
    <w:p w14:paraId="73FD1C8A">
      <w:pPr>
        <w:widowControl/>
        <w:adjustRightInd w:val="0"/>
        <w:snapToGrid w:val="0"/>
        <w:spacing w:line="640" w:lineRule="exact"/>
        <w:ind w:firstLine="640" w:firstLineChars="200"/>
        <w:contextualSpacing/>
        <w:jc w:val="left"/>
        <w:rPr>
          <w:rFonts w:ascii="仿宋_GB2312" w:hAnsi="仿宋" w:eastAsia="仿宋_GB2312"/>
          <w:sz w:val="32"/>
          <w:szCs w:val="32"/>
        </w:rPr>
      </w:pPr>
      <w:r>
        <w:rPr>
          <w:rFonts w:hint="eastAsia" w:ascii="仿宋_GB2312" w:hAnsi="仿宋" w:eastAsia="仿宋_GB2312"/>
          <w:sz w:val="32"/>
          <w:szCs w:val="32"/>
          <w:lang w:eastAsia="zh-CN"/>
        </w:rPr>
        <w:t>20</w:t>
      </w:r>
      <w:r>
        <w:rPr>
          <w:rFonts w:hint="eastAsia" w:ascii="仿宋_GB2312" w:hAnsi="仿宋" w:eastAsia="仿宋_GB2312"/>
          <w:sz w:val="32"/>
          <w:szCs w:val="32"/>
          <w:lang w:val="en-US" w:eastAsia="zh-CN"/>
        </w:rPr>
        <w:t>26</w:t>
      </w:r>
      <w:r>
        <w:rPr>
          <w:rFonts w:hint="eastAsia" w:ascii="仿宋_GB2312" w:hAnsi="仿宋" w:eastAsia="仿宋_GB2312"/>
          <w:sz w:val="32"/>
          <w:szCs w:val="32"/>
        </w:rPr>
        <w:t>年，部门（单位）政府采购预算总额万元，其中：政府采购货物预算万元，政府采购工程预算万元，政府采购服务预算万元。</w:t>
      </w:r>
    </w:p>
    <w:p w14:paraId="51697EF6">
      <w:pPr>
        <w:widowControl/>
        <w:adjustRightInd w:val="0"/>
        <w:snapToGrid w:val="0"/>
        <w:spacing w:line="640" w:lineRule="exact"/>
        <w:ind w:firstLine="640" w:firstLineChars="200"/>
        <w:contextualSpacing/>
        <w:jc w:val="left"/>
        <w:rPr>
          <w:rFonts w:ascii="仿宋_GB2312" w:hAnsi="仿宋" w:eastAsia="仿宋_GB2312"/>
          <w:sz w:val="32"/>
          <w:szCs w:val="32"/>
        </w:rPr>
      </w:pPr>
      <w:r>
        <w:rPr>
          <w:rFonts w:hint="eastAsia" w:ascii="仿宋_GB2312" w:hAnsi="仿宋" w:eastAsia="仿宋_GB2312"/>
          <w:sz w:val="32"/>
          <w:szCs w:val="32"/>
          <w:lang w:eastAsia="zh-CN"/>
        </w:rPr>
        <w:t>20</w:t>
      </w:r>
      <w:r>
        <w:rPr>
          <w:rFonts w:hint="eastAsia" w:ascii="仿宋_GB2312" w:hAnsi="仿宋" w:eastAsia="仿宋_GB2312"/>
          <w:sz w:val="32"/>
          <w:szCs w:val="32"/>
          <w:lang w:val="en-US" w:eastAsia="zh-CN"/>
        </w:rPr>
        <w:t>26</w:t>
      </w:r>
      <w:r>
        <w:rPr>
          <w:rFonts w:hint="eastAsia" w:ascii="仿宋_GB2312" w:hAnsi="仿宋" w:eastAsia="仿宋_GB2312"/>
          <w:sz w:val="32"/>
          <w:szCs w:val="32"/>
        </w:rPr>
        <w:t>年，部门（单位）面向中小企业预留政府采购项目预算金额万元，小微企业预留政府采购项目预算金额万元。</w:t>
      </w:r>
    </w:p>
    <w:p w14:paraId="6A193527">
      <w:pPr>
        <w:adjustRightInd w:val="0"/>
        <w:snapToGrid w:val="0"/>
        <w:spacing w:line="640" w:lineRule="exact"/>
        <w:ind w:firstLine="640" w:firstLineChars="200"/>
        <w:contextualSpacing/>
        <w:rPr>
          <w:rFonts w:ascii="黑体" w:hAnsi="黑体" w:eastAsia="黑体" w:cs="宋体"/>
          <w:kern w:val="0"/>
          <w:sz w:val="32"/>
          <w:szCs w:val="32"/>
        </w:rPr>
      </w:pPr>
      <w:r>
        <w:rPr>
          <w:rFonts w:hint="eastAsia" w:ascii="黑体" w:hAnsi="黑体" w:eastAsia="黑体" w:cs="宋体"/>
          <w:kern w:val="0"/>
          <w:sz w:val="32"/>
          <w:szCs w:val="32"/>
        </w:rPr>
        <w:t>八、国有资产占用情况</w:t>
      </w:r>
    </w:p>
    <w:p w14:paraId="7051FECE">
      <w:pPr>
        <w:widowControl/>
        <w:adjustRightInd w:val="0"/>
        <w:snapToGrid w:val="0"/>
        <w:spacing w:line="640" w:lineRule="exact"/>
        <w:ind w:firstLine="640" w:firstLineChars="200"/>
        <w:contextualSpacing/>
        <w:jc w:val="left"/>
        <w:rPr>
          <w:rFonts w:ascii="仿宋_GB2312" w:hAnsi="仿宋" w:eastAsia="仿宋_GB2312"/>
          <w:sz w:val="32"/>
          <w:szCs w:val="32"/>
        </w:rPr>
      </w:pPr>
      <w:r>
        <w:rPr>
          <w:rFonts w:hint="eastAsia" w:ascii="仿宋_GB2312" w:hAnsi="仿宋" w:eastAsia="仿宋_GB2312"/>
          <w:sz w:val="32"/>
          <w:szCs w:val="32"/>
        </w:rPr>
        <w:t>上年末固定资产金额为万元。其中：办公用房平方米，价值万元。预算部门（单位）共有公务用车辆，价值万元。单价20万元以上的设备价值万元。</w:t>
      </w:r>
      <w:r>
        <w:rPr>
          <w:rFonts w:hint="eastAsia" w:ascii="仿宋_GB2312" w:hAnsi="仿宋" w:eastAsia="仿宋_GB2312"/>
          <w:sz w:val="32"/>
          <w:szCs w:val="32"/>
          <w:lang w:eastAsia="zh-CN"/>
        </w:rPr>
        <w:t>20</w:t>
      </w:r>
      <w:r>
        <w:rPr>
          <w:rFonts w:hint="eastAsia" w:ascii="仿宋_GB2312" w:hAnsi="仿宋" w:eastAsia="仿宋_GB2312"/>
          <w:sz w:val="32"/>
          <w:szCs w:val="32"/>
          <w:lang w:val="en-US" w:eastAsia="zh-CN"/>
        </w:rPr>
        <w:t>26</w:t>
      </w:r>
      <w:r>
        <w:rPr>
          <w:rFonts w:hint="eastAsia" w:ascii="仿宋_GB2312" w:hAnsi="仿宋" w:eastAsia="仿宋_GB2312"/>
          <w:sz w:val="32"/>
          <w:szCs w:val="32"/>
        </w:rPr>
        <w:t>年拟采购固定资产约万元。</w:t>
      </w:r>
    </w:p>
    <w:p w14:paraId="4AAB33A2">
      <w:pPr>
        <w:adjustRightInd w:val="0"/>
        <w:snapToGrid w:val="0"/>
        <w:spacing w:line="640" w:lineRule="exact"/>
        <w:ind w:firstLine="640" w:firstLineChars="200"/>
        <w:contextualSpacing/>
        <w:rPr>
          <w:rFonts w:ascii="黑体" w:hAnsi="黑体" w:eastAsia="黑体" w:cs="宋体"/>
          <w:kern w:val="0"/>
          <w:sz w:val="32"/>
          <w:szCs w:val="32"/>
        </w:rPr>
      </w:pPr>
      <w:r>
        <w:rPr>
          <w:rFonts w:hint="eastAsia" w:ascii="黑体" w:hAnsi="黑体" w:eastAsia="黑体" w:cs="宋体"/>
          <w:kern w:val="0"/>
          <w:sz w:val="32"/>
          <w:szCs w:val="32"/>
        </w:rPr>
        <w:t>九、其他重要事项情况说明</w:t>
      </w:r>
    </w:p>
    <w:p w14:paraId="4B4945E4">
      <w:pPr>
        <w:adjustRightInd w:val="0"/>
        <w:snapToGrid w:val="0"/>
        <w:spacing w:line="640" w:lineRule="exact"/>
        <w:ind w:firstLine="643" w:firstLineChars="200"/>
        <w:contextualSpacing/>
        <w:rPr>
          <w:rFonts w:ascii="楷体_GB2312" w:hAnsi="楷体" w:eastAsia="楷体_GB2312" w:cs="宋体"/>
          <w:b/>
          <w:bCs/>
          <w:kern w:val="0"/>
          <w:sz w:val="32"/>
          <w:szCs w:val="32"/>
        </w:rPr>
      </w:pPr>
      <w:r>
        <w:rPr>
          <w:rFonts w:hint="eastAsia" w:ascii="楷体_GB2312" w:hAnsi="楷体" w:eastAsia="楷体_GB2312" w:cs="宋体"/>
          <w:b/>
          <w:bCs/>
          <w:kern w:val="0"/>
          <w:sz w:val="32"/>
          <w:szCs w:val="32"/>
        </w:rPr>
        <w:t>（一）政府性基金预算支出情况</w:t>
      </w:r>
    </w:p>
    <w:p w14:paraId="08034658">
      <w:pPr>
        <w:adjustRightInd w:val="0"/>
        <w:snapToGrid w:val="0"/>
        <w:spacing w:line="640" w:lineRule="exact"/>
        <w:ind w:firstLine="640" w:firstLineChars="200"/>
        <w:contextualSpacing/>
        <w:rPr>
          <w:rFonts w:hint="eastAsia" w:ascii="仿宋_GB2312" w:hAnsi="仿宋" w:eastAsia="仿宋_GB2312"/>
          <w:sz w:val="32"/>
          <w:szCs w:val="32"/>
        </w:rPr>
      </w:pPr>
      <w:r>
        <w:rPr>
          <w:rFonts w:hint="eastAsia" w:ascii="仿宋_GB2312" w:hAnsi="仿宋" w:eastAsia="仿宋_GB2312"/>
          <w:sz w:val="32"/>
          <w:szCs w:val="32"/>
        </w:rPr>
        <w:t>未安排预算，政府性基金预算支出情况表为空表。</w:t>
      </w:r>
    </w:p>
    <w:p w14:paraId="792B6F08">
      <w:pPr>
        <w:adjustRightInd w:val="0"/>
        <w:snapToGrid w:val="0"/>
        <w:spacing w:line="640" w:lineRule="exact"/>
        <w:ind w:firstLine="643" w:firstLineChars="200"/>
        <w:contextualSpacing/>
        <w:rPr>
          <w:rFonts w:ascii="楷体_GB2312" w:hAnsi="楷体" w:eastAsia="楷体_GB2312" w:cs="宋体"/>
          <w:b/>
          <w:bCs/>
          <w:kern w:val="0"/>
          <w:sz w:val="32"/>
          <w:szCs w:val="32"/>
        </w:rPr>
      </w:pPr>
      <w:r>
        <w:rPr>
          <w:rFonts w:hint="eastAsia" w:ascii="楷体_GB2312" w:hAnsi="楷体" w:eastAsia="楷体_GB2312" w:cs="宋体"/>
          <w:b/>
          <w:bCs/>
          <w:kern w:val="0"/>
          <w:sz w:val="32"/>
          <w:szCs w:val="32"/>
        </w:rPr>
        <w:t>（二）非税收入情况</w:t>
      </w:r>
    </w:p>
    <w:p w14:paraId="54B7621E">
      <w:pPr>
        <w:adjustRightInd w:val="0"/>
        <w:snapToGrid w:val="0"/>
        <w:spacing w:line="640" w:lineRule="exact"/>
        <w:ind w:firstLine="640" w:firstLineChars="200"/>
        <w:contextualSpacing/>
        <w:rPr>
          <w:rFonts w:hint="eastAsia" w:ascii="仿宋_GB2312" w:hAnsi="仿宋" w:eastAsia="仿宋_GB2312"/>
          <w:sz w:val="32"/>
          <w:szCs w:val="32"/>
        </w:rPr>
      </w:pPr>
      <w:r>
        <w:rPr>
          <w:rFonts w:hint="eastAsia" w:ascii="仿宋_GB2312" w:hAnsi="仿宋" w:eastAsia="仿宋_GB2312"/>
          <w:sz w:val="32"/>
          <w:szCs w:val="32"/>
        </w:rPr>
        <w:t>本部门/单位</w:t>
      </w:r>
      <w:r>
        <w:rPr>
          <w:rFonts w:hint="eastAsia" w:ascii="仿宋_GB2312" w:hAnsi="仿宋" w:eastAsia="仿宋_GB2312"/>
          <w:sz w:val="32"/>
          <w:szCs w:val="32"/>
          <w:lang w:eastAsia="zh-CN"/>
        </w:rPr>
        <w:t>202</w:t>
      </w:r>
      <w:r>
        <w:rPr>
          <w:rFonts w:hint="eastAsia" w:ascii="仿宋_GB2312" w:hAnsi="仿宋" w:eastAsia="仿宋_GB2312"/>
          <w:sz w:val="32"/>
          <w:szCs w:val="32"/>
          <w:lang w:val="en-US" w:eastAsia="zh-CN"/>
        </w:rPr>
        <w:t>6</w:t>
      </w:r>
      <w:r>
        <w:rPr>
          <w:rFonts w:hint="eastAsia" w:ascii="仿宋_GB2312" w:hAnsi="仿宋" w:eastAsia="仿宋_GB2312"/>
          <w:sz w:val="32"/>
          <w:szCs w:val="32"/>
        </w:rPr>
        <w:t>年</w:t>
      </w:r>
      <w:r>
        <w:rPr>
          <w:rFonts w:ascii="仿宋_GB2312" w:hAnsi="仿宋" w:eastAsia="仿宋_GB2312"/>
          <w:sz w:val="32"/>
          <w:szCs w:val="32"/>
        </w:rPr>
        <w:t>无非税收入</w:t>
      </w:r>
      <w:r>
        <w:rPr>
          <w:rFonts w:hint="eastAsia" w:ascii="仿宋_GB2312" w:hAnsi="仿宋" w:eastAsia="仿宋_GB2312"/>
          <w:sz w:val="32"/>
          <w:szCs w:val="32"/>
        </w:rPr>
        <w:t>。</w:t>
      </w:r>
    </w:p>
    <w:p w14:paraId="09CA2645">
      <w:pPr>
        <w:adjustRightInd w:val="0"/>
        <w:snapToGrid w:val="0"/>
        <w:spacing w:line="640" w:lineRule="exact"/>
        <w:ind w:firstLine="643" w:firstLineChars="200"/>
        <w:contextualSpacing/>
        <w:rPr>
          <w:rFonts w:ascii="楷体_GB2312" w:hAnsi="楷体" w:eastAsia="楷体_GB2312" w:cs="宋体"/>
          <w:b/>
          <w:bCs/>
          <w:kern w:val="0"/>
          <w:sz w:val="32"/>
          <w:szCs w:val="32"/>
        </w:rPr>
      </w:pPr>
      <w:r>
        <w:rPr>
          <w:rFonts w:hint="eastAsia" w:ascii="楷体_GB2312" w:hAnsi="楷体" w:eastAsia="楷体_GB2312" w:cs="宋体"/>
          <w:b/>
          <w:bCs/>
          <w:kern w:val="0"/>
          <w:sz w:val="32"/>
          <w:szCs w:val="32"/>
        </w:rPr>
        <w:t>（三）重点项目情况</w:t>
      </w:r>
    </w:p>
    <w:p w14:paraId="6B23741E">
      <w:pPr>
        <w:widowControl/>
        <w:adjustRightInd w:val="0"/>
        <w:snapToGrid w:val="0"/>
        <w:spacing w:line="640" w:lineRule="exact"/>
        <w:ind w:firstLine="640" w:firstLineChars="200"/>
        <w:contextualSpacing/>
        <w:jc w:val="left"/>
        <w:rPr>
          <w:rFonts w:ascii="仿宋_GB2312" w:hAnsi="仿宋" w:eastAsia="仿宋_GB2312"/>
          <w:sz w:val="32"/>
          <w:szCs w:val="32"/>
        </w:rPr>
      </w:pPr>
      <w:r>
        <w:rPr>
          <w:rFonts w:hint="eastAsia" w:ascii="仿宋_GB2312" w:hAnsi="仿宋" w:eastAsia="仿宋_GB2312"/>
          <w:sz w:val="32"/>
          <w:szCs w:val="32"/>
        </w:rPr>
        <w:t>项目名称：中小微企业及园区发展经费</w:t>
      </w:r>
    </w:p>
    <w:p w14:paraId="32080736">
      <w:pPr>
        <w:widowControl/>
        <w:adjustRightInd w:val="0"/>
        <w:snapToGrid w:val="0"/>
        <w:spacing w:line="640" w:lineRule="exact"/>
        <w:ind w:firstLine="640" w:firstLineChars="200"/>
        <w:contextualSpacing/>
        <w:jc w:val="left"/>
        <w:rPr>
          <w:rFonts w:ascii="仿宋_GB2312" w:hAnsi="仿宋" w:eastAsia="仿宋_GB2312"/>
          <w:sz w:val="32"/>
          <w:szCs w:val="32"/>
        </w:rPr>
      </w:pPr>
      <w:r>
        <w:rPr>
          <w:rFonts w:hint="eastAsia" w:ascii="仿宋_GB2312" w:hAnsi="仿宋" w:eastAsia="仿宋_GB2312"/>
          <w:sz w:val="32"/>
          <w:szCs w:val="32"/>
        </w:rPr>
        <w:t>1、项目概况：对集中区内11户企业（涉及10宗土地）低效用地进行清退。包括聘请法律团队提供法律服务5万元；聘请第三方评估机构对部分企业不动产资产进行评估等5万元；用于园区基建项目前期、公共设施维护、产业发展奖补、科技研发创新、人才培育引进、招商宣传推广等27万元。保障园区工作正常运转，用于园区基建项目、设施维护、产业发展、科技研发等，保障园区工作顺利推进。</w:t>
      </w:r>
    </w:p>
    <w:p w14:paraId="4A3CDD77">
      <w:pPr>
        <w:widowControl/>
        <w:adjustRightInd w:val="0"/>
        <w:snapToGrid w:val="0"/>
        <w:spacing w:line="640" w:lineRule="exact"/>
        <w:ind w:firstLine="640" w:firstLineChars="200"/>
        <w:contextualSpacing/>
        <w:jc w:val="left"/>
        <w:rPr>
          <w:rFonts w:hint="eastAsia" w:ascii="仿宋_GB2312" w:hAnsi="仿宋" w:eastAsia="仿宋_GB2312"/>
          <w:sz w:val="32"/>
          <w:szCs w:val="32"/>
          <w:lang w:eastAsia="zh-CN"/>
        </w:rPr>
      </w:pPr>
      <w:r>
        <w:rPr>
          <w:rFonts w:hint="eastAsia" w:ascii="仿宋_GB2312" w:hAnsi="仿宋" w:eastAsia="仿宋_GB2312"/>
          <w:sz w:val="32"/>
          <w:szCs w:val="32"/>
        </w:rPr>
        <w:t>2、立项依据：</w:t>
      </w:r>
      <w:r>
        <w:rPr>
          <w:rFonts w:hint="eastAsia" w:ascii="仿宋_GB2312" w:hAnsi="仿宋" w:eastAsia="仿宋_GB2312"/>
          <w:sz w:val="32"/>
          <w:szCs w:val="32"/>
          <w:lang w:eastAsia="zh-CN"/>
        </w:rPr>
        <w:t>无</w:t>
      </w:r>
    </w:p>
    <w:p w14:paraId="4926F7A2">
      <w:pPr>
        <w:widowControl/>
        <w:adjustRightInd w:val="0"/>
        <w:snapToGrid w:val="0"/>
        <w:spacing w:line="640" w:lineRule="exact"/>
        <w:ind w:firstLine="640" w:firstLineChars="200"/>
        <w:contextualSpacing/>
        <w:jc w:val="left"/>
        <w:rPr>
          <w:rFonts w:hint="eastAsia" w:ascii="仿宋_GB2312" w:hAnsi="仿宋" w:eastAsia="仿宋_GB2312"/>
          <w:sz w:val="32"/>
          <w:szCs w:val="32"/>
          <w:lang w:eastAsia="zh-CN"/>
        </w:rPr>
      </w:pPr>
      <w:r>
        <w:rPr>
          <w:rFonts w:hint="eastAsia" w:ascii="仿宋_GB2312" w:hAnsi="仿宋" w:eastAsia="仿宋_GB2312"/>
          <w:sz w:val="32"/>
          <w:szCs w:val="32"/>
        </w:rPr>
        <w:t>3、实施主体：</w:t>
      </w:r>
      <w:r>
        <w:rPr>
          <w:rFonts w:hint="eastAsia" w:ascii="仿宋_GB2312" w:hAnsi="仿宋" w:eastAsia="仿宋_GB2312"/>
          <w:sz w:val="32"/>
          <w:szCs w:val="32"/>
          <w:lang w:eastAsia="zh-CN"/>
        </w:rPr>
        <w:t>华池悦乐工业集中区</w:t>
      </w:r>
    </w:p>
    <w:p w14:paraId="4AB6895E">
      <w:pPr>
        <w:widowControl/>
        <w:adjustRightInd w:val="0"/>
        <w:snapToGrid w:val="0"/>
        <w:spacing w:line="640" w:lineRule="exact"/>
        <w:ind w:firstLine="640" w:firstLineChars="200"/>
        <w:contextualSpacing/>
        <w:jc w:val="left"/>
        <w:rPr>
          <w:rFonts w:hint="eastAsia" w:ascii="仿宋_GB2312" w:hAnsi="仿宋" w:eastAsia="仿宋_GB2312"/>
          <w:sz w:val="32"/>
          <w:szCs w:val="32"/>
          <w:lang w:val="en-US" w:eastAsia="zh-CN"/>
        </w:rPr>
      </w:pPr>
      <w:r>
        <w:rPr>
          <w:rFonts w:hint="eastAsia" w:ascii="仿宋_GB2312" w:hAnsi="仿宋" w:eastAsia="仿宋_GB2312"/>
          <w:sz w:val="32"/>
          <w:szCs w:val="32"/>
        </w:rPr>
        <w:t>4、实施周期：</w:t>
      </w:r>
      <w:r>
        <w:rPr>
          <w:rFonts w:hint="eastAsia" w:ascii="仿宋_GB2312" w:hAnsi="仿宋" w:eastAsia="仿宋_GB2312"/>
          <w:sz w:val="32"/>
          <w:szCs w:val="32"/>
          <w:lang w:val="en-US" w:eastAsia="zh-CN"/>
        </w:rPr>
        <w:t>1年</w:t>
      </w:r>
    </w:p>
    <w:p w14:paraId="75155F7A">
      <w:pPr>
        <w:widowControl/>
        <w:adjustRightInd w:val="0"/>
        <w:snapToGrid w:val="0"/>
        <w:spacing w:line="640" w:lineRule="exact"/>
        <w:ind w:firstLine="640" w:firstLineChars="200"/>
        <w:contextualSpacing/>
        <w:jc w:val="left"/>
        <w:rPr>
          <w:rFonts w:ascii="仿宋_GB2312" w:hAnsi="仿宋" w:eastAsia="仿宋_GB2312"/>
          <w:sz w:val="32"/>
          <w:szCs w:val="32"/>
        </w:rPr>
      </w:pPr>
      <w:r>
        <w:rPr>
          <w:rFonts w:hint="eastAsia" w:ascii="仿宋_GB2312" w:hAnsi="仿宋" w:eastAsia="仿宋_GB2312"/>
          <w:sz w:val="32"/>
          <w:szCs w:val="32"/>
        </w:rPr>
        <w:t>5、实施计划：按照要求及时支付发展费用，推动园区建设</w:t>
      </w:r>
    </w:p>
    <w:p w14:paraId="7B870A66">
      <w:pPr>
        <w:widowControl/>
        <w:adjustRightInd w:val="0"/>
        <w:snapToGrid w:val="0"/>
        <w:spacing w:line="640" w:lineRule="exact"/>
        <w:ind w:firstLine="640" w:firstLineChars="200"/>
        <w:contextualSpacing/>
        <w:jc w:val="left"/>
        <w:rPr>
          <w:rFonts w:hint="default" w:ascii="仿宋_GB2312" w:hAnsi="仿宋" w:eastAsia="仿宋_GB2312"/>
          <w:sz w:val="32"/>
          <w:szCs w:val="32"/>
          <w:lang w:val="en-US" w:eastAsia="zh-CN"/>
        </w:rPr>
      </w:pPr>
      <w:r>
        <w:rPr>
          <w:rFonts w:hint="eastAsia" w:ascii="仿宋_GB2312" w:hAnsi="仿宋" w:eastAsia="仿宋_GB2312"/>
          <w:sz w:val="32"/>
          <w:szCs w:val="32"/>
        </w:rPr>
        <w:t>6、年度预算安排：</w:t>
      </w:r>
      <w:r>
        <w:rPr>
          <w:rFonts w:hint="eastAsia" w:ascii="仿宋_GB2312" w:hAnsi="仿宋" w:eastAsia="仿宋_GB2312"/>
          <w:sz w:val="32"/>
          <w:szCs w:val="32"/>
          <w:lang w:val="en-US" w:eastAsia="zh-CN"/>
        </w:rPr>
        <w:t>80万元</w:t>
      </w:r>
    </w:p>
    <w:p w14:paraId="472FB6D7">
      <w:pPr>
        <w:widowControl/>
        <w:adjustRightInd w:val="0"/>
        <w:snapToGrid w:val="0"/>
        <w:spacing w:line="640" w:lineRule="exact"/>
        <w:ind w:firstLine="640" w:firstLineChars="200"/>
        <w:contextualSpacing/>
        <w:jc w:val="left"/>
        <w:rPr>
          <w:rFonts w:hint="default" w:ascii="仿宋_GB2312" w:hAnsi="仿宋" w:eastAsia="仿宋_GB2312"/>
          <w:sz w:val="32"/>
          <w:szCs w:val="32"/>
          <w:lang w:val="en-US" w:eastAsia="zh-CN"/>
        </w:rPr>
      </w:pPr>
      <w:r>
        <w:rPr>
          <w:rFonts w:hint="eastAsia" w:ascii="仿宋_GB2312" w:hAnsi="仿宋" w:eastAsia="仿宋_GB2312"/>
          <w:sz w:val="32"/>
          <w:szCs w:val="32"/>
        </w:rPr>
        <w:t>7、预期总体目标：</w:t>
      </w:r>
      <w:r>
        <w:rPr>
          <w:rFonts w:hint="eastAsia" w:ascii="仿宋_GB2312" w:hAnsi="仿宋" w:eastAsia="仿宋_GB2312"/>
          <w:sz w:val="32"/>
          <w:szCs w:val="32"/>
          <w:lang w:val="en-US" w:eastAsia="zh-CN"/>
        </w:rPr>
        <w:t>80万元</w:t>
      </w:r>
    </w:p>
    <w:p w14:paraId="51BD7EBF">
      <w:pPr>
        <w:adjustRightInd w:val="0"/>
        <w:snapToGrid w:val="0"/>
        <w:spacing w:line="640" w:lineRule="exact"/>
        <w:ind w:firstLine="643" w:firstLineChars="200"/>
        <w:contextualSpacing/>
        <w:rPr>
          <w:rFonts w:ascii="楷体_GB2312" w:hAnsi="楷体" w:eastAsia="楷体_GB2312" w:cs="宋体"/>
          <w:b/>
          <w:bCs/>
          <w:kern w:val="0"/>
          <w:sz w:val="32"/>
          <w:szCs w:val="32"/>
        </w:rPr>
      </w:pPr>
      <w:r>
        <w:rPr>
          <w:rFonts w:hint="eastAsia" w:ascii="楷体_GB2312" w:hAnsi="楷体" w:eastAsia="楷体_GB2312" w:cs="宋体"/>
          <w:b/>
          <w:bCs/>
          <w:kern w:val="0"/>
          <w:sz w:val="32"/>
          <w:szCs w:val="32"/>
        </w:rPr>
        <w:t>（四）部门管理转移支付情况</w:t>
      </w:r>
    </w:p>
    <w:p w14:paraId="0692F038">
      <w:pPr>
        <w:adjustRightInd w:val="0"/>
        <w:snapToGrid w:val="0"/>
        <w:spacing w:line="640" w:lineRule="exact"/>
        <w:ind w:firstLine="640" w:firstLineChars="200"/>
        <w:contextualSpacing/>
        <w:rPr>
          <w:rFonts w:hint="eastAsia" w:ascii="仿宋_GB2312" w:hAnsi="仿宋" w:eastAsia="仿宋_GB2312"/>
          <w:sz w:val="32"/>
          <w:szCs w:val="32"/>
        </w:rPr>
      </w:pPr>
      <w:r>
        <w:rPr>
          <w:rFonts w:hint="eastAsia" w:ascii="仿宋_GB2312" w:hAnsi="仿宋" w:eastAsia="仿宋_GB2312"/>
          <w:sz w:val="32"/>
          <w:szCs w:val="32"/>
        </w:rPr>
        <w:t>未安排预算，部门/单位管理转移支付表为空表。</w:t>
      </w:r>
    </w:p>
    <w:p w14:paraId="57061121">
      <w:pPr>
        <w:adjustRightInd w:val="0"/>
        <w:snapToGrid w:val="0"/>
        <w:spacing w:line="640" w:lineRule="exact"/>
        <w:ind w:firstLine="643" w:firstLineChars="200"/>
        <w:contextualSpacing/>
        <w:rPr>
          <w:rFonts w:ascii="楷体_GB2312" w:hAnsi="楷体" w:eastAsia="楷体_GB2312" w:cs="宋体"/>
          <w:b/>
          <w:bCs/>
          <w:kern w:val="0"/>
          <w:sz w:val="32"/>
          <w:szCs w:val="32"/>
        </w:rPr>
      </w:pPr>
      <w:r>
        <w:rPr>
          <w:rFonts w:hint="eastAsia" w:ascii="楷体_GB2312" w:hAnsi="楷体" w:eastAsia="楷体_GB2312" w:cs="宋体"/>
          <w:b/>
          <w:bCs/>
          <w:kern w:val="0"/>
          <w:sz w:val="32"/>
          <w:szCs w:val="32"/>
        </w:rPr>
        <w:t>（五）国有资本经营预算支出情况</w:t>
      </w:r>
    </w:p>
    <w:p w14:paraId="1565C8AE">
      <w:pPr>
        <w:widowControl/>
        <w:adjustRightInd w:val="0"/>
        <w:snapToGrid w:val="0"/>
        <w:spacing w:line="640" w:lineRule="exact"/>
        <w:ind w:firstLine="640" w:firstLineChars="200"/>
        <w:contextualSpacing/>
        <w:jc w:val="left"/>
        <w:rPr>
          <w:rFonts w:ascii="仿宋_GB2312" w:hAnsi="楷体" w:eastAsia="仿宋_GB2312"/>
          <w:sz w:val="32"/>
          <w:szCs w:val="32"/>
        </w:rPr>
      </w:pPr>
      <w:r>
        <w:rPr>
          <w:rFonts w:hint="eastAsia" w:ascii="仿宋_GB2312" w:hAnsi="楷体" w:eastAsia="仿宋_GB2312"/>
          <w:sz w:val="32"/>
          <w:szCs w:val="32"/>
        </w:rPr>
        <w:t>未安排预算，国有资本经营预算支出情况表为空表。</w:t>
      </w:r>
    </w:p>
    <w:p w14:paraId="1ED9B130">
      <w:pPr>
        <w:adjustRightInd w:val="0"/>
        <w:snapToGrid w:val="0"/>
        <w:spacing w:line="640" w:lineRule="exact"/>
        <w:ind w:firstLine="640" w:firstLineChars="200"/>
        <w:contextualSpacing/>
        <w:rPr>
          <w:rFonts w:ascii="黑体" w:hAnsi="黑体" w:eastAsia="黑体" w:cs="宋体"/>
          <w:kern w:val="0"/>
          <w:sz w:val="32"/>
          <w:szCs w:val="32"/>
        </w:rPr>
      </w:pPr>
      <w:r>
        <w:rPr>
          <w:rFonts w:hint="eastAsia" w:ascii="黑体" w:hAnsi="黑体" w:eastAsia="黑体" w:cs="宋体"/>
          <w:kern w:val="0"/>
          <w:sz w:val="32"/>
          <w:szCs w:val="32"/>
        </w:rPr>
        <w:t>十、预算绩效管理情况</w:t>
      </w:r>
    </w:p>
    <w:p w14:paraId="1C62EBEC">
      <w:pPr>
        <w:adjustRightInd w:val="0"/>
        <w:snapToGrid w:val="0"/>
        <w:spacing w:line="640" w:lineRule="exact"/>
        <w:ind w:firstLine="643" w:firstLineChars="200"/>
        <w:contextualSpacing/>
        <w:rPr>
          <w:rFonts w:ascii="楷体_GB2312" w:hAnsi="楷体" w:eastAsia="楷体_GB2312" w:cs="宋体"/>
          <w:b/>
          <w:bCs/>
          <w:kern w:val="0"/>
          <w:sz w:val="32"/>
          <w:szCs w:val="32"/>
        </w:rPr>
      </w:pPr>
      <w:r>
        <w:rPr>
          <w:rFonts w:hint="eastAsia" w:ascii="楷体_GB2312" w:hAnsi="楷体" w:eastAsia="楷体_GB2312" w:cs="宋体"/>
          <w:b/>
          <w:bCs/>
          <w:kern w:val="0"/>
          <w:sz w:val="32"/>
          <w:szCs w:val="32"/>
        </w:rPr>
        <w:t>（一）</w:t>
      </w:r>
      <w:r>
        <w:rPr>
          <w:rFonts w:hint="eastAsia" w:ascii="楷体_GB2312" w:hAnsi="楷体" w:eastAsia="楷体_GB2312" w:cs="宋体"/>
          <w:b/>
          <w:bCs/>
          <w:kern w:val="0"/>
          <w:sz w:val="32"/>
          <w:szCs w:val="32"/>
          <w:lang w:eastAsia="zh-CN"/>
        </w:rPr>
        <w:t>202</w:t>
      </w:r>
      <w:r>
        <w:rPr>
          <w:rFonts w:hint="eastAsia" w:ascii="楷体_GB2312" w:hAnsi="楷体" w:eastAsia="楷体_GB2312" w:cs="宋体"/>
          <w:b/>
          <w:bCs/>
          <w:kern w:val="0"/>
          <w:sz w:val="32"/>
          <w:szCs w:val="32"/>
          <w:lang w:val="en-US" w:eastAsia="zh-CN"/>
        </w:rPr>
        <w:t>5</w:t>
      </w:r>
      <w:r>
        <w:rPr>
          <w:rFonts w:hint="eastAsia" w:ascii="楷体_GB2312" w:hAnsi="楷体" w:eastAsia="楷体_GB2312" w:cs="宋体"/>
          <w:b/>
          <w:bCs/>
          <w:kern w:val="0"/>
          <w:sz w:val="32"/>
          <w:szCs w:val="32"/>
        </w:rPr>
        <w:t>年预算绩效管理工作情况。</w:t>
      </w:r>
    </w:p>
    <w:p w14:paraId="5B5CCF1F">
      <w:pPr>
        <w:widowControl/>
        <w:adjustRightInd w:val="0"/>
        <w:snapToGrid w:val="0"/>
        <w:spacing w:line="640" w:lineRule="exact"/>
        <w:ind w:firstLine="640" w:firstLineChars="200"/>
        <w:contextualSpacing/>
        <w:jc w:val="left"/>
        <w:rPr>
          <w:rFonts w:ascii="仿宋_GB2312" w:hAnsi="仿宋" w:eastAsia="仿宋_GB2312"/>
          <w:sz w:val="32"/>
          <w:szCs w:val="32"/>
        </w:rPr>
      </w:pPr>
      <w:r>
        <w:rPr>
          <w:rFonts w:hint="eastAsia" w:ascii="仿宋_GB2312" w:hAnsi="仿宋" w:eastAsia="仿宋_GB2312"/>
          <w:sz w:val="32"/>
          <w:szCs w:val="32"/>
        </w:rPr>
        <w:t>按照《中共中央国务院关于全面实施预算绩效管理的意见》《中共甘肃省委甘肃省人民政府关于全面实施预算绩效管理的实施意见》等相关要求，我们将绩效理念和方法融入预算编制、执行、决算和监督全过程认真开展各项工作。</w:t>
      </w:r>
    </w:p>
    <w:p w14:paraId="545CA32B">
      <w:pPr>
        <w:widowControl/>
        <w:adjustRightInd w:val="0"/>
        <w:snapToGrid w:val="0"/>
        <w:spacing w:line="640" w:lineRule="exact"/>
        <w:ind w:firstLine="643" w:firstLineChars="200"/>
        <w:contextualSpacing/>
        <w:jc w:val="left"/>
        <w:rPr>
          <w:rFonts w:ascii="仿宋_GB2312" w:hAnsi="仿宋" w:eastAsia="仿宋_GB2312"/>
          <w:sz w:val="32"/>
          <w:szCs w:val="32"/>
        </w:rPr>
      </w:pPr>
      <w:r>
        <w:rPr>
          <w:rFonts w:hint="eastAsia" w:ascii="仿宋_GB2312" w:hAnsi="仿宋" w:eastAsia="仿宋_GB2312"/>
          <w:b/>
          <w:sz w:val="32"/>
          <w:szCs w:val="32"/>
        </w:rPr>
        <w:t>1.绩效目标管理情况。</w:t>
      </w:r>
      <w:r>
        <w:rPr>
          <w:rFonts w:hint="eastAsia" w:ascii="仿宋_GB2312" w:hAnsi="仿宋" w:eastAsia="仿宋_GB2312"/>
          <w:sz w:val="32"/>
          <w:szCs w:val="32"/>
          <w:lang w:eastAsia="zh-CN"/>
        </w:rPr>
        <w:t>202</w:t>
      </w:r>
      <w:r>
        <w:rPr>
          <w:rFonts w:hint="eastAsia" w:ascii="仿宋_GB2312" w:hAnsi="仿宋" w:eastAsia="仿宋_GB2312"/>
          <w:sz w:val="32"/>
          <w:szCs w:val="32"/>
          <w:lang w:val="en-US" w:eastAsia="zh-CN"/>
        </w:rPr>
        <w:t>5</w:t>
      </w:r>
      <w:r>
        <w:rPr>
          <w:rFonts w:hint="eastAsia" w:ascii="仿宋_GB2312" w:hAnsi="仿宋" w:eastAsia="仿宋_GB2312"/>
          <w:sz w:val="32"/>
          <w:szCs w:val="32"/>
        </w:rPr>
        <w:t>年度，按照“谁申请资金，谁设置目标”的原则，纳入部门预算管理的</w:t>
      </w:r>
      <w:r>
        <w:rPr>
          <w:rFonts w:hint="eastAsia" w:ascii="仿宋_GB2312" w:hAnsi="CIDFont+F6" w:eastAsia="仿宋_GB2312"/>
          <w:color w:val="000000"/>
          <w:sz w:val="32"/>
          <w:szCs w:val="32"/>
        </w:rPr>
        <w:t>部门/单位</w:t>
      </w:r>
      <w:r>
        <w:rPr>
          <w:rFonts w:hint="eastAsia" w:ascii="仿宋_GB2312" w:hAnsi="仿宋" w:eastAsia="仿宋_GB2312"/>
          <w:sz w:val="32"/>
          <w:szCs w:val="32"/>
        </w:rPr>
        <w:t>整体支出和项目绩效目标个，按规定随年度预算一并公开项目</w:t>
      </w:r>
      <w:r>
        <w:rPr>
          <w:rFonts w:hint="eastAsia" w:ascii="仿宋_GB2312" w:hAnsi="仿宋" w:eastAsia="仿宋_GB2312"/>
          <w:sz w:val="32"/>
          <w:szCs w:val="32"/>
          <w:lang w:val="en-US" w:eastAsia="zh-CN"/>
        </w:rPr>
        <w:t>3</w:t>
      </w:r>
      <w:r>
        <w:rPr>
          <w:rFonts w:hint="eastAsia" w:ascii="仿宋_GB2312" w:hAnsi="仿宋" w:eastAsia="仿宋_GB2312"/>
          <w:sz w:val="32"/>
          <w:szCs w:val="32"/>
        </w:rPr>
        <w:t>个，公开率为</w:t>
      </w:r>
      <w:r>
        <w:rPr>
          <w:rFonts w:hint="eastAsia" w:ascii="仿宋_GB2312" w:hAnsi="仿宋" w:eastAsia="仿宋_GB2312"/>
          <w:sz w:val="32"/>
          <w:szCs w:val="32"/>
          <w:lang w:val="en-US" w:eastAsia="zh-CN"/>
        </w:rPr>
        <w:t>100</w:t>
      </w:r>
      <w:r>
        <w:rPr>
          <w:rFonts w:hint="eastAsia" w:ascii="仿宋_GB2312" w:hAnsi="仿宋" w:eastAsia="仿宋_GB2312"/>
          <w:sz w:val="32"/>
          <w:szCs w:val="32"/>
        </w:rPr>
        <w:t>%。</w:t>
      </w:r>
    </w:p>
    <w:p w14:paraId="58BC8623">
      <w:pPr>
        <w:widowControl/>
        <w:adjustRightInd w:val="0"/>
        <w:snapToGrid w:val="0"/>
        <w:spacing w:line="640" w:lineRule="exact"/>
        <w:ind w:firstLine="643" w:firstLineChars="200"/>
        <w:contextualSpacing/>
        <w:jc w:val="left"/>
        <w:rPr>
          <w:rFonts w:ascii="仿宋_GB2312" w:hAnsi="仿宋" w:eastAsia="仿宋_GB2312"/>
          <w:sz w:val="32"/>
          <w:szCs w:val="32"/>
        </w:rPr>
      </w:pPr>
      <w:r>
        <w:rPr>
          <w:rFonts w:hint="eastAsia" w:ascii="仿宋_GB2312" w:hAnsi="仿宋" w:eastAsia="仿宋_GB2312"/>
          <w:b/>
          <w:sz w:val="32"/>
          <w:szCs w:val="32"/>
        </w:rPr>
        <w:t>2.绩效运行监控情况。</w:t>
      </w:r>
      <w:r>
        <w:rPr>
          <w:rFonts w:hint="eastAsia" w:ascii="仿宋_GB2312" w:hAnsi="仿宋" w:eastAsia="仿宋_GB2312"/>
          <w:sz w:val="32"/>
          <w:szCs w:val="32"/>
          <w:lang w:eastAsia="zh-CN"/>
        </w:rPr>
        <w:t>202</w:t>
      </w:r>
      <w:r>
        <w:rPr>
          <w:rFonts w:hint="eastAsia" w:ascii="仿宋_GB2312" w:hAnsi="仿宋" w:eastAsia="仿宋_GB2312"/>
          <w:sz w:val="32"/>
          <w:szCs w:val="32"/>
          <w:lang w:val="en-US" w:eastAsia="zh-CN"/>
        </w:rPr>
        <w:t>5</w:t>
      </w:r>
      <w:r>
        <w:rPr>
          <w:rFonts w:hint="eastAsia" w:ascii="仿宋_GB2312" w:hAnsi="仿宋" w:eastAsia="仿宋_GB2312"/>
          <w:sz w:val="32"/>
          <w:szCs w:val="32"/>
        </w:rPr>
        <w:t>年7月，组织开展1-6月绩效运行监控项目</w:t>
      </w:r>
      <w:r>
        <w:rPr>
          <w:rFonts w:hint="eastAsia" w:ascii="仿宋_GB2312" w:hAnsi="仿宋" w:eastAsia="仿宋_GB2312"/>
          <w:sz w:val="32"/>
          <w:szCs w:val="32"/>
          <w:lang w:val="en-US" w:eastAsia="zh-CN"/>
        </w:rPr>
        <w:t>3</w:t>
      </w:r>
      <w:r>
        <w:rPr>
          <w:rFonts w:hint="eastAsia" w:ascii="仿宋_GB2312" w:hAnsi="仿宋" w:eastAsia="仿宋_GB2312"/>
          <w:sz w:val="32"/>
          <w:szCs w:val="32"/>
        </w:rPr>
        <w:t>个，占本</w:t>
      </w:r>
      <w:r>
        <w:rPr>
          <w:rFonts w:hint="eastAsia" w:ascii="仿宋_GB2312" w:hAnsi="CIDFont+F6" w:eastAsia="仿宋_GB2312"/>
          <w:color w:val="000000"/>
          <w:sz w:val="32"/>
          <w:szCs w:val="32"/>
        </w:rPr>
        <w:t>部门/单位</w:t>
      </w:r>
      <w:r>
        <w:rPr>
          <w:rFonts w:hint="eastAsia" w:ascii="仿宋_GB2312" w:hAnsi="仿宋" w:eastAsia="仿宋_GB2312"/>
          <w:sz w:val="32"/>
          <w:szCs w:val="32"/>
        </w:rPr>
        <w:t>项目的</w:t>
      </w:r>
      <w:r>
        <w:rPr>
          <w:rFonts w:hint="eastAsia" w:ascii="仿宋_GB2312" w:hAnsi="仿宋" w:eastAsia="仿宋_GB2312"/>
          <w:sz w:val="32"/>
          <w:szCs w:val="32"/>
          <w:lang w:val="en-US" w:eastAsia="zh-CN"/>
        </w:rPr>
        <w:t>100</w:t>
      </w:r>
      <w:r>
        <w:rPr>
          <w:rFonts w:hint="eastAsia" w:ascii="仿宋_GB2312" w:hAnsi="仿宋" w:eastAsia="仿宋_GB2312"/>
          <w:sz w:val="32"/>
          <w:szCs w:val="32"/>
        </w:rPr>
        <w:t>%。截至7月底，如期完成预算执行和绩效目标指标值的项目</w:t>
      </w:r>
      <w:r>
        <w:rPr>
          <w:rFonts w:hint="eastAsia" w:ascii="仿宋_GB2312" w:hAnsi="仿宋" w:eastAsia="仿宋_GB2312"/>
          <w:sz w:val="32"/>
          <w:szCs w:val="32"/>
          <w:lang w:val="en-US" w:eastAsia="zh-CN"/>
        </w:rPr>
        <w:t>1</w:t>
      </w:r>
      <w:r>
        <w:rPr>
          <w:rFonts w:hint="eastAsia" w:ascii="仿宋_GB2312" w:hAnsi="仿宋" w:eastAsia="仿宋_GB2312"/>
          <w:sz w:val="32"/>
          <w:szCs w:val="32"/>
        </w:rPr>
        <w:t>个</w:t>
      </w:r>
      <w:r>
        <w:rPr>
          <w:rFonts w:hint="eastAsia" w:ascii="仿宋_GB2312" w:hAnsi="仿宋" w:eastAsia="仿宋_GB2312"/>
          <w:sz w:val="32"/>
          <w:szCs w:val="32"/>
          <w:lang w:eastAsia="zh-CN"/>
        </w:rPr>
        <w:t>，</w:t>
      </w:r>
      <w:r>
        <w:rPr>
          <w:rFonts w:hint="eastAsia" w:ascii="仿宋_GB2312" w:hAnsi="仿宋" w:eastAsia="仿宋_GB2312"/>
          <w:sz w:val="32"/>
          <w:szCs w:val="32"/>
        </w:rPr>
        <w:t>完成率为</w:t>
      </w:r>
      <w:r>
        <w:rPr>
          <w:rFonts w:hint="eastAsia" w:ascii="仿宋_GB2312" w:hAnsi="仿宋" w:eastAsia="仿宋_GB2312"/>
          <w:sz w:val="32"/>
          <w:szCs w:val="32"/>
          <w:lang w:val="en-US" w:eastAsia="zh-CN"/>
        </w:rPr>
        <w:t>80</w:t>
      </w:r>
      <w:r>
        <w:rPr>
          <w:rFonts w:hint="eastAsia" w:ascii="仿宋_GB2312" w:hAnsi="仿宋" w:eastAsia="仿宋_GB2312"/>
          <w:sz w:val="32"/>
          <w:szCs w:val="32"/>
        </w:rPr>
        <w:t>%。“双监控”发现存在的问题和主要原因是：</w:t>
      </w:r>
      <w:r>
        <w:rPr>
          <w:rFonts w:hint="eastAsia" w:ascii="仿宋_GB2312" w:hAnsi="仿宋" w:eastAsia="仿宋_GB2312"/>
          <w:sz w:val="32"/>
          <w:szCs w:val="32"/>
          <w:lang w:val="en-US" w:eastAsia="zh-CN"/>
        </w:rPr>
        <w:t>1、按照支付进度支付，2、公交运行补助资金按月分配</w:t>
      </w:r>
      <w:r>
        <w:rPr>
          <w:rFonts w:hint="eastAsia" w:ascii="仿宋_GB2312" w:hAnsi="仿宋" w:eastAsia="仿宋_GB2312"/>
          <w:sz w:val="32"/>
          <w:szCs w:val="32"/>
        </w:rPr>
        <w:t>。开展1-9月绩效运行监控项目</w:t>
      </w:r>
      <w:r>
        <w:rPr>
          <w:rFonts w:hint="eastAsia" w:ascii="仿宋_GB2312" w:hAnsi="仿宋" w:eastAsia="仿宋_GB2312"/>
          <w:sz w:val="32"/>
          <w:szCs w:val="32"/>
          <w:lang w:val="en-US" w:eastAsia="zh-CN"/>
        </w:rPr>
        <w:t>1</w:t>
      </w:r>
      <w:r>
        <w:rPr>
          <w:rFonts w:hint="eastAsia" w:ascii="仿宋_GB2312" w:hAnsi="仿宋" w:eastAsia="仿宋_GB2312"/>
          <w:sz w:val="32"/>
          <w:szCs w:val="32"/>
        </w:rPr>
        <w:t>个，占本部门（单位）项目的</w:t>
      </w:r>
      <w:r>
        <w:rPr>
          <w:rFonts w:hint="eastAsia" w:ascii="仿宋_GB2312" w:hAnsi="仿宋" w:eastAsia="仿宋_GB2312"/>
          <w:sz w:val="32"/>
          <w:szCs w:val="32"/>
          <w:lang w:val="en-US" w:eastAsia="zh-CN"/>
        </w:rPr>
        <w:t>90</w:t>
      </w:r>
      <w:r>
        <w:rPr>
          <w:rFonts w:hint="eastAsia" w:ascii="仿宋_GB2312" w:hAnsi="仿宋" w:eastAsia="仿宋_GB2312"/>
          <w:sz w:val="32"/>
          <w:szCs w:val="32"/>
        </w:rPr>
        <w:t>%。截至1</w:t>
      </w:r>
      <w:r>
        <w:rPr>
          <w:rFonts w:hint="eastAsia" w:ascii="仿宋_GB2312" w:hAnsi="仿宋" w:eastAsia="仿宋_GB2312"/>
          <w:sz w:val="32"/>
          <w:szCs w:val="32"/>
          <w:lang w:val="en-US" w:eastAsia="zh-CN"/>
        </w:rPr>
        <w:t>2</w:t>
      </w:r>
      <w:r>
        <w:rPr>
          <w:rFonts w:hint="eastAsia" w:ascii="仿宋_GB2312" w:hAnsi="仿宋" w:eastAsia="仿宋_GB2312"/>
          <w:sz w:val="32"/>
          <w:szCs w:val="32"/>
        </w:rPr>
        <w:t>月底，如期完成预算执行和绩效目标指标值的项目</w:t>
      </w:r>
      <w:r>
        <w:rPr>
          <w:rFonts w:hint="eastAsia" w:ascii="仿宋_GB2312" w:hAnsi="仿宋" w:eastAsia="仿宋_GB2312"/>
          <w:sz w:val="32"/>
          <w:szCs w:val="32"/>
          <w:lang w:val="en-US" w:eastAsia="zh-CN"/>
        </w:rPr>
        <w:t>3</w:t>
      </w:r>
      <w:r>
        <w:rPr>
          <w:rFonts w:hint="eastAsia" w:ascii="仿宋_GB2312" w:hAnsi="仿宋" w:eastAsia="仿宋_GB2312"/>
          <w:sz w:val="32"/>
          <w:szCs w:val="32"/>
        </w:rPr>
        <w:t>个，完成率为</w:t>
      </w:r>
      <w:r>
        <w:rPr>
          <w:rFonts w:hint="eastAsia" w:ascii="仿宋_GB2312" w:hAnsi="仿宋" w:eastAsia="仿宋_GB2312"/>
          <w:sz w:val="32"/>
          <w:szCs w:val="32"/>
          <w:lang w:val="en-US" w:eastAsia="zh-CN"/>
        </w:rPr>
        <w:t>100</w:t>
      </w:r>
      <w:r>
        <w:rPr>
          <w:rFonts w:hint="eastAsia" w:ascii="仿宋_GB2312" w:hAnsi="仿宋" w:eastAsia="仿宋_GB2312"/>
          <w:sz w:val="32"/>
          <w:szCs w:val="32"/>
        </w:rPr>
        <w:t>%。</w:t>
      </w:r>
    </w:p>
    <w:p w14:paraId="034CF0D6">
      <w:pPr>
        <w:widowControl/>
        <w:adjustRightInd w:val="0"/>
        <w:snapToGrid w:val="0"/>
        <w:spacing w:line="640" w:lineRule="exact"/>
        <w:ind w:firstLine="643" w:firstLineChars="200"/>
        <w:contextualSpacing/>
        <w:jc w:val="left"/>
        <w:rPr>
          <w:rFonts w:ascii="仿宋_GB2312" w:hAnsi="仿宋" w:eastAsia="仿宋_GB2312"/>
          <w:sz w:val="32"/>
          <w:szCs w:val="32"/>
        </w:rPr>
      </w:pPr>
      <w:r>
        <w:rPr>
          <w:rFonts w:hint="eastAsia" w:ascii="仿宋_GB2312" w:hAnsi="仿宋" w:eastAsia="仿宋_GB2312"/>
          <w:b/>
          <w:sz w:val="32"/>
          <w:szCs w:val="32"/>
        </w:rPr>
        <w:t>3.绩效自评开展情况。</w:t>
      </w:r>
      <w:r>
        <w:rPr>
          <w:rFonts w:hint="eastAsia" w:ascii="仿宋_GB2312" w:hAnsi="仿宋" w:eastAsia="仿宋_GB2312"/>
          <w:sz w:val="32"/>
          <w:szCs w:val="32"/>
          <w:lang w:eastAsia="zh-CN"/>
        </w:rPr>
        <w:t>202</w:t>
      </w:r>
      <w:r>
        <w:rPr>
          <w:rFonts w:hint="eastAsia" w:ascii="仿宋_GB2312" w:hAnsi="仿宋" w:eastAsia="仿宋_GB2312"/>
          <w:sz w:val="32"/>
          <w:szCs w:val="32"/>
          <w:lang w:val="en-US" w:eastAsia="zh-CN"/>
        </w:rPr>
        <w:t>5</w:t>
      </w:r>
      <w:r>
        <w:rPr>
          <w:rFonts w:hint="eastAsia" w:ascii="仿宋_GB2312" w:hAnsi="仿宋" w:eastAsia="仿宋_GB2312"/>
          <w:sz w:val="32"/>
          <w:szCs w:val="32"/>
        </w:rPr>
        <w:t>年度，组织开展绩效自评项目共</w:t>
      </w:r>
      <w:r>
        <w:rPr>
          <w:rFonts w:hint="eastAsia" w:ascii="仿宋_GB2312" w:hAnsi="仿宋" w:eastAsia="仿宋_GB2312"/>
          <w:sz w:val="32"/>
          <w:szCs w:val="32"/>
          <w:lang w:val="en-US" w:eastAsia="zh-CN"/>
        </w:rPr>
        <w:t>3</w:t>
      </w:r>
      <w:r>
        <w:rPr>
          <w:rFonts w:hint="eastAsia" w:ascii="仿宋_GB2312" w:hAnsi="仿宋" w:eastAsia="仿宋_GB2312"/>
          <w:sz w:val="32"/>
          <w:szCs w:val="32"/>
        </w:rPr>
        <w:t>个，其中，部门（单位）整体支出</w:t>
      </w:r>
      <w:r>
        <w:rPr>
          <w:rFonts w:hint="eastAsia" w:ascii="仿宋_GB2312" w:hAnsi="仿宋" w:eastAsia="仿宋_GB2312"/>
          <w:sz w:val="32"/>
          <w:szCs w:val="32"/>
          <w:lang w:val="en-US" w:eastAsia="zh-CN"/>
        </w:rPr>
        <w:t>1</w:t>
      </w:r>
      <w:r>
        <w:rPr>
          <w:rFonts w:hint="eastAsia" w:ascii="仿宋_GB2312" w:hAnsi="仿宋" w:eastAsia="仿宋_GB2312"/>
          <w:sz w:val="32"/>
          <w:szCs w:val="32"/>
        </w:rPr>
        <w:t>个，项目支出</w:t>
      </w:r>
      <w:r>
        <w:rPr>
          <w:rFonts w:hint="eastAsia" w:ascii="仿宋_GB2312" w:hAnsi="仿宋" w:eastAsia="仿宋_GB2312"/>
          <w:sz w:val="32"/>
          <w:szCs w:val="32"/>
          <w:lang w:val="en-US" w:eastAsia="zh-CN"/>
        </w:rPr>
        <w:t>3</w:t>
      </w:r>
      <w:r>
        <w:rPr>
          <w:rFonts w:hint="eastAsia" w:ascii="仿宋_GB2312" w:hAnsi="仿宋" w:eastAsia="仿宋_GB2312"/>
          <w:sz w:val="32"/>
          <w:szCs w:val="32"/>
        </w:rPr>
        <w:t>个，绩效自评覆盖率为</w:t>
      </w:r>
      <w:r>
        <w:rPr>
          <w:rFonts w:hint="eastAsia" w:ascii="仿宋_GB2312" w:hAnsi="仿宋" w:eastAsia="仿宋_GB2312"/>
          <w:sz w:val="32"/>
          <w:szCs w:val="32"/>
          <w:lang w:val="en-US" w:eastAsia="zh-CN"/>
        </w:rPr>
        <w:t>100</w:t>
      </w:r>
      <w:r>
        <w:rPr>
          <w:rFonts w:hint="eastAsia" w:ascii="仿宋_GB2312" w:hAnsi="仿宋" w:eastAsia="仿宋_GB2312"/>
          <w:sz w:val="32"/>
          <w:szCs w:val="32"/>
        </w:rPr>
        <w:t>%。绩效自评结果随部门决算报送财政和随决算公开情况：</w:t>
      </w:r>
      <w:r>
        <w:rPr>
          <w:rFonts w:hint="eastAsia" w:ascii="仿宋_GB2312" w:hAnsi="仿宋" w:eastAsia="仿宋_GB2312"/>
          <w:sz w:val="32"/>
          <w:szCs w:val="32"/>
          <w:lang w:val="en-US" w:eastAsia="zh-CN"/>
        </w:rPr>
        <w:t>及时报送财政，按规定公开</w:t>
      </w:r>
      <w:r>
        <w:rPr>
          <w:rFonts w:hint="eastAsia" w:ascii="仿宋_GB2312" w:hAnsi="仿宋" w:eastAsia="仿宋_GB2312"/>
          <w:sz w:val="32"/>
          <w:szCs w:val="32"/>
        </w:rPr>
        <w:t>。</w:t>
      </w:r>
    </w:p>
    <w:p w14:paraId="1B5CB531">
      <w:pPr>
        <w:widowControl/>
        <w:adjustRightInd w:val="0"/>
        <w:snapToGrid w:val="0"/>
        <w:spacing w:line="640" w:lineRule="exact"/>
        <w:ind w:firstLine="643" w:firstLineChars="200"/>
        <w:contextualSpacing/>
        <w:jc w:val="left"/>
        <w:rPr>
          <w:rFonts w:ascii="仿宋_GB2312" w:hAnsi="仿宋" w:eastAsia="仿宋_GB2312"/>
          <w:sz w:val="32"/>
          <w:szCs w:val="32"/>
        </w:rPr>
      </w:pPr>
      <w:r>
        <w:rPr>
          <w:rFonts w:hint="eastAsia" w:ascii="仿宋_GB2312" w:hAnsi="仿宋" w:eastAsia="仿宋_GB2312"/>
          <w:b/>
          <w:sz w:val="32"/>
          <w:szCs w:val="32"/>
        </w:rPr>
        <w:t>4.绩效结果应用情况。</w:t>
      </w:r>
      <w:r>
        <w:rPr>
          <w:rFonts w:hint="eastAsia" w:ascii="仿宋_GB2312" w:hAnsi="仿宋" w:eastAsia="仿宋_GB2312"/>
          <w:sz w:val="32"/>
          <w:szCs w:val="32"/>
        </w:rPr>
        <w:t>根据</w:t>
      </w:r>
      <w:r>
        <w:rPr>
          <w:rFonts w:hint="eastAsia" w:ascii="仿宋_GB2312" w:hAnsi="仿宋" w:eastAsia="仿宋_GB2312"/>
          <w:sz w:val="32"/>
          <w:szCs w:val="32"/>
          <w:lang w:eastAsia="zh-CN"/>
        </w:rPr>
        <w:t>202</w:t>
      </w:r>
      <w:r>
        <w:rPr>
          <w:rFonts w:hint="eastAsia" w:ascii="仿宋_GB2312" w:hAnsi="仿宋" w:eastAsia="仿宋_GB2312"/>
          <w:sz w:val="32"/>
          <w:szCs w:val="32"/>
          <w:lang w:val="en-US" w:eastAsia="zh-CN"/>
        </w:rPr>
        <w:t>5</w:t>
      </w:r>
      <w:r>
        <w:rPr>
          <w:rFonts w:hint="eastAsia" w:ascii="仿宋_GB2312" w:hAnsi="仿宋" w:eastAsia="仿宋_GB2312"/>
          <w:sz w:val="32"/>
          <w:szCs w:val="32"/>
        </w:rPr>
        <w:t>年度绩效运行监控、绩效自评等情况，当年盘活财政资金</w:t>
      </w:r>
      <w:r>
        <w:rPr>
          <w:rFonts w:hint="eastAsia" w:ascii="仿宋_GB2312" w:hAnsi="仿宋" w:eastAsia="仿宋_GB2312"/>
          <w:sz w:val="32"/>
          <w:szCs w:val="32"/>
          <w:lang w:val="en-US" w:eastAsia="zh-CN"/>
        </w:rPr>
        <w:t>0</w:t>
      </w:r>
      <w:r>
        <w:rPr>
          <w:rFonts w:hint="eastAsia" w:ascii="仿宋_GB2312" w:hAnsi="仿宋" w:eastAsia="仿宋_GB2312"/>
          <w:sz w:val="32"/>
          <w:szCs w:val="32"/>
        </w:rPr>
        <w:t>万元，</w:t>
      </w:r>
      <w:r>
        <w:rPr>
          <w:rFonts w:hint="eastAsia" w:ascii="仿宋_GB2312" w:hAnsi="仿宋" w:eastAsia="仿宋_GB2312"/>
          <w:sz w:val="32"/>
          <w:szCs w:val="32"/>
          <w:lang w:eastAsia="zh-CN"/>
        </w:rPr>
        <w:t>202</w:t>
      </w:r>
      <w:r>
        <w:rPr>
          <w:rFonts w:hint="eastAsia" w:ascii="仿宋_GB2312" w:hAnsi="仿宋" w:eastAsia="仿宋_GB2312"/>
          <w:sz w:val="32"/>
          <w:szCs w:val="32"/>
          <w:lang w:val="en-US" w:eastAsia="zh-CN"/>
        </w:rPr>
        <w:t>6</w:t>
      </w:r>
      <w:r>
        <w:rPr>
          <w:rFonts w:hint="eastAsia" w:ascii="仿宋_GB2312" w:hAnsi="仿宋" w:eastAsia="仿宋_GB2312"/>
          <w:sz w:val="32"/>
          <w:szCs w:val="32"/>
        </w:rPr>
        <w:t>年度增加（减少）部门预算项目</w:t>
      </w:r>
      <w:r>
        <w:rPr>
          <w:rFonts w:hint="eastAsia" w:ascii="仿宋_GB2312" w:hAnsi="仿宋" w:eastAsia="仿宋_GB2312"/>
          <w:sz w:val="32"/>
          <w:szCs w:val="32"/>
          <w:lang w:val="en-US" w:eastAsia="zh-CN"/>
        </w:rPr>
        <w:t>2</w:t>
      </w:r>
      <w:r>
        <w:rPr>
          <w:rFonts w:hint="eastAsia" w:ascii="仿宋_GB2312" w:hAnsi="仿宋" w:eastAsia="仿宋_GB2312"/>
          <w:sz w:val="32"/>
          <w:szCs w:val="32"/>
        </w:rPr>
        <w:t>个，增长率/压减率</w:t>
      </w:r>
      <w:r>
        <w:rPr>
          <w:rFonts w:hint="eastAsia" w:ascii="仿宋_GB2312" w:hAnsi="仿宋" w:eastAsia="仿宋_GB2312"/>
          <w:sz w:val="32"/>
          <w:szCs w:val="32"/>
          <w:lang w:val="en-US" w:eastAsia="zh-CN"/>
        </w:rPr>
        <w:t>66.67</w:t>
      </w:r>
      <w:r>
        <w:rPr>
          <w:rFonts w:hint="eastAsia" w:ascii="仿宋_GB2312" w:hAnsi="仿宋" w:eastAsia="仿宋_GB2312"/>
          <w:sz w:val="32"/>
          <w:szCs w:val="32"/>
        </w:rPr>
        <w:t>%。同时对政策和项目资金管理作出调整的</w:t>
      </w:r>
      <w:r>
        <w:rPr>
          <w:rFonts w:hint="eastAsia" w:ascii="仿宋_GB2312" w:hAnsi="仿宋" w:eastAsia="仿宋_GB2312"/>
          <w:sz w:val="32"/>
          <w:szCs w:val="32"/>
          <w:lang w:val="en-US" w:eastAsia="zh-CN"/>
        </w:rPr>
        <w:t>0</w:t>
      </w:r>
      <w:r>
        <w:rPr>
          <w:rFonts w:hint="eastAsia" w:ascii="仿宋_GB2312" w:hAnsi="仿宋" w:eastAsia="仿宋_GB2312"/>
          <w:sz w:val="32"/>
          <w:szCs w:val="32"/>
        </w:rPr>
        <w:t>个。</w:t>
      </w:r>
    </w:p>
    <w:p w14:paraId="7067FDF0">
      <w:pPr>
        <w:adjustRightInd w:val="0"/>
        <w:snapToGrid w:val="0"/>
        <w:spacing w:line="640" w:lineRule="exact"/>
        <w:ind w:firstLine="643" w:firstLineChars="200"/>
        <w:contextualSpacing/>
        <w:rPr>
          <w:rFonts w:ascii="楷体_GB2312" w:hAnsi="楷体" w:eastAsia="楷体_GB2312" w:cs="宋体"/>
          <w:b/>
          <w:bCs/>
          <w:kern w:val="0"/>
          <w:sz w:val="32"/>
          <w:szCs w:val="32"/>
        </w:rPr>
      </w:pPr>
      <w:r>
        <w:rPr>
          <w:rFonts w:hint="eastAsia" w:ascii="楷体_GB2312" w:hAnsi="楷体" w:eastAsia="楷体_GB2312" w:cs="宋体"/>
          <w:b/>
          <w:bCs/>
          <w:kern w:val="0"/>
          <w:sz w:val="32"/>
          <w:szCs w:val="32"/>
        </w:rPr>
        <w:t>（二）</w:t>
      </w:r>
      <w:r>
        <w:rPr>
          <w:rFonts w:hint="eastAsia" w:ascii="楷体_GB2312" w:hAnsi="楷体" w:eastAsia="楷体_GB2312" w:cs="宋体"/>
          <w:b/>
          <w:bCs/>
          <w:kern w:val="0"/>
          <w:sz w:val="32"/>
          <w:szCs w:val="32"/>
          <w:lang w:eastAsia="zh-CN"/>
        </w:rPr>
        <w:t>202</w:t>
      </w:r>
      <w:r>
        <w:rPr>
          <w:rFonts w:hint="eastAsia" w:ascii="楷体_GB2312" w:hAnsi="楷体" w:eastAsia="楷体_GB2312" w:cs="宋体"/>
          <w:b/>
          <w:bCs/>
          <w:kern w:val="0"/>
          <w:sz w:val="32"/>
          <w:szCs w:val="32"/>
          <w:lang w:val="en-US" w:eastAsia="zh-CN"/>
        </w:rPr>
        <w:t>6</w:t>
      </w:r>
      <w:r>
        <w:rPr>
          <w:rFonts w:hint="eastAsia" w:ascii="楷体_GB2312" w:hAnsi="楷体" w:eastAsia="楷体_GB2312" w:cs="宋体"/>
          <w:b/>
          <w:bCs/>
          <w:kern w:val="0"/>
          <w:sz w:val="32"/>
          <w:szCs w:val="32"/>
        </w:rPr>
        <w:t>年绩效目标编制情况</w:t>
      </w:r>
    </w:p>
    <w:p w14:paraId="5ED3C404">
      <w:pPr>
        <w:widowControl/>
        <w:adjustRightInd w:val="0"/>
        <w:snapToGrid w:val="0"/>
        <w:spacing w:line="640" w:lineRule="exact"/>
        <w:ind w:firstLine="640" w:firstLineChars="200"/>
        <w:contextualSpacing/>
        <w:jc w:val="left"/>
        <w:rPr>
          <w:rFonts w:ascii="仿宋_GB2312" w:hAnsi="仿宋" w:eastAsia="仿宋_GB2312"/>
          <w:sz w:val="32"/>
          <w:szCs w:val="32"/>
        </w:rPr>
      </w:pPr>
      <w:r>
        <w:rPr>
          <w:rFonts w:hint="eastAsia" w:ascii="仿宋_GB2312" w:hAnsi="仿宋" w:eastAsia="仿宋_GB2312"/>
          <w:sz w:val="32"/>
          <w:szCs w:val="32"/>
          <w:lang w:eastAsia="zh-CN"/>
        </w:rPr>
        <w:t>202</w:t>
      </w:r>
      <w:r>
        <w:rPr>
          <w:rFonts w:hint="eastAsia" w:ascii="仿宋_GB2312" w:hAnsi="仿宋" w:eastAsia="仿宋_GB2312"/>
          <w:sz w:val="32"/>
          <w:szCs w:val="32"/>
          <w:lang w:val="en-US" w:eastAsia="zh-CN"/>
        </w:rPr>
        <w:t>6</w:t>
      </w:r>
      <w:r>
        <w:rPr>
          <w:rFonts w:hint="eastAsia" w:ascii="仿宋_GB2312" w:hAnsi="仿宋" w:eastAsia="仿宋_GB2312"/>
          <w:sz w:val="32"/>
          <w:szCs w:val="32"/>
        </w:rPr>
        <w:t>年，纳入部门/单位预算绩效目标管理的项目</w:t>
      </w:r>
      <w:r>
        <w:rPr>
          <w:rFonts w:hint="eastAsia" w:ascii="仿宋_GB2312" w:hAnsi="仿宋" w:eastAsia="仿宋_GB2312"/>
          <w:sz w:val="32"/>
          <w:szCs w:val="32"/>
          <w:lang w:val="en-US" w:eastAsia="zh-CN"/>
        </w:rPr>
        <w:t>1</w:t>
      </w:r>
      <w:r>
        <w:rPr>
          <w:rFonts w:hint="eastAsia" w:ascii="仿宋_GB2312" w:hAnsi="仿宋" w:eastAsia="仿宋_GB2312"/>
          <w:sz w:val="32"/>
          <w:szCs w:val="32"/>
        </w:rPr>
        <w:t>个。其中，部门整体支出绩效目标围绕部门管理、履职效果、能力建设三个维度，设置二级指标</w:t>
      </w:r>
      <w:r>
        <w:rPr>
          <w:rFonts w:hint="eastAsia" w:ascii="仿宋_GB2312" w:hAnsi="仿宋" w:eastAsia="仿宋_GB2312"/>
          <w:sz w:val="32"/>
          <w:szCs w:val="32"/>
          <w:lang w:val="en-US" w:eastAsia="zh-CN"/>
        </w:rPr>
        <w:t>11</w:t>
      </w:r>
      <w:r>
        <w:rPr>
          <w:rFonts w:hint="eastAsia" w:ascii="仿宋_GB2312" w:hAnsi="仿宋" w:eastAsia="仿宋_GB2312"/>
          <w:sz w:val="32"/>
          <w:szCs w:val="32"/>
        </w:rPr>
        <w:t>个、三级指标</w:t>
      </w:r>
      <w:r>
        <w:rPr>
          <w:rFonts w:hint="eastAsia" w:ascii="仿宋_GB2312" w:hAnsi="仿宋" w:eastAsia="仿宋_GB2312"/>
          <w:sz w:val="32"/>
          <w:szCs w:val="32"/>
          <w:lang w:val="en-US" w:eastAsia="zh-CN"/>
        </w:rPr>
        <w:t>12</w:t>
      </w:r>
      <w:r>
        <w:rPr>
          <w:rFonts w:hint="eastAsia" w:ascii="仿宋_GB2312" w:hAnsi="仿宋" w:eastAsia="仿宋_GB2312"/>
          <w:sz w:val="32"/>
          <w:szCs w:val="32"/>
        </w:rPr>
        <w:t>个；项目支出绩效目标围绕成本指标、产出指标、效益指标、满意度指标四个维度，设置二级指标</w:t>
      </w:r>
      <w:r>
        <w:rPr>
          <w:rFonts w:hint="eastAsia" w:ascii="仿宋_GB2312" w:hAnsi="仿宋" w:eastAsia="仿宋_GB2312"/>
          <w:sz w:val="32"/>
          <w:szCs w:val="32"/>
          <w:lang w:val="en-US" w:eastAsia="zh-CN"/>
        </w:rPr>
        <w:t>11</w:t>
      </w:r>
      <w:r>
        <w:rPr>
          <w:rFonts w:hint="eastAsia" w:ascii="仿宋_GB2312" w:hAnsi="仿宋" w:eastAsia="仿宋_GB2312"/>
          <w:sz w:val="32"/>
          <w:szCs w:val="32"/>
        </w:rPr>
        <w:t>个、三级指标</w:t>
      </w:r>
      <w:r>
        <w:rPr>
          <w:rFonts w:hint="eastAsia" w:ascii="仿宋_GB2312" w:hAnsi="仿宋" w:eastAsia="仿宋_GB2312"/>
          <w:sz w:val="32"/>
          <w:szCs w:val="32"/>
          <w:lang w:val="en-US" w:eastAsia="zh-CN"/>
        </w:rPr>
        <w:t>12</w:t>
      </w:r>
      <w:r>
        <w:rPr>
          <w:rFonts w:hint="eastAsia" w:ascii="仿宋_GB2312" w:hAnsi="仿宋" w:eastAsia="仿宋_GB2312"/>
          <w:sz w:val="32"/>
          <w:szCs w:val="32"/>
        </w:rPr>
        <w:t>个。各项绩效目标内容指向明确、细化量化、合理可行，符合规定的格式要求。</w:t>
      </w:r>
    </w:p>
    <w:p w14:paraId="1B6BE290">
      <w:pPr>
        <w:adjustRightInd w:val="0"/>
        <w:snapToGrid w:val="0"/>
        <w:spacing w:line="640" w:lineRule="exact"/>
        <w:ind w:firstLine="643" w:firstLineChars="200"/>
        <w:contextualSpacing/>
        <w:rPr>
          <w:rFonts w:ascii="楷体_GB2312" w:hAnsi="楷体" w:eastAsia="楷体_GB2312" w:cs="宋体"/>
          <w:b/>
          <w:bCs/>
          <w:kern w:val="0"/>
          <w:sz w:val="32"/>
          <w:szCs w:val="32"/>
        </w:rPr>
      </w:pPr>
      <w:r>
        <w:rPr>
          <w:rFonts w:hint="eastAsia" w:ascii="楷体_GB2312" w:hAnsi="楷体" w:eastAsia="楷体_GB2312" w:cs="宋体"/>
          <w:b/>
          <w:bCs/>
          <w:kern w:val="0"/>
          <w:sz w:val="32"/>
          <w:szCs w:val="32"/>
        </w:rPr>
        <w:t>十一、名词解释</w:t>
      </w:r>
    </w:p>
    <w:p w14:paraId="476EBD1E">
      <w:pPr>
        <w:adjustRightInd w:val="0"/>
        <w:snapToGrid w:val="0"/>
        <w:spacing w:line="640" w:lineRule="exact"/>
        <w:ind w:firstLine="643" w:firstLineChars="200"/>
        <w:contextualSpacing/>
        <w:rPr>
          <w:rFonts w:hint="eastAsia" w:ascii="仿宋_GB2312" w:hAnsi="CIDFont+F6" w:eastAsia="仿宋_GB2312"/>
          <w:color w:val="000000"/>
          <w:sz w:val="32"/>
          <w:szCs w:val="32"/>
        </w:rPr>
      </w:pPr>
      <w:r>
        <w:rPr>
          <w:rFonts w:hint="eastAsia" w:ascii="仿宋_GB2312" w:hAnsi="CIDFont+F4" w:eastAsia="仿宋_GB2312"/>
          <w:b/>
          <w:color w:val="000000"/>
          <w:sz w:val="32"/>
          <w:szCs w:val="32"/>
        </w:rPr>
        <w:t>1、财政拨款:</w:t>
      </w:r>
      <w:r>
        <w:rPr>
          <w:rFonts w:hint="eastAsia" w:ascii="仿宋_GB2312" w:hAnsi="CIDFont+F6" w:eastAsia="仿宋_GB2312"/>
          <w:color w:val="000000"/>
          <w:sz w:val="32"/>
          <w:szCs w:val="32"/>
        </w:rPr>
        <w:t>指由一般公共预算、政府性基金预算、国有资本经营预算安排的财政拨款数。</w:t>
      </w:r>
    </w:p>
    <w:p w14:paraId="4CC6C57A">
      <w:pPr>
        <w:adjustRightInd w:val="0"/>
        <w:snapToGrid w:val="0"/>
        <w:spacing w:line="640" w:lineRule="exact"/>
        <w:ind w:firstLine="643" w:firstLineChars="200"/>
        <w:contextualSpacing/>
        <w:rPr>
          <w:rFonts w:hint="eastAsia" w:ascii="仿宋_GB2312" w:hAnsi="CIDFont+F6" w:eastAsia="仿宋_GB2312"/>
          <w:color w:val="000000"/>
          <w:sz w:val="32"/>
          <w:szCs w:val="32"/>
        </w:rPr>
      </w:pPr>
      <w:r>
        <w:rPr>
          <w:rFonts w:hint="eastAsia" w:ascii="仿宋_GB2312" w:hAnsi="CIDFont+F4" w:eastAsia="仿宋_GB2312"/>
          <w:b/>
          <w:color w:val="000000"/>
          <w:sz w:val="32"/>
          <w:szCs w:val="32"/>
        </w:rPr>
        <w:t>2、一般公共预算:</w:t>
      </w:r>
      <w:r>
        <w:rPr>
          <w:rFonts w:hint="eastAsia" w:ascii="仿宋_GB2312" w:hAnsi="CIDFont+F6" w:eastAsia="仿宋_GB2312"/>
          <w:color w:val="000000"/>
          <w:sz w:val="32"/>
          <w:szCs w:val="32"/>
        </w:rPr>
        <w:t>包括公共财政拨款（补助）资金、专项收入。</w:t>
      </w:r>
    </w:p>
    <w:p w14:paraId="7908A71B">
      <w:pPr>
        <w:adjustRightInd w:val="0"/>
        <w:snapToGrid w:val="0"/>
        <w:spacing w:line="640" w:lineRule="exact"/>
        <w:ind w:firstLine="643" w:firstLineChars="200"/>
        <w:contextualSpacing/>
        <w:rPr>
          <w:rFonts w:hint="eastAsia" w:ascii="仿宋_GB2312" w:hAnsi="CIDFont+F6" w:eastAsia="仿宋_GB2312"/>
          <w:color w:val="000000"/>
          <w:sz w:val="32"/>
          <w:szCs w:val="32"/>
        </w:rPr>
      </w:pPr>
      <w:r>
        <w:rPr>
          <w:rFonts w:hint="eastAsia" w:ascii="仿宋_GB2312" w:hAnsi="CIDFont+F4" w:eastAsia="仿宋_GB2312"/>
          <w:b/>
          <w:color w:val="000000"/>
          <w:sz w:val="32"/>
          <w:szCs w:val="32"/>
        </w:rPr>
        <w:t>3、财政专户管理资金:</w:t>
      </w:r>
      <w:r>
        <w:rPr>
          <w:rFonts w:hint="eastAsia" w:ascii="仿宋_GB2312" w:hAnsi="CIDFont+F6" w:eastAsia="仿宋_GB2312"/>
          <w:color w:val="000000"/>
          <w:sz w:val="32"/>
          <w:szCs w:val="32"/>
        </w:rPr>
        <w:t>包括专户管理行政事业性收费（主要是教育收费）、其他非税收入。</w:t>
      </w:r>
    </w:p>
    <w:p w14:paraId="4CE172D2">
      <w:pPr>
        <w:adjustRightInd w:val="0"/>
        <w:snapToGrid w:val="0"/>
        <w:spacing w:line="640" w:lineRule="exact"/>
        <w:ind w:firstLine="643" w:firstLineChars="200"/>
        <w:contextualSpacing/>
        <w:rPr>
          <w:rFonts w:hint="eastAsia" w:ascii="仿宋_GB2312" w:hAnsi="CIDFont+F6" w:eastAsia="仿宋_GB2312"/>
          <w:color w:val="000000"/>
          <w:sz w:val="32"/>
          <w:szCs w:val="32"/>
        </w:rPr>
      </w:pPr>
      <w:r>
        <w:rPr>
          <w:rFonts w:hint="eastAsia" w:ascii="仿宋_GB2312" w:hAnsi="CIDFont+F4" w:eastAsia="仿宋_GB2312"/>
          <w:b/>
          <w:color w:val="000000"/>
          <w:sz w:val="32"/>
          <w:szCs w:val="32"/>
        </w:rPr>
        <w:t>4、其他资金:</w:t>
      </w:r>
      <w:r>
        <w:rPr>
          <w:rFonts w:hint="eastAsia" w:ascii="仿宋_GB2312" w:hAnsi="CIDFont+F6" w:eastAsia="仿宋_GB2312"/>
          <w:color w:val="000000"/>
          <w:sz w:val="32"/>
          <w:szCs w:val="32"/>
        </w:rPr>
        <w:t>包括事业收入、事业经营收入、其他收入等。</w:t>
      </w:r>
    </w:p>
    <w:p w14:paraId="6D5803A7">
      <w:pPr>
        <w:adjustRightInd w:val="0"/>
        <w:snapToGrid w:val="0"/>
        <w:spacing w:line="640" w:lineRule="exact"/>
        <w:ind w:firstLine="643" w:firstLineChars="200"/>
        <w:contextualSpacing/>
        <w:rPr>
          <w:rFonts w:hint="eastAsia" w:ascii="仿宋_GB2312" w:hAnsi="CIDFont+F6" w:eastAsia="仿宋_GB2312"/>
          <w:color w:val="000000"/>
          <w:sz w:val="32"/>
          <w:szCs w:val="32"/>
        </w:rPr>
      </w:pPr>
      <w:r>
        <w:rPr>
          <w:rFonts w:hint="eastAsia" w:ascii="仿宋_GB2312" w:hAnsi="CIDFont+F4" w:eastAsia="仿宋_GB2312"/>
          <w:b/>
          <w:color w:val="000000"/>
          <w:sz w:val="32"/>
          <w:szCs w:val="32"/>
        </w:rPr>
        <w:t>5、基本支出:</w:t>
      </w:r>
      <w:r>
        <w:rPr>
          <w:rFonts w:hint="eastAsia" w:ascii="仿宋_GB2312" w:hAnsi="CIDFont+F6" w:eastAsia="仿宋_GB2312"/>
          <w:color w:val="000000"/>
          <w:sz w:val="32"/>
          <w:szCs w:val="32"/>
        </w:rPr>
        <w:t>包括人员经费、公用经费（定额）。其中，人员经费包括工资福利支出、对个人和家庭的补助。</w:t>
      </w:r>
    </w:p>
    <w:p w14:paraId="696C919E">
      <w:pPr>
        <w:adjustRightInd w:val="0"/>
        <w:snapToGrid w:val="0"/>
        <w:spacing w:line="640" w:lineRule="exact"/>
        <w:ind w:firstLine="643" w:firstLineChars="200"/>
        <w:contextualSpacing/>
        <w:rPr>
          <w:rFonts w:hint="eastAsia" w:ascii="仿宋_GB2312" w:hAnsi="CIDFont+F6" w:eastAsia="仿宋_GB2312"/>
          <w:color w:val="000000"/>
          <w:sz w:val="32"/>
          <w:szCs w:val="32"/>
        </w:rPr>
      </w:pPr>
      <w:r>
        <w:rPr>
          <w:rFonts w:hint="eastAsia" w:ascii="仿宋_GB2312" w:hAnsi="CIDFont+F4" w:eastAsia="仿宋_GB2312"/>
          <w:b/>
          <w:color w:val="000000"/>
          <w:sz w:val="32"/>
          <w:szCs w:val="32"/>
        </w:rPr>
        <w:t>6、项目支出:</w:t>
      </w:r>
      <w:r>
        <w:rPr>
          <w:rFonts w:hint="eastAsia" w:ascii="仿宋_GB2312" w:hAnsi="CIDFont+F6" w:eastAsia="仿宋_GB2312"/>
          <w:color w:val="000000"/>
          <w:sz w:val="32"/>
          <w:szCs w:val="32"/>
        </w:rPr>
        <w:t>部门（单位）支出预算的组成部分，是各部门（单位）为完成其特定的行政任务或事业发展目标，在基本支出预算之外编制的年度项目支出计划。</w:t>
      </w:r>
    </w:p>
    <w:p w14:paraId="3E4D9AA1">
      <w:pPr>
        <w:adjustRightInd w:val="0"/>
        <w:snapToGrid w:val="0"/>
        <w:spacing w:line="640" w:lineRule="exact"/>
        <w:ind w:firstLine="643" w:firstLineChars="200"/>
        <w:contextualSpacing/>
        <w:rPr>
          <w:rFonts w:hint="eastAsia" w:ascii="仿宋_GB2312" w:hAnsi="CIDFont+F6" w:eastAsia="仿宋_GB2312"/>
          <w:color w:val="000000"/>
          <w:sz w:val="32"/>
          <w:szCs w:val="32"/>
        </w:rPr>
      </w:pPr>
      <w:r>
        <w:rPr>
          <w:rFonts w:hint="eastAsia" w:ascii="仿宋_GB2312" w:hAnsi="CIDFont+F4" w:eastAsia="仿宋_GB2312"/>
          <w:b/>
          <w:color w:val="000000"/>
          <w:sz w:val="32"/>
          <w:szCs w:val="32"/>
        </w:rPr>
        <w:t>7、“三公”经费:</w:t>
      </w:r>
      <w:r>
        <w:rPr>
          <w:rFonts w:hint="eastAsia" w:ascii="仿宋_GB2312" w:hAnsi="CIDFont+F6" w:eastAsia="仿宋_GB2312"/>
          <w:color w:val="000000"/>
          <w:sz w:val="32"/>
          <w:szCs w:val="32"/>
        </w:rPr>
        <w:t>指因公出国（境）费、公务用车购置及运行维护费和公务接待费。其中，因公出国（境）费反映单位公务出国（境）的国际旅费、国外城市间交通费、住宿费、伙食费、培训费、公杂费等支出；公务用车运行维护费反映单位按规定保留的公务用车租用费、燃料费、维修费、过路过桥费、保险费、安全奖励费用等支出；公务接待费反映单位按规定开支的各类公务接待（含外宾接待）支出。</w:t>
      </w:r>
    </w:p>
    <w:p w14:paraId="4CA7FF0F">
      <w:pPr>
        <w:adjustRightInd w:val="0"/>
        <w:snapToGrid w:val="0"/>
        <w:spacing w:line="640" w:lineRule="exact"/>
        <w:ind w:firstLine="643" w:firstLineChars="200"/>
        <w:contextualSpacing/>
        <w:rPr>
          <w:rFonts w:hint="eastAsia" w:ascii="仿宋_GB2312" w:hAnsi="CIDFont+F6" w:eastAsia="仿宋_GB2312"/>
          <w:color w:val="000000"/>
          <w:sz w:val="32"/>
          <w:szCs w:val="32"/>
        </w:rPr>
      </w:pPr>
      <w:r>
        <w:rPr>
          <w:rFonts w:hint="eastAsia" w:ascii="仿宋_GB2312" w:hAnsi="CIDFont+F4" w:eastAsia="仿宋_GB2312"/>
          <w:b/>
          <w:color w:val="000000"/>
          <w:sz w:val="32"/>
          <w:szCs w:val="32"/>
        </w:rPr>
        <w:t>8、机关运行经费:</w:t>
      </w:r>
      <w:r>
        <w:rPr>
          <w:rFonts w:hint="eastAsia" w:ascii="仿宋_GB2312" w:hAnsi="CIDFont+F6" w:eastAsia="仿宋_GB2312"/>
          <w:color w:val="000000"/>
          <w:sz w:val="32"/>
          <w:szCs w:val="32"/>
        </w:rPr>
        <w:t>为保障行政单位（包括实行公务员管理的事业单位）运行用于购买货物和服务的各项资金，包括办公及印刷费、邮电费、差旅费、会议费、福利费、日常维修费、一般设备购置费、办公用房水电费、办公用房取暖费、办公用房物业管理费、公务用车运行维护费以及其他费用。</w:t>
      </w:r>
    </w:p>
    <w:p w14:paraId="453FCEBD">
      <w:pPr>
        <w:adjustRightInd w:val="0"/>
        <w:snapToGrid w:val="0"/>
        <w:spacing w:line="640" w:lineRule="exact"/>
        <w:contextualSpacing/>
        <w:jc w:val="both"/>
        <w:rPr>
          <w:rFonts w:hint="eastAsia" w:ascii="仿宋_GB2312" w:hAnsi="CIDFont+F6" w:eastAsia="仿宋_GB2312"/>
          <w:color w:val="000000"/>
          <w:sz w:val="32"/>
          <w:szCs w:val="32"/>
        </w:rPr>
      </w:pPr>
    </w:p>
    <w:p w14:paraId="02DFD00C">
      <w:pPr>
        <w:adjustRightInd w:val="0"/>
        <w:snapToGrid w:val="0"/>
        <w:spacing w:line="640" w:lineRule="exact"/>
        <w:ind w:right="1120"/>
        <w:contextualSpacing/>
        <w:jc w:val="right"/>
        <w:rPr>
          <w:rFonts w:hint="eastAsia" w:ascii="仿宋_GB2312" w:hAnsi="CIDFont+F6" w:eastAsia="仿宋_GB2312"/>
          <w:color w:val="000000"/>
          <w:sz w:val="32"/>
          <w:szCs w:val="32"/>
          <w:lang w:eastAsia="zh-CN"/>
        </w:rPr>
      </w:pPr>
      <w:r>
        <w:rPr>
          <w:rFonts w:hint="eastAsia" w:ascii="仿宋_GB2312" w:hAnsi="CIDFont+F6" w:eastAsia="仿宋_GB2312"/>
          <w:color w:val="000000"/>
          <w:sz w:val="32"/>
          <w:szCs w:val="32"/>
          <w:lang w:eastAsia="zh-CN"/>
        </w:rPr>
        <w:t>华池县悦乐工业集中区管理委员会</w:t>
      </w:r>
    </w:p>
    <w:p w14:paraId="77E85168">
      <w:pPr>
        <w:adjustRightInd w:val="0"/>
        <w:snapToGrid w:val="0"/>
        <w:spacing w:line="640" w:lineRule="exact"/>
        <w:ind w:right="1120"/>
        <w:contextualSpacing/>
        <w:jc w:val="center"/>
        <w:rPr>
          <w:rFonts w:ascii="仿宋_GB2312" w:eastAsia="仿宋_GB2312"/>
          <w:sz w:val="32"/>
          <w:szCs w:val="32"/>
        </w:rPr>
      </w:pPr>
      <w:r>
        <w:rPr>
          <w:rFonts w:hint="eastAsia" w:ascii="仿宋_GB2312" w:hAnsi="CIDFont+F6" w:eastAsia="仿宋_GB2312"/>
          <w:color w:val="000000"/>
          <w:sz w:val="32"/>
          <w:szCs w:val="32"/>
          <w:lang w:val="en-US" w:eastAsia="zh-CN"/>
        </w:rPr>
        <w:t xml:space="preserve">                    2026</w:t>
      </w:r>
      <w:r>
        <w:rPr>
          <w:rFonts w:hint="eastAsia" w:ascii="仿宋_GB2312" w:hAnsi="CIDFont+F6" w:eastAsia="仿宋_GB2312"/>
          <w:color w:val="000000"/>
          <w:sz w:val="32"/>
          <w:szCs w:val="32"/>
        </w:rPr>
        <w:t>年</w:t>
      </w:r>
      <w:r>
        <w:rPr>
          <w:rFonts w:hint="eastAsia" w:ascii="仿宋_GB2312" w:hAnsi="CIDFont+F6" w:eastAsia="仿宋_GB2312"/>
          <w:color w:val="000000"/>
          <w:sz w:val="32"/>
          <w:szCs w:val="32"/>
          <w:lang w:val="en-US" w:eastAsia="zh-CN"/>
        </w:rPr>
        <w:t>3</w:t>
      </w:r>
      <w:r>
        <w:rPr>
          <w:rFonts w:hint="eastAsia" w:ascii="仿宋_GB2312" w:hAnsi="CIDFont+F6" w:eastAsia="仿宋_GB2312"/>
          <w:color w:val="000000"/>
          <w:sz w:val="32"/>
          <w:szCs w:val="32"/>
        </w:rPr>
        <w:t>月</w:t>
      </w:r>
      <w:r>
        <w:rPr>
          <w:rFonts w:hint="eastAsia" w:ascii="仿宋_GB2312" w:hAnsi="CIDFont+F6" w:eastAsia="仿宋_GB2312"/>
          <w:color w:val="000000"/>
          <w:sz w:val="32"/>
          <w:szCs w:val="32"/>
          <w:lang w:val="en-US" w:eastAsia="zh-CN"/>
        </w:rPr>
        <w:t>16</w:t>
      </w:r>
      <w:r>
        <w:rPr>
          <w:rFonts w:hint="eastAsia" w:ascii="仿宋_GB2312" w:hAnsi="CIDFont+F6" w:eastAsia="仿宋_GB2312"/>
          <w:color w:val="000000"/>
          <w:sz w:val="32"/>
          <w:szCs w:val="32"/>
        </w:rPr>
        <w:t>日</w:t>
      </w:r>
    </w:p>
    <w:p w14:paraId="104DAE91">
      <w:pPr>
        <w:adjustRightInd w:val="0"/>
        <w:snapToGrid w:val="0"/>
        <w:spacing w:line="640" w:lineRule="exact"/>
        <w:ind w:firstLine="640" w:firstLineChars="200"/>
        <w:contextualSpacing/>
        <w:rPr>
          <w:rFonts w:ascii="仿宋_GB2312" w:hAnsi="宋体" w:eastAsia="仿宋_GB2312" w:cs="宋体"/>
          <w:kern w:val="0"/>
          <w:sz w:val="32"/>
          <w:szCs w:val="32"/>
        </w:rPr>
      </w:pPr>
    </w:p>
    <w:p w14:paraId="0358EE45">
      <w:pPr>
        <w:adjustRightInd w:val="0"/>
        <w:snapToGrid w:val="0"/>
        <w:spacing w:line="640" w:lineRule="exact"/>
        <w:ind w:left="1918" w:leftChars="304" w:hanging="1280" w:hangingChars="400"/>
        <w:contextualSpacing/>
        <w:rPr>
          <w:rFonts w:ascii="仿宋_GB2312" w:hAnsi="宋体" w:eastAsia="仿宋_GB2312" w:cs="宋体"/>
          <w:spacing w:val="-20"/>
          <w:kern w:val="0"/>
          <w:sz w:val="32"/>
          <w:szCs w:val="32"/>
        </w:rPr>
      </w:pPr>
      <w:r>
        <w:rPr>
          <w:rFonts w:hint="eastAsia" w:ascii="仿宋_GB2312" w:hAnsi="宋体" w:eastAsia="仿宋_GB2312" w:cs="宋体"/>
          <w:kern w:val="0"/>
          <w:sz w:val="32"/>
          <w:szCs w:val="32"/>
        </w:rPr>
        <w:t>附件：</w:t>
      </w:r>
      <w:r>
        <w:rPr>
          <w:rFonts w:hint="eastAsia" w:ascii="仿宋_GB2312" w:hAnsi="宋体" w:eastAsia="仿宋_GB2312" w:cs="宋体"/>
          <w:spacing w:val="-20"/>
          <w:kern w:val="0"/>
          <w:sz w:val="32"/>
          <w:szCs w:val="32"/>
        </w:rPr>
        <w:t>1.</w:t>
      </w:r>
      <w:r>
        <w:rPr>
          <w:rFonts w:hint="eastAsia" w:ascii="仿宋_GB2312" w:hAnsi="CIDFont+F6" w:eastAsia="仿宋_GB2312"/>
          <w:color w:val="000000"/>
          <w:sz w:val="32"/>
          <w:szCs w:val="32"/>
          <w:lang w:eastAsia="zh-CN"/>
        </w:rPr>
        <w:t>华池县悦乐工业集中区管理委员会</w:t>
      </w:r>
      <w:r>
        <w:rPr>
          <w:rFonts w:hint="eastAsia" w:ascii="仿宋_GB2312" w:hAnsi="宋体" w:eastAsia="仿宋_GB2312" w:cs="宋体"/>
          <w:spacing w:val="-20"/>
          <w:kern w:val="0"/>
          <w:sz w:val="32"/>
          <w:szCs w:val="32"/>
          <w:lang w:eastAsia="zh-CN"/>
        </w:rPr>
        <w:t>202</w:t>
      </w:r>
      <w:r>
        <w:rPr>
          <w:rFonts w:hint="eastAsia" w:ascii="仿宋_GB2312" w:hAnsi="宋体" w:eastAsia="仿宋_GB2312" w:cs="宋体"/>
          <w:spacing w:val="-20"/>
          <w:kern w:val="0"/>
          <w:sz w:val="32"/>
          <w:szCs w:val="32"/>
          <w:lang w:val="en-US" w:eastAsia="zh-CN"/>
        </w:rPr>
        <w:t>6</w:t>
      </w:r>
      <w:r>
        <w:rPr>
          <w:rFonts w:hint="eastAsia" w:ascii="仿宋_GB2312" w:hAnsi="宋体" w:eastAsia="仿宋_GB2312" w:cs="宋体"/>
          <w:spacing w:val="-20"/>
          <w:kern w:val="0"/>
          <w:sz w:val="32"/>
          <w:szCs w:val="32"/>
        </w:rPr>
        <w:t>年</w:t>
      </w:r>
      <w:r>
        <w:rPr>
          <w:rFonts w:hint="eastAsia" w:ascii="仿宋_GB2312" w:hAnsi="CIDFont+F6" w:eastAsia="仿宋_GB2312"/>
          <w:color w:val="000000"/>
          <w:sz w:val="32"/>
          <w:szCs w:val="32"/>
        </w:rPr>
        <w:t>部门/单位</w:t>
      </w:r>
      <w:r>
        <w:rPr>
          <w:rFonts w:hint="eastAsia" w:ascii="仿宋_GB2312" w:hAnsi="宋体" w:eastAsia="仿宋_GB2312" w:cs="宋体"/>
          <w:spacing w:val="-20"/>
          <w:kern w:val="0"/>
          <w:sz w:val="32"/>
          <w:szCs w:val="32"/>
        </w:rPr>
        <w:t>预算公开表</w:t>
      </w:r>
    </w:p>
    <w:p w14:paraId="4E90257E">
      <w:pPr>
        <w:adjustRightInd w:val="0"/>
        <w:snapToGrid w:val="0"/>
        <w:spacing w:line="640" w:lineRule="exact"/>
        <w:ind w:left="1796" w:leftChars="767" w:hanging="185" w:hangingChars="58"/>
        <w:contextualSpacing/>
        <w:rPr>
          <w:rFonts w:ascii="仿宋_GB2312" w:hAnsi="宋体" w:eastAsia="仿宋_GB2312" w:cs="宋体"/>
          <w:kern w:val="0"/>
          <w:sz w:val="32"/>
          <w:szCs w:val="32"/>
        </w:rPr>
      </w:pPr>
      <w:r>
        <w:rPr>
          <w:rFonts w:hint="eastAsia" w:ascii="仿宋_GB2312" w:hAnsi="宋体" w:eastAsia="仿宋_GB2312" w:cs="宋体"/>
          <w:kern w:val="0"/>
          <w:sz w:val="32"/>
          <w:szCs w:val="32"/>
        </w:rPr>
        <w:t>2.</w:t>
      </w:r>
      <w:r>
        <w:rPr>
          <w:rFonts w:hint="eastAsia" w:ascii="仿宋_GB2312" w:hAnsi="CIDFont+F6" w:eastAsia="仿宋_GB2312"/>
          <w:color w:val="000000"/>
          <w:sz w:val="32"/>
          <w:szCs w:val="32"/>
          <w:lang w:eastAsia="zh-CN"/>
        </w:rPr>
        <w:t>华池县悦乐工业集中区管理委员会</w:t>
      </w:r>
      <w:r>
        <w:rPr>
          <w:rFonts w:hint="eastAsia" w:ascii="仿宋_GB2312" w:hAnsi="宋体" w:eastAsia="仿宋_GB2312" w:cs="宋体"/>
          <w:kern w:val="0"/>
          <w:sz w:val="32"/>
          <w:szCs w:val="32"/>
          <w:lang w:eastAsia="zh-CN"/>
        </w:rPr>
        <w:t>202</w:t>
      </w:r>
      <w:r>
        <w:rPr>
          <w:rFonts w:hint="eastAsia" w:ascii="仿宋_GB2312" w:hAnsi="宋体" w:eastAsia="仿宋_GB2312" w:cs="宋体"/>
          <w:kern w:val="0"/>
          <w:sz w:val="32"/>
          <w:szCs w:val="32"/>
          <w:lang w:val="en-US" w:eastAsia="zh-CN"/>
        </w:rPr>
        <w:t>6</w:t>
      </w:r>
      <w:r>
        <w:rPr>
          <w:rFonts w:hint="eastAsia" w:ascii="仿宋_GB2312" w:hAnsi="宋体" w:eastAsia="仿宋_GB2312" w:cs="宋体"/>
          <w:kern w:val="0"/>
          <w:sz w:val="32"/>
          <w:szCs w:val="32"/>
        </w:rPr>
        <w:t>年</w:t>
      </w:r>
      <w:r>
        <w:rPr>
          <w:rFonts w:hint="eastAsia" w:ascii="仿宋_GB2312" w:hAnsi="CIDFont+F6" w:eastAsia="仿宋_GB2312"/>
          <w:color w:val="000000"/>
          <w:sz w:val="32"/>
          <w:szCs w:val="32"/>
        </w:rPr>
        <w:t>部门/单位</w:t>
      </w:r>
      <w:r>
        <w:rPr>
          <w:rFonts w:hint="eastAsia" w:ascii="仿宋_GB2312" w:hAnsi="宋体" w:eastAsia="仿宋_GB2312" w:cs="宋体"/>
          <w:kern w:val="0"/>
          <w:sz w:val="32"/>
          <w:szCs w:val="32"/>
        </w:rPr>
        <w:t>整体支出绩效目标及预算项目绩效目标表</w:t>
      </w:r>
    </w:p>
    <w:p w14:paraId="22DB4760">
      <w:pPr>
        <w:tabs>
          <w:tab w:val="left" w:pos="1272"/>
        </w:tabs>
      </w:pPr>
    </w:p>
    <w:sectPr>
      <w:pgSz w:w="11906" w:h="16838"/>
      <w:pgMar w:top="1134" w:right="1134" w:bottom="1134"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_GB2312">
    <w:panose1 w:val="02010609030101010101"/>
    <w:charset w:val="86"/>
    <w:family w:val="modern"/>
    <w:pitch w:val="default"/>
    <w:sig w:usb0="00000001" w:usb1="080E0000" w:usb2="00000000" w:usb3="00000000" w:csb0="00040000" w:csb1="00000000"/>
  </w:font>
  <w:font w:name="TimesNewRomanPSMT">
    <w:altName w:val="Times New Roman"/>
    <w:panose1 w:val="00000000000000000000"/>
    <w:charset w:val="00"/>
    <w:family w:val="roman"/>
    <w:pitch w:val="default"/>
    <w:sig w:usb0="00000000" w:usb1="00000000" w:usb2="00000000" w:usb3="00000000" w:csb0="00000000" w:csb1="00000000"/>
  </w:font>
  <w:font w:name="仿宋">
    <w:panose1 w:val="02010609060101010101"/>
    <w:charset w:val="86"/>
    <w:family w:val="modern"/>
    <w:pitch w:val="default"/>
    <w:sig w:usb0="800002BF" w:usb1="38CF7CFA" w:usb2="00000016" w:usb3="00000000" w:csb0="00040001" w:csb1="00000000"/>
  </w:font>
  <w:font w:name="楷体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swiss"/>
    <w:pitch w:val="default"/>
    <w:sig w:usb0="80000287" w:usb1="280F3C52" w:usb2="00000016" w:usb3="00000000" w:csb0="0004001F" w:csb1="00000000"/>
  </w:font>
  <w:font w:name="TimesNewRomanPS-BoldMT">
    <w:altName w:val="Segoe Print"/>
    <w:panose1 w:val="00000000000000000000"/>
    <w:charset w:val="00"/>
    <w:family w:val="roma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CIDFont+F6">
    <w:altName w:val="Segoe Print"/>
    <w:panose1 w:val="00000000000000000000"/>
    <w:charset w:val="00"/>
    <w:family w:val="roman"/>
    <w:pitch w:val="default"/>
    <w:sig w:usb0="00000000" w:usb1="00000000" w:usb2="00000000" w:usb3="00000000" w:csb0="00000000" w:csb1="00000000"/>
  </w:font>
  <w:font w:name="CIDFont+F4">
    <w:altName w:val="Segoe Print"/>
    <w:panose1 w:val="00000000000000000000"/>
    <w:charset w:val="00"/>
    <w:family w:val="roman"/>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EBF69E">
    <w:pPr>
      <w:pStyle w:val="5"/>
      <w:jc w:val="center"/>
    </w:pPr>
  </w:p>
  <w:p w14:paraId="18AFAB9B">
    <w:pPr>
      <w:pStyle w:val="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4C854A">
    <w:pPr>
      <w:pStyle w:val="5"/>
      <w:jc w:val="center"/>
    </w:pPr>
    <w:r>
      <w:fldChar w:fldCharType="begin"/>
    </w:r>
    <w:r>
      <w:instrText xml:space="preserve">PAGE   \* MERGEFORMAT</w:instrText>
    </w:r>
    <w:r>
      <w:fldChar w:fldCharType="separate"/>
    </w:r>
    <w:r>
      <w:rPr>
        <w:lang w:val="zh-CN"/>
      </w:rPr>
      <w:t>27</w:t>
    </w:r>
    <w:r>
      <w:fldChar w:fldCharType="end"/>
    </w:r>
  </w:p>
  <w:p w14:paraId="7F222DAC">
    <w:pPr>
      <w:pStyle w:val="5"/>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BjNDcxNWMxNzA4MWQ4MjRlNWExMTQwYmYzY2EyYmIifQ=="/>
  </w:docVars>
  <w:rsids>
    <w:rsidRoot w:val="00FB4362"/>
    <w:rsid w:val="00000C55"/>
    <w:rsid w:val="00001446"/>
    <w:rsid w:val="0001130C"/>
    <w:rsid w:val="00011F27"/>
    <w:rsid w:val="00012457"/>
    <w:rsid w:val="00021BBF"/>
    <w:rsid w:val="00030443"/>
    <w:rsid w:val="00030F4C"/>
    <w:rsid w:val="0003278A"/>
    <w:rsid w:val="000368FE"/>
    <w:rsid w:val="00042A06"/>
    <w:rsid w:val="00043601"/>
    <w:rsid w:val="000442B5"/>
    <w:rsid w:val="0004639D"/>
    <w:rsid w:val="000465E2"/>
    <w:rsid w:val="0005161F"/>
    <w:rsid w:val="000547D1"/>
    <w:rsid w:val="00055759"/>
    <w:rsid w:val="000612EE"/>
    <w:rsid w:val="00061BAF"/>
    <w:rsid w:val="0006337D"/>
    <w:rsid w:val="00074626"/>
    <w:rsid w:val="00076B62"/>
    <w:rsid w:val="00082093"/>
    <w:rsid w:val="000861D5"/>
    <w:rsid w:val="0009273A"/>
    <w:rsid w:val="000A20A7"/>
    <w:rsid w:val="000A655B"/>
    <w:rsid w:val="000B54DD"/>
    <w:rsid w:val="000C2055"/>
    <w:rsid w:val="000C2B7F"/>
    <w:rsid w:val="000C37BE"/>
    <w:rsid w:val="000C4C50"/>
    <w:rsid w:val="000D0130"/>
    <w:rsid w:val="000D2EEE"/>
    <w:rsid w:val="000D2F19"/>
    <w:rsid w:val="000E0CEA"/>
    <w:rsid w:val="000F3CBF"/>
    <w:rsid w:val="000F3F42"/>
    <w:rsid w:val="000F473D"/>
    <w:rsid w:val="001017F3"/>
    <w:rsid w:val="0011297B"/>
    <w:rsid w:val="00123768"/>
    <w:rsid w:val="00126B08"/>
    <w:rsid w:val="001272E5"/>
    <w:rsid w:val="00127D01"/>
    <w:rsid w:val="00130F5F"/>
    <w:rsid w:val="001374F5"/>
    <w:rsid w:val="00152FDC"/>
    <w:rsid w:val="001561FD"/>
    <w:rsid w:val="0015647B"/>
    <w:rsid w:val="00156619"/>
    <w:rsid w:val="00156C8B"/>
    <w:rsid w:val="00160A8C"/>
    <w:rsid w:val="001700B4"/>
    <w:rsid w:val="00171070"/>
    <w:rsid w:val="001A416A"/>
    <w:rsid w:val="001A6118"/>
    <w:rsid w:val="001B0364"/>
    <w:rsid w:val="001B0B8E"/>
    <w:rsid w:val="001B342F"/>
    <w:rsid w:val="001C1259"/>
    <w:rsid w:val="001D1DA7"/>
    <w:rsid w:val="001E17E4"/>
    <w:rsid w:val="001E2410"/>
    <w:rsid w:val="001E347C"/>
    <w:rsid w:val="001E6110"/>
    <w:rsid w:val="001F3C4D"/>
    <w:rsid w:val="002033EA"/>
    <w:rsid w:val="00214046"/>
    <w:rsid w:val="0022561F"/>
    <w:rsid w:val="00232DBE"/>
    <w:rsid w:val="002355E7"/>
    <w:rsid w:val="00235F73"/>
    <w:rsid w:val="0023681E"/>
    <w:rsid w:val="00241FEC"/>
    <w:rsid w:val="00243562"/>
    <w:rsid w:val="0025164A"/>
    <w:rsid w:val="00265C3D"/>
    <w:rsid w:val="00266C2E"/>
    <w:rsid w:val="00270DF8"/>
    <w:rsid w:val="002754B3"/>
    <w:rsid w:val="0028392B"/>
    <w:rsid w:val="002934F2"/>
    <w:rsid w:val="002A3A19"/>
    <w:rsid w:val="002A3ED4"/>
    <w:rsid w:val="002A7274"/>
    <w:rsid w:val="002B2833"/>
    <w:rsid w:val="002B7BA1"/>
    <w:rsid w:val="002C01BB"/>
    <w:rsid w:val="002C3FA4"/>
    <w:rsid w:val="002E2161"/>
    <w:rsid w:val="002E30F2"/>
    <w:rsid w:val="002E4E72"/>
    <w:rsid w:val="002F0CE0"/>
    <w:rsid w:val="002F4ED9"/>
    <w:rsid w:val="002F75FE"/>
    <w:rsid w:val="002F7FA5"/>
    <w:rsid w:val="003017F4"/>
    <w:rsid w:val="00301AAB"/>
    <w:rsid w:val="00306B68"/>
    <w:rsid w:val="003129FE"/>
    <w:rsid w:val="003322AC"/>
    <w:rsid w:val="00335342"/>
    <w:rsid w:val="00343A8E"/>
    <w:rsid w:val="00345713"/>
    <w:rsid w:val="003566B9"/>
    <w:rsid w:val="00356C98"/>
    <w:rsid w:val="0036367B"/>
    <w:rsid w:val="0036496C"/>
    <w:rsid w:val="00365414"/>
    <w:rsid w:val="00372734"/>
    <w:rsid w:val="00372A33"/>
    <w:rsid w:val="0037374A"/>
    <w:rsid w:val="00377A88"/>
    <w:rsid w:val="00392E2B"/>
    <w:rsid w:val="003A396F"/>
    <w:rsid w:val="003A68FD"/>
    <w:rsid w:val="003A7A18"/>
    <w:rsid w:val="003B3187"/>
    <w:rsid w:val="003B327A"/>
    <w:rsid w:val="003B4612"/>
    <w:rsid w:val="003B76D2"/>
    <w:rsid w:val="003D6D41"/>
    <w:rsid w:val="003E3B0A"/>
    <w:rsid w:val="0040581D"/>
    <w:rsid w:val="00417BF3"/>
    <w:rsid w:val="00425D21"/>
    <w:rsid w:val="00426463"/>
    <w:rsid w:val="00427875"/>
    <w:rsid w:val="004317A0"/>
    <w:rsid w:val="0043556D"/>
    <w:rsid w:val="0043739B"/>
    <w:rsid w:val="00441579"/>
    <w:rsid w:val="004418B5"/>
    <w:rsid w:val="00445789"/>
    <w:rsid w:val="00463FB8"/>
    <w:rsid w:val="00480A2F"/>
    <w:rsid w:val="00480B47"/>
    <w:rsid w:val="00481F19"/>
    <w:rsid w:val="00487BC0"/>
    <w:rsid w:val="00490FF8"/>
    <w:rsid w:val="004A1851"/>
    <w:rsid w:val="004B337A"/>
    <w:rsid w:val="004B5538"/>
    <w:rsid w:val="004C3127"/>
    <w:rsid w:val="004D27C3"/>
    <w:rsid w:val="004D44D2"/>
    <w:rsid w:val="004D491E"/>
    <w:rsid w:val="004E3E51"/>
    <w:rsid w:val="004E625A"/>
    <w:rsid w:val="004F73BD"/>
    <w:rsid w:val="00502474"/>
    <w:rsid w:val="00515110"/>
    <w:rsid w:val="00523062"/>
    <w:rsid w:val="00532434"/>
    <w:rsid w:val="00537019"/>
    <w:rsid w:val="0054271B"/>
    <w:rsid w:val="00545281"/>
    <w:rsid w:val="00551A39"/>
    <w:rsid w:val="00566585"/>
    <w:rsid w:val="00580A2F"/>
    <w:rsid w:val="005A2CB7"/>
    <w:rsid w:val="005B15C7"/>
    <w:rsid w:val="005B51EA"/>
    <w:rsid w:val="005C6B92"/>
    <w:rsid w:val="005F4CC9"/>
    <w:rsid w:val="0060056E"/>
    <w:rsid w:val="006039C9"/>
    <w:rsid w:val="00605602"/>
    <w:rsid w:val="00605D22"/>
    <w:rsid w:val="00620A03"/>
    <w:rsid w:val="00621126"/>
    <w:rsid w:val="0062145A"/>
    <w:rsid w:val="00633C60"/>
    <w:rsid w:val="00645C9F"/>
    <w:rsid w:val="00650775"/>
    <w:rsid w:val="0065388D"/>
    <w:rsid w:val="00655506"/>
    <w:rsid w:val="00674396"/>
    <w:rsid w:val="006849AD"/>
    <w:rsid w:val="006853A7"/>
    <w:rsid w:val="0069507F"/>
    <w:rsid w:val="006955DD"/>
    <w:rsid w:val="00697A98"/>
    <w:rsid w:val="006A0492"/>
    <w:rsid w:val="006A3DED"/>
    <w:rsid w:val="006A6E23"/>
    <w:rsid w:val="006B05FF"/>
    <w:rsid w:val="006C4D2E"/>
    <w:rsid w:val="006D3D60"/>
    <w:rsid w:val="006E1F9C"/>
    <w:rsid w:val="006E4A2C"/>
    <w:rsid w:val="006E721A"/>
    <w:rsid w:val="006F0E11"/>
    <w:rsid w:val="006F40C8"/>
    <w:rsid w:val="00700872"/>
    <w:rsid w:val="00706BB4"/>
    <w:rsid w:val="00714029"/>
    <w:rsid w:val="007203B6"/>
    <w:rsid w:val="007222C1"/>
    <w:rsid w:val="00725205"/>
    <w:rsid w:val="0074091B"/>
    <w:rsid w:val="00740927"/>
    <w:rsid w:val="00744302"/>
    <w:rsid w:val="00747C60"/>
    <w:rsid w:val="007732EA"/>
    <w:rsid w:val="00777EA3"/>
    <w:rsid w:val="007933F9"/>
    <w:rsid w:val="00793C7B"/>
    <w:rsid w:val="007954B6"/>
    <w:rsid w:val="007A5E22"/>
    <w:rsid w:val="007B3768"/>
    <w:rsid w:val="007B5395"/>
    <w:rsid w:val="007C38FB"/>
    <w:rsid w:val="007C6434"/>
    <w:rsid w:val="007D4E4C"/>
    <w:rsid w:val="007D5F13"/>
    <w:rsid w:val="007D69F8"/>
    <w:rsid w:val="007E4819"/>
    <w:rsid w:val="007E4E03"/>
    <w:rsid w:val="007E7289"/>
    <w:rsid w:val="00805F3F"/>
    <w:rsid w:val="00817A5D"/>
    <w:rsid w:val="00821209"/>
    <w:rsid w:val="00821491"/>
    <w:rsid w:val="00831411"/>
    <w:rsid w:val="00842536"/>
    <w:rsid w:val="00843692"/>
    <w:rsid w:val="0085135B"/>
    <w:rsid w:val="0085287C"/>
    <w:rsid w:val="008559B6"/>
    <w:rsid w:val="008559FD"/>
    <w:rsid w:val="00855E65"/>
    <w:rsid w:val="0085612E"/>
    <w:rsid w:val="00880868"/>
    <w:rsid w:val="00880D30"/>
    <w:rsid w:val="008811AD"/>
    <w:rsid w:val="008812FA"/>
    <w:rsid w:val="008B222B"/>
    <w:rsid w:val="008C138F"/>
    <w:rsid w:val="008C204C"/>
    <w:rsid w:val="008C2625"/>
    <w:rsid w:val="008C4FE2"/>
    <w:rsid w:val="008D4D6A"/>
    <w:rsid w:val="008F7014"/>
    <w:rsid w:val="009049E9"/>
    <w:rsid w:val="00907F9B"/>
    <w:rsid w:val="00911503"/>
    <w:rsid w:val="00917C2D"/>
    <w:rsid w:val="009209B6"/>
    <w:rsid w:val="00923CB4"/>
    <w:rsid w:val="009335E0"/>
    <w:rsid w:val="00941732"/>
    <w:rsid w:val="009510F3"/>
    <w:rsid w:val="00954018"/>
    <w:rsid w:val="00955590"/>
    <w:rsid w:val="00970435"/>
    <w:rsid w:val="009704EC"/>
    <w:rsid w:val="00971619"/>
    <w:rsid w:val="00982EAB"/>
    <w:rsid w:val="0098505E"/>
    <w:rsid w:val="00991480"/>
    <w:rsid w:val="009945A7"/>
    <w:rsid w:val="00995E63"/>
    <w:rsid w:val="0099643D"/>
    <w:rsid w:val="009969DC"/>
    <w:rsid w:val="00996BA5"/>
    <w:rsid w:val="009A0F79"/>
    <w:rsid w:val="009A3C75"/>
    <w:rsid w:val="009B03F2"/>
    <w:rsid w:val="009C4EE2"/>
    <w:rsid w:val="009D46B1"/>
    <w:rsid w:val="009E7F6E"/>
    <w:rsid w:val="009F2B6A"/>
    <w:rsid w:val="009F5541"/>
    <w:rsid w:val="00A01204"/>
    <w:rsid w:val="00A022BA"/>
    <w:rsid w:val="00A256AC"/>
    <w:rsid w:val="00A32BE3"/>
    <w:rsid w:val="00A4207A"/>
    <w:rsid w:val="00A5653E"/>
    <w:rsid w:val="00A63533"/>
    <w:rsid w:val="00A723C4"/>
    <w:rsid w:val="00A72D2B"/>
    <w:rsid w:val="00A820E9"/>
    <w:rsid w:val="00A82942"/>
    <w:rsid w:val="00A83E24"/>
    <w:rsid w:val="00AA20F8"/>
    <w:rsid w:val="00AA327B"/>
    <w:rsid w:val="00AA55AF"/>
    <w:rsid w:val="00AB19A5"/>
    <w:rsid w:val="00AC2FD6"/>
    <w:rsid w:val="00AC78FC"/>
    <w:rsid w:val="00AD4CFE"/>
    <w:rsid w:val="00AE79BA"/>
    <w:rsid w:val="00AF350E"/>
    <w:rsid w:val="00AF3D8F"/>
    <w:rsid w:val="00AF5273"/>
    <w:rsid w:val="00AF5D3D"/>
    <w:rsid w:val="00B0671C"/>
    <w:rsid w:val="00B13495"/>
    <w:rsid w:val="00B262DD"/>
    <w:rsid w:val="00B278DE"/>
    <w:rsid w:val="00B30287"/>
    <w:rsid w:val="00B30EBD"/>
    <w:rsid w:val="00B351C3"/>
    <w:rsid w:val="00B36AC9"/>
    <w:rsid w:val="00B36E7A"/>
    <w:rsid w:val="00B542CD"/>
    <w:rsid w:val="00B6465B"/>
    <w:rsid w:val="00B772D7"/>
    <w:rsid w:val="00B85451"/>
    <w:rsid w:val="00B86006"/>
    <w:rsid w:val="00B86D86"/>
    <w:rsid w:val="00BA2A96"/>
    <w:rsid w:val="00BA5FE5"/>
    <w:rsid w:val="00BC1FD9"/>
    <w:rsid w:val="00BC30FF"/>
    <w:rsid w:val="00BC500D"/>
    <w:rsid w:val="00BD7FD7"/>
    <w:rsid w:val="00BF1606"/>
    <w:rsid w:val="00BF1647"/>
    <w:rsid w:val="00BF5A25"/>
    <w:rsid w:val="00C06428"/>
    <w:rsid w:val="00C11347"/>
    <w:rsid w:val="00C35018"/>
    <w:rsid w:val="00C40A34"/>
    <w:rsid w:val="00C4484E"/>
    <w:rsid w:val="00C46F7C"/>
    <w:rsid w:val="00C519B5"/>
    <w:rsid w:val="00C55EDB"/>
    <w:rsid w:val="00C573E9"/>
    <w:rsid w:val="00C729DA"/>
    <w:rsid w:val="00C764B7"/>
    <w:rsid w:val="00C90B56"/>
    <w:rsid w:val="00CA3F25"/>
    <w:rsid w:val="00CB5B9D"/>
    <w:rsid w:val="00CB6428"/>
    <w:rsid w:val="00CC01A5"/>
    <w:rsid w:val="00CC2134"/>
    <w:rsid w:val="00CD255A"/>
    <w:rsid w:val="00D126EC"/>
    <w:rsid w:val="00D14955"/>
    <w:rsid w:val="00D24CD6"/>
    <w:rsid w:val="00D24FA6"/>
    <w:rsid w:val="00D544D2"/>
    <w:rsid w:val="00D660F8"/>
    <w:rsid w:val="00D744C5"/>
    <w:rsid w:val="00D827AF"/>
    <w:rsid w:val="00D8451F"/>
    <w:rsid w:val="00D8474D"/>
    <w:rsid w:val="00D84D5B"/>
    <w:rsid w:val="00D86771"/>
    <w:rsid w:val="00D90C73"/>
    <w:rsid w:val="00D90F17"/>
    <w:rsid w:val="00D9480E"/>
    <w:rsid w:val="00D94FFD"/>
    <w:rsid w:val="00DA7038"/>
    <w:rsid w:val="00DB4AF2"/>
    <w:rsid w:val="00DB572A"/>
    <w:rsid w:val="00DC14B3"/>
    <w:rsid w:val="00DC399C"/>
    <w:rsid w:val="00DC7D6D"/>
    <w:rsid w:val="00DD2999"/>
    <w:rsid w:val="00DD2B43"/>
    <w:rsid w:val="00DD2CF8"/>
    <w:rsid w:val="00DD5C58"/>
    <w:rsid w:val="00DE240B"/>
    <w:rsid w:val="00DE529C"/>
    <w:rsid w:val="00DE6D9E"/>
    <w:rsid w:val="00DF3482"/>
    <w:rsid w:val="00DF450F"/>
    <w:rsid w:val="00E04A58"/>
    <w:rsid w:val="00E07425"/>
    <w:rsid w:val="00E07A05"/>
    <w:rsid w:val="00E16025"/>
    <w:rsid w:val="00E167FD"/>
    <w:rsid w:val="00E16F50"/>
    <w:rsid w:val="00E24179"/>
    <w:rsid w:val="00E31783"/>
    <w:rsid w:val="00E36636"/>
    <w:rsid w:val="00E43A34"/>
    <w:rsid w:val="00E44D37"/>
    <w:rsid w:val="00E52850"/>
    <w:rsid w:val="00E609A5"/>
    <w:rsid w:val="00E61928"/>
    <w:rsid w:val="00E656D2"/>
    <w:rsid w:val="00E7276C"/>
    <w:rsid w:val="00E84382"/>
    <w:rsid w:val="00E9180B"/>
    <w:rsid w:val="00EA0646"/>
    <w:rsid w:val="00EA2BA4"/>
    <w:rsid w:val="00EA3103"/>
    <w:rsid w:val="00EB15C1"/>
    <w:rsid w:val="00EC325A"/>
    <w:rsid w:val="00EC3A8E"/>
    <w:rsid w:val="00EC57F0"/>
    <w:rsid w:val="00ED68AF"/>
    <w:rsid w:val="00EF2E7C"/>
    <w:rsid w:val="00F01A6E"/>
    <w:rsid w:val="00F11811"/>
    <w:rsid w:val="00F20178"/>
    <w:rsid w:val="00F23C6C"/>
    <w:rsid w:val="00F24BC8"/>
    <w:rsid w:val="00F25045"/>
    <w:rsid w:val="00F30F3E"/>
    <w:rsid w:val="00F32002"/>
    <w:rsid w:val="00F4605D"/>
    <w:rsid w:val="00F51EF5"/>
    <w:rsid w:val="00F74928"/>
    <w:rsid w:val="00F8197E"/>
    <w:rsid w:val="00F833B1"/>
    <w:rsid w:val="00F87D90"/>
    <w:rsid w:val="00F90495"/>
    <w:rsid w:val="00FA4179"/>
    <w:rsid w:val="00FB4362"/>
    <w:rsid w:val="00FB53A1"/>
    <w:rsid w:val="00FD30CF"/>
    <w:rsid w:val="00FE0E46"/>
    <w:rsid w:val="00FF0AEC"/>
    <w:rsid w:val="00FF1DF4"/>
    <w:rsid w:val="00FF4165"/>
    <w:rsid w:val="02E03DF9"/>
    <w:rsid w:val="113741D2"/>
    <w:rsid w:val="12603A72"/>
    <w:rsid w:val="18330BA7"/>
    <w:rsid w:val="1D34261E"/>
    <w:rsid w:val="42A05423"/>
    <w:rsid w:val="48D63125"/>
    <w:rsid w:val="4C433C79"/>
    <w:rsid w:val="527E074E"/>
    <w:rsid w:val="56393C72"/>
    <w:rsid w:val="579503FF"/>
    <w:rsid w:val="60535296"/>
    <w:rsid w:val="6E4738DA"/>
    <w:rsid w:val="72FD2525"/>
    <w:rsid w:val="74C22DBC"/>
    <w:rsid w:val="78106856"/>
    <w:rsid w:val="FF7FF9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qFormat="1" w:unhideWhenUsed="0" w:uiPriority="0" w:semiHidden="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link w:val="16"/>
    <w:qFormat/>
    <w:uiPriority w:val="0"/>
    <w:pPr>
      <w:keepNext/>
      <w:keepLines/>
      <w:spacing w:before="340" w:after="330" w:line="578" w:lineRule="auto"/>
      <w:outlineLvl w:val="0"/>
    </w:pPr>
    <w:rPr>
      <w:rFonts w:ascii="Times New Roman" w:hAnsi="Times New Roman"/>
      <w:b/>
      <w:bCs/>
      <w:kern w:val="44"/>
      <w:sz w:val="44"/>
      <w:szCs w:val="44"/>
    </w:rPr>
  </w:style>
  <w:style w:type="character" w:default="1" w:styleId="9">
    <w:name w:val="Default Paragraph Font"/>
    <w:autoRedefine/>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link w:val="18"/>
    <w:autoRedefine/>
    <w:qFormat/>
    <w:uiPriority w:val="0"/>
    <w:pPr>
      <w:jc w:val="left"/>
    </w:pPr>
  </w:style>
  <w:style w:type="paragraph" w:styleId="4">
    <w:name w:val="Balloon Text"/>
    <w:basedOn w:val="1"/>
    <w:link w:val="15"/>
    <w:qFormat/>
    <w:uiPriority w:val="0"/>
    <w:rPr>
      <w:sz w:val="18"/>
      <w:szCs w:val="18"/>
    </w:rPr>
  </w:style>
  <w:style w:type="paragraph" w:styleId="5">
    <w:name w:val="footer"/>
    <w:basedOn w:val="1"/>
    <w:link w:val="12"/>
    <w:qFormat/>
    <w:uiPriority w:val="0"/>
    <w:pPr>
      <w:tabs>
        <w:tab w:val="center" w:pos="4153"/>
        <w:tab w:val="right" w:pos="8306"/>
      </w:tabs>
      <w:snapToGrid w:val="0"/>
      <w:jc w:val="left"/>
    </w:pPr>
    <w:rPr>
      <w:sz w:val="18"/>
      <w:szCs w:val="18"/>
    </w:rPr>
  </w:style>
  <w:style w:type="paragraph" w:styleId="6">
    <w:name w:val="header"/>
    <w:basedOn w:val="1"/>
    <w:link w:val="13"/>
    <w:qFormat/>
    <w:uiPriority w:val="0"/>
    <w:pPr>
      <w:pBdr>
        <w:bottom w:val="single" w:color="auto" w:sz="6" w:space="1"/>
      </w:pBdr>
      <w:tabs>
        <w:tab w:val="center" w:pos="4153"/>
        <w:tab w:val="right" w:pos="8306"/>
      </w:tabs>
      <w:snapToGrid w:val="0"/>
      <w:jc w:val="center"/>
    </w:pPr>
    <w:rPr>
      <w:sz w:val="18"/>
      <w:szCs w:val="18"/>
    </w:rPr>
  </w:style>
  <w:style w:type="paragraph" w:styleId="7">
    <w:name w:val="annotation subject"/>
    <w:basedOn w:val="3"/>
    <w:next w:val="3"/>
    <w:link w:val="19"/>
    <w:autoRedefine/>
    <w:qFormat/>
    <w:uiPriority w:val="0"/>
    <w:rPr>
      <w:b/>
      <w:bCs/>
    </w:rPr>
  </w:style>
  <w:style w:type="character" w:styleId="10">
    <w:name w:val="line number"/>
    <w:autoRedefine/>
    <w:qFormat/>
    <w:uiPriority w:val="0"/>
  </w:style>
  <w:style w:type="character" w:styleId="11">
    <w:name w:val="annotation reference"/>
    <w:autoRedefine/>
    <w:qFormat/>
    <w:uiPriority w:val="0"/>
    <w:rPr>
      <w:sz w:val="21"/>
      <w:szCs w:val="21"/>
    </w:rPr>
  </w:style>
  <w:style w:type="character" w:customStyle="1" w:styleId="12">
    <w:name w:val="页脚 Char"/>
    <w:link w:val="5"/>
    <w:qFormat/>
    <w:uiPriority w:val="0"/>
    <w:rPr>
      <w:sz w:val="18"/>
      <w:szCs w:val="18"/>
    </w:rPr>
  </w:style>
  <w:style w:type="character" w:customStyle="1" w:styleId="13">
    <w:name w:val="页眉 Char"/>
    <w:link w:val="6"/>
    <w:autoRedefine/>
    <w:qFormat/>
    <w:uiPriority w:val="0"/>
    <w:rPr>
      <w:sz w:val="18"/>
      <w:szCs w:val="18"/>
    </w:rPr>
  </w:style>
  <w:style w:type="paragraph" w:styleId="14">
    <w:name w:val="List Paragraph"/>
    <w:basedOn w:val="1"/>
    <w:qFormat/>
    <w:uiPriority w:val="0"/>
    <w:pPr>
      <w:ind w:firstLine="420" w:firstLineChars="200"/>
    </w:pPr>
  </w:style>
  <w:style w:type="character" w:customStyle="1" w:styleId="15">
    <w:name w:val="批注框文本 Char"/>
    <w:link w:val="4"/>
    <w:qFormat/>
    <w:uiPriority w:val="0"/>
    <w:rPr>
      <w:kern w:val="2"/>
      <w:sz w:val="18"/>
      <w:szCs w:val="18"/>
    </w:rPr>
  </w:style>
  <w:style w:type="character" w:customStyle="1" w:styleId="16">
    <w:name w:val="标题 1 Char"/>
    <w:link w:val="2"/>
    <w:autoRedefine/>
    <w:qFormat/>
    <w:uiPriority w:val="0"/>
    <w:rPr>
      <w:rFonts w:ascii="Times New Roman" w:hAnsi="Times New Roman"/>
      <w:b/>
      <w:bCs/>
      <w:kern w:val="44"/>
      <w:sz w:val="44"/>
      <w:szCs w:val="44"/>
    </w:rPr>
  </w:style>
  <w:style w:type="paragraph" w:customStyle="1" w:styleId="17">
    <w:name w:val="TOC Heading"/>
    <w:basedOn w:val="2"/>
    <w:next w:val="1"/>
    <w:qFormat/>
    <w:uiPriority w:val="0"/>
    <w:pPr>
      <w:widowControl/>
      <w:spacing w:before="480" w:after="0" w:line="276" w:lineRule="auto"/>
      <w:jc w:val="left"/>
      <w:outlineLvl w:val="9"/>
    </w:pPr>
    <w:rPr>
      <w:rFonts w:ascii="Cambria" w:hAnsi="Cambria"/>
      <w:color w:val="365F91"/>
      <w:kern w:val="0"/>
      <w:sz w:val="28"/>
      <w:szCs w:val="28"/>
    </w:rPr>
  </w:style>
  <w:style w:type="character" w:customStyle="1" w:styleId="18">
    <w:name w:val="批注文字 Char"/>
    <w:link w:val="3"/>
    <w:qFormat/>
    <w:uiPriority w:val="0"/>
    <w:rPr>
      <w:kern w:val="2"/>
      <w:sz w:val="21"/>
      <w:szCs w:val="22"/>
    </w:rPr>
  </w:style>
  <w:style w:type="character" w:customStyle="1" w:styleId="19">
    <w:name w:val="批注主题 Char"/>
    <w:link w:val="7"/>
    <w:qFormat/>
    <w:uiPriority w:val="0"/>
    <w:rPr>
      <w:b/>
      <w:bCs/>
      <w:kern w:val="2"/>
      <w:sz w:val="21"/>
      <w:szCs w:val="22"/>
    </w:rPr>
  </w:style>
  <w:style w:type="character" w:customStyle="1" w:styleId="20">
    <w:name w:val="fontstyle01"/>
    <w:autoRedefine/>
    <w:qFormat/>
    <w:uiPriority w:val="0"/>
    <w:rPr>
      <w:rFonts w:hint="eastAsia" w:ascii="仿宋_GB2312" w:eastAsia="仿宋_GB2312"/>
      <w:color w:val="000000"/>
      <w:sz w:val="32"/>
      <w:szCs w:val="32"/>
    </w:rPr>
  </w:style>
  <w:style w:type="character" w:customStyle="1" w:styleId="21">
    <w:name w:val="fontstyle21"/>
    <w:autoRedefine/>
    <w:qFormat/>
    <w:uiPriority w:val="0"/>
    <w:rPr>
      <w:rFonts w:hint="default" w:ascii="TimesNewRomanPSMT" w:hAnsi="TimesNewRomanPSMT"/>
      <w:color w:val="000000"/>
      <w:sz w:val="32"/>
      <w:szCs w:val="32"/>
    </w:rPr>
  </w:style>
  <w:style w:type="character" w:customStyle="1" w:styleId="22">
    <w:name w:val="fontstyle11"/>
    <w:autoRedefine/>
    <w:qFormat/>
    <w:uiPriority w:val="0"/>
    <w:rPr>
      <w:rFonts w:hint="eastAsia" w:ascii="仿宋_GB2312" w:eastAsia="仿宋_GB2312"/>
      <w:color w:val="000000"/>
      <w:sz w:val="32"/>
      <w:szCs w:val="32"/>
    </w:rPr>
  </w:style>
  <w:style w:type="character" w:customStyle="1" w:styleId="23">
    <w:name w:val="fontstyle31"/>
    <w:autoRedefine/>
    <w:qFormat/>
    <w:uiPriority w:val="0"/>
    <w:rPr>
      <w:rFonts w:hint="default" w:ascii="TimesNewRomanPSMT" w:hAnsi="TimesNewRomanPSMT"/>
      <w:color w:val="000000"/>
      <w:sz w:val="32"/>
      <w:szCs w:val="3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beijing</Company>
  <Pages>13</Pages>
  <Words>5931</Words>
  <Characters>6260</Characters>
  <Lines>68</Lines>
  <Paragraphs>19</Paragraphs>
  <TotalTime>0</TotalTime>
  <ScaleCrop>false</ScaleCrop>
  <LinksUpToDate>false</LinksUpToDate>
  <CharactersWithSpaces>6626</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2024-01-30T17:03:00Z</dcterms:created>
  <dc:creator>home</dc:creator>
  <cp:lastModifiedBy>WPS_Arno</cp:lastModifiedBy>
  <cp:lastPrinted>2022-02-15T15:45:00Z</cp:lastPrinted>
  <dcterms:modified xsi:type="dcterms:W3CDTF">2026-03-16T11:31:04Z</dcterms:modified>
  <cp:revision>43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4746AA2B63644A919A7677ADD6665D0C</vt:lpwstr>
  </property>
  <property fmtid="{D5CDD505-2E9C-101B-9397-08002B2CF9AE}" pid="4" name="KSOTemplateDocerSaveRecord">
    <vt:lpwstr>eyJoZGlkIjoiYTg1YzViYmJkOGVmYmViMzRkZmRiOWNjNTkyMmY1YmUiLCJ1c2VySWQiOiIxNDg4MDMzMjc3In0=</vt:lpwstr>
  </property>
</Properties>
</file>