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062F2D3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华池县城市管理综合行政执法队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7C7BDEF7">
      <w:pPr>
        <w:spacing w:line="600" w:lineRule="exact"/>
        <w:ind w:firstLine="640" w:firstLineChars="200"/>
        <w:rPr>
          <w:rFonts w:hint="default" w:ascii="仿宋_GB2312" w:hAnsi="仿宋" w:eastAsia="仿宋_GB2312" w:cs="宋体"/>
          <w:kern w:val="0"/>
          <w:sz w:val="32"/>
          <w:szCs w:val="32"/>
        </w:rPr>
      </w:pPr>
      <w:r>
        <w:rPr>
          <w:rFonts w:ascii="仿宋_GB2312" w:hAnsi="仿宋" w:eastAsia="仿宋_GB2312" w:cs="宋体"/>
          <w:kern w:val="0"/>
          <w:sz w:val="32"/>
          <w:szCs w:val="32"/>
        </w:rPr>
        <w:t>负责贯彻执行国家、省、市有关城市管理行政执法的法律、法规和政策规定</w:t>
      </w:r>
      <w:r>
        <w:rPr>
          <w:rFonts w:hint="default" w:ascii="仿宋_GB2312" w:hAnsi="仿宋" w:eastAsia="仿宋_GB2312" w:cs="宋体"/>
          <w:kern w:val="0"/>
          <w:sz w:val="32"/>
          <w:szCs w:val="32"/>
        </w:rPr>
        <w:t>;负责研究制定城市管理行政执法工作规划并组织实施;负责行使市容环境卫生、</w:t>
      </w:r>
      <w:r>
        <w:rPr>
          <w:rFonts w:ascii="仿宋_GB2312" w:hAnsi="仿宋" w:eastAsia="仿宋_GB2312" w:cs="宋体"/>
          <w:kern w:val="0"/>
          <w:sz w:val="32"/>
          <w:szCs w:val="32"/>
        </w:rPr>
        <w:t> </w:t>
      </w:r>
      <w:r>
        <w:rPr>
          <w:rFonts w:hint="default" w:ascii="仿宋_GB2312" w:hAnsi="仿宋" w:eastAsia="仿宋_GB2312" w:cs="宋体"/>
          <w:kern w:val="0"/>
          <w:sz w:val="32"/>
          <w:szCs w:val="32"/>
        </w:rPr>
        <w:t>绿化管理、市政管理方面法律、法规、规章规定的行政处罚权和城市规划管理、环境保护、工商行政管理、公安交通方面法律、法规规定的部分行政处罚权;承担城市管理行政执法队伍的管理培训、监督考评等工作;承办县委、县政府和上级业务部门交办的其他事项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7EE9E8BC">
      <w:pPr>
        <w:spacing w:line="600" w:lineRule="exact"/>
        <w:ind w:firstLine="640" w:firstLineChars="200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5A38B7E5">
      <w:pPr>
        <w:spacing w:line="600" w:lineRule="exact"/>
        <w:ind w:firstLine="620" w:firstLineChars="200"/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2008年12月被甘肃省人事厅列入参照公务员法管理范围，2015年5月由庆阳市机构编制委员会更名为“华池县城市管理行政执法局”，为全额拨款正科级参照公务员法管理单位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2023年机构改革为“华池县城市管理综合行政执法队”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。</w:t>
      </w:r>
    </w:p>
    <w:p w14:paraId="1A18BC42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360FEB7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无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2558.14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2558.14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2558.14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万元；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2558.14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1010.65</w:t>
      </w:r>
      <w:r>
        <w:rPr>
          <w:rStyle w:val="20"/>
          <w:rFonts w:hint="default" w:hAnsi="仿宋"/>
        </w:rPr>
        <w:t>万元， 占</w:t>
      </w:r>
      <w:r>
        <w:rPr>
          <w:rStyle w:val="20"/>
          <w:rFonts w:hint="eastAsia" w:hAnsi="仿宋" w:eastAsia="仿宋_GB2312"/>
          <w:lang w:val="en-US" w:eastAsia="zh-CN"/>
        </w:rPr>
        <w:t>39.51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1547.49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60.49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2558.14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</w:t>
      </w:r>
      <w:r>
        <w:rPr>
          <w:rStyle w:val="20"/>
          <w:rFonts w:hint="eastAsia" w:hAnsi="仿宋" w:eastAsia="仿宋_GB2312"/>
          <w:lang w:val="en-US" w:eastAsia="zh-CN"/>
        </w:rPr>
        <w:t>卫生健康</w:t>
      </w:r>
      <w:r>
        <w:rPr>
          <w:rStyle w:val="20"/>
          <w:rFonts w:hint="default" w:hAnsi="仿宋"/>
        </w:rPr>
        <w:t>支出</w:t>
      </w:r>
      <w:r>
        <w:rPr>
          <w:rStyle w:val="21"/>
          <w:rFonts w:hint="eastAsia" w:ascii="仿宋_GB2312" w:hAnsi="仿宋" w:eastAsia="仿宋_GB2312"/>
          <w:lang w:val="en-US" w:eastAsia="zh-CN"/>
        </w:rPr>
        <w:t>42.52万</w:t>
      </w:r>
      <w:r>
        <w:rPr>
          <w:rStyle w:val="20"/>
          <w:rFonts w:hint="default" w:hAnsi="仿宋"/>
        </w:rPr>
        <w:t>元、城乡社区支出</w:t>
      </w:r>
      <w:r>
        <w:rPr>
          <w:rStyle w:val="21"/>
          <w:rFonts w:hint="eastAsia" w:ascii="仿宋_GB2312" w:hAnsi="仿宋" w:eastAsia="仿宋_GB2312"/>
          <w:lang w:val="en-US" w:eastAsia="zh-CN"/>
        </w:rPr>
        <w:t>2318.87</w:t>
      </w:r>
      <w:r>
        <w:rPr>
          <w:rStyle w:val="20"/>
          <w:rFonts w:hint="default" w:hAnsi="仿宋"/>
        </w:rPr>
        <w:t>万元、住房保障支出</w:t>
      </w:r>
      <w:r>
        <w:rPr>
          <w:rStyle w:val="21"/>
          <w:rFonts w:hint="eastAsia" w:ascii="仿宋_GB2312" w:hAnsi="仿宋" w:eastAsia="仿宋_GB2312"/>
          <w:lang w:val="en-US" w:eastAsia="zh-CN"/>
        </w:rPr>
        <w:t>60.80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135.94</w:t>
      </w:r>
      <w:r>
        <w:rPr>
          <w:rStyle w:val="20"/>
          <w:rFonts w:hint="default" w:hAnsi="仿宋"/>
        </w:rPr>
        <w:t>万元、其他支出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1010.65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31.05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3.16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人员各项保险核定增加。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951.94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58.71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1547.49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56.5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3.52</w:t>
      </w:r>
      <w:r>
        <w:rPr>
          <w:rFonts w:hint="eastAsia" w:ascii="仿宋_GB2312" w:hAnsi="仿宋" w:eastAsia="仿宋_GB2312"/>
          <w:sz w:val="32"/>
          <w:szCs w:val="32"/>
        </w:rPr>
        <w:t>%，增长（减少）的主要原因是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个别项目根据实际情况进行金额调整。</w:t>
      </w:r>
    </w:p>
    <w:p w14:paraId="1634191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个，主要是项目1城市环境保洁人员工资及保险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</w:p>
    <w:p w14:paraId="50CA5CEE">
      <w:pPr>
        <w:widowControl/>
        <w:adjustRightInd w:val="0"/>
        <w:snapToGrid w:val="0"/>
        <w:spacing w:line="640" w:lineRule="exact"/>
        <w:ind w:left="638" w:leftChars="304" w:firstLine="0" w:firstLineChars="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垃圾场清运及特种车辆燃油费、维修费及保险费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城区水电费及路灯维修费。</w:t>
      </w:r>
    </w:p>
    <w:p w14:paraId="2DD7CC27">
      <w:pPr>
        <w:widowControl/>
        <w:adjustRightInd w:val="0"/>
        <w:snapToGrid w:val="0"/>
        <w:spacing w:line="640" w:lineRule="exact"/>
        <w:ind w:left="638" w:leftChars="304" w:firstLine="0" w:firstLineChars="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个，主要是项目1城市市容市貌建设管理运行维护及垃圾无害化处理费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</w:rPr>
        <w:t>项目2环卫保洁工具。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36ECDB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一般公共服务（ 类） 纪检监察事务（ 款） 派驻派出机构（ 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39.86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15.32</w:t>
      </w:r>
      <w:r>
        <w:rPr>
          <w:rFonts w:hint="eastAsia" w:ascii="仿宋_GB2312" w:hAnsi="仿宋" w:eastAsia="仿宋_GB2312"/>
          <w:sz w:val="32"/>
          <w:szCs w:val="32"/>
        </w:rPr>
        <w:t>万元，增下降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按照政策要求缩减开支，节约支出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15A9A1A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1232.77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其中：办公用房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1423.25平方米，价值275.35万元。单价20万元以上的设备价值761.19万元。202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6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年拟采购固定资产约20万元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  <w:bookmarkStart w:id="0" w:name="_GoBack"/>
      <w:bookmarkEnd w:id="0"/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6C59E41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3D789B0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</w:rPr>
        <w:t>城市市容市貌建设管理运行维护及垃圾无害化处理费</w:t>
      </w:r>
    </w:p>
    <w:p w14:paraId="2B04A74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</w:rPr>
        <w:t>1、项目概况：街道路面破损修补，路缘石更换等；垃圾无害化处理等，实现城市道路维护、城市人居环境美化、生活垃圾处理无害化、城市道路照明亮化的目标。</w:t>
      </w:r>
    </w:p>
    <w:p w14:paraId="577A5E0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</w:rPr>
        <w:t>2、立项依据：依据中共庆阳市委庆阳市人民政府关于加强城市管理工作的意见。</w:t>
      </w:r>
    </w:p>
    <w:p w14:paraId="13DB1E9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</w:rPr>
        <w:t>3、实施主体：华池县城市管理行政执法局</w:t>
      </w:r>
    </w:p>
    <w:p w14:paraId="26867DE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</w:rPr>
        <w:t>4、实施周期：一年</w:t>
      </w:r>
    </w:p>
    <w:p w14:paraId="3BDA129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" w:eastAsia="仿宋_GB2312"/>
          <w:sz w:val="32"/>
          <w:szCs w:val="32"/>
        </w:rPr>
        <w:t>5、实施计划：定期检查城区市政设施使用情况并及时予以维修管护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定期对城区垃圾进行清理并无害化处理，及时对公厕进行检修，定期对绿化设施进行维护。</w:t>
      </w:r>
    </w:p>
    <w:p w14:paraId="46A2D34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210</w:t>
      </w:r>
      <w:r>
        <w:rPr>
          <w:rFonts w:hint="default" w:ascii="仿宋_GB2312" w:hAnsi="仿宋" w:eastAsia="仿宋_GB2312"/>
          <w:sz w:val="32"/>
          <w:szCs w:val="32"/>
        </w:rPr>
        <w:t>万元</w:t>
      </w:r>
    </w:p>
    <w:p w14:paraId="7086ABF5">
      <w:pPr>
        <w:adjustRightInd w:val="0"/>
        <w:snapToGrid w:val="0"/>
        <w:spacing w:line="640" w:lineRule="exact"/>
        <w:ind w:firstLine="640" w:firstLineChars="200"/>
        <w:contextualSpacing/>
        <w:rPr>
          <w:rFonts w:hint="default" w:ascii="仿宋_GB2312" w:hAnsi="仿宋" w:eastAsia="仿宋_GB2312"/>
          <w:sz w:val="32"/>
          <w:szCs w:val="32"/>
        </w:rPr>
      </w:pPr>
      <w:r>
        <w:rPr>
          <w:rFonts w:hint="default" w:ascii="仿宋_GB2312" w:hAnsi="仿宋" w:eastAsia="仿宋_GB2312"/>
          <w:sz w:val="32"/>
          <w:szCs w:val="32"/>
        </w:rPr>
        <w:t>7、预期总体目标：实现城市道路维护、城市人居环境美化、公厕日常运转、文正园及范公祠正常运转、垃圾无害化处理的目标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default" w:ascii="仿宋_GB2312" w:hAnsi="仿宋" w:eastAsia="仿宋_GB2312"/>
          <w:sz w:val="32"/>
          <w:szCs w:val="32"/>
        </w:rPr>
        <w:t>使城市环境更加干净整洁，持续强化绿化管护。通过一系列的市容市貌环境管理维护措施，使城市的文明形象得到显著提升，市民的满意度和幸福感不断增强。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%。“双监控”发现存在的问题和主要原因是：一是绩效目标设置合理性有待加强，二是常态化绩效管理意识需进一步加强，三是绩效管理重视程度有待提高。开展1-9月绩效运行监控项目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一是绩效目标设置合理性有待加强，二是常态化绩效管理意识需进一步加强，三是绩效管理重视程度有待提高。绩效运行监控在部门内部通报整改情况：一是完善监控方式；二是适当调整绩效目标；三是坚持常态化绩效管理。坚持科学理财，加强制度创新，深入落实财政体制改革，积极推进中期财政规划管理，加强预算约束。认真落实过紧日子要求，严把关口。强化预算绩效管理，推动绩效管理常态化、规范化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个。绩效自评结果随部门决算报送财政和随决算公开情况：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我单位及时报送绩效自评结果决算和随决算及时公开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2583.59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年度增加部门预算项目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个，增长率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7.69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default" w:ascii="仿宋_GB2312" w:hAnsi="仿宋" w:eastAsia="仿宋_GB2312"/>
          <w:sz w:val="32"/>
          <w:szCs w:val="32"/>
        </w:rPr>
        <w:t>9个、三级指标17个；项目支出绩效目标围绕成本指标、产出指标、效益指标、满意度指标四个维度，设置二级指标9个、三级指标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56</w:t>
      </w:r>
      <w:r>
        <w:rPr>
          <w:rFonts w:hint="default" w:ascii="仿宋_GB2312" w:hAnsi="仿宋" w:eastAsia="仿宋_GB2312"/>
          <w:sz w:val="32"/>
          <w:szCs w:val="32"/>
        </w:rPr>
        <w:t>个。各项绩效目标内容指向明确、细化量化、合理可行，符合规定的格式要求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华池县城市管理综合行政执法队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right="960"/>
        <w:contextualSpacing/>
        <w:jc w:val="both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华池县城市管理综合行政执法队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firstLine="960" w:firstLineChars="3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华池县城市管理综合行政执法队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3017308E"/>
    <w:rsid w:val="42A05423"/>
    <w:rsid w:val="4C433C79"/>
    <w:rsid w:val="527E074E"/>
    <w:rsid w:val="56393C72"/>
    <w:rsid w:val="579503FF"/>
    <w:rsid w:val="60535296"/>
    <w:rsid w:val="72FD2525"/>
    <w:rsid w:val="78106856"/>
    <w:rsid w:val="7ECD3F38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31"/>
    <w:basedOn w:val="9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5028</Words>
  <Characters>5279</Characters>
  <Lines>68</Lines>
  <Paragraphs>19</Paragraphs>
  <TotalTime>89</TotalTime>
  <ScaleCrop>false</ScaleCrop>
  <LinksUpToDate>false</LinksUpToDate>
  <CharactersWithSpaces>5715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瞳</cp:lastModifiedBy>
  <cp:lastPrinted>2026-03-16T08:01:51Z</cp:lastPrinted>
  <dcterms:modified xsi:type="dcterms:W3CDTF">2026-03-16T09:30:52Z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92B6D13749B44E78810AADE9B5EB53CC_13</vt:lpwstr>
  </property>
  <property fmtid="{D5CDD505-2E9C-101B-9397-08002B2CF9AE}" pid="4" name="KSOTemplateDocerSaveRecord">
    <vt:lpwstr>eyJoZGlkIjoiMjI1NTI4YjNiMjc5ZTVkMGNlM2E3ZDAwYmNhZmVhZGIiLCJ1c2VySWQiOiIyNDg2OTQ4MTQifQ==</vt:lpwstr>
  </property>
</Properties>
</file>