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1D5A95">
      <w:pPr>
        <w:spacing w:line="660" w:lineRule="exact"/>
        <w:jc w:val="center"/>
        <w:rPr>
          <w:rFonts w:hint="default" w:ascii="Times New Roman" w:hAnsi="Times New Roman" w:cs="Times New Roman"/>
          <w:b/>
          <w:bCs/>
          <w:kern w:val="0"/>
          <w:sz w:val="44"/>
          <w:szCs w:val="44"/>
        </w:rPr>
      </w:pPr>
    </w:p>
    <w:p w14:paraId="75A6CC54">
      <w:pPr>
        <w:keepNext w:val="0"/>
        <w:keepLines w:val="0"/>
        <w:pageBreakBefore w:val="0"/>
        <w:widowControl w:val="0"/>
        <w:kinsoku/>
        <w:wordWrap/>
        <w:overflowPunct/>
        <w:topLinePunct w:val="0"/>
        <w:autoSpaceDE/>
        <w:autoSpaceDN/>
        <w:bidi w:val="0"/>
        <w:spacing w:line="660" w:lineRule="exact"/>
        <w:jc w:val="center"/>
        <w:textAlignment w:val="auto"/>
        <w:rPr>
          <w:rFonts w:hint="default" w:ascii="Times New Roman" w:hAnsi="Times New Roman" w:cs="Times New Roman"/>
          <w:b/>
          <w:bCs/>
          <w:kern w:val="0"/>
          <w:sz w:val="44"/>
          <w:szCs w:val="44"/>
          <w:lang w:val="en-US" w:eastAsia="zh-CN"/>
        </w:rPr>
      </w:pPr>
    </w:p>
    <w:p w14:paraId="5CBA0B0B">
      <w:pPr>
        <w:keepNext w:val="0"/>
        <w:keepLines w:val="0"/>
        <w:pageBreakBefore w:val="0"/>
        <w:widowControl w:val="0"/>
        <w:kinsoku/>
        <w:wordWrap/>
        <w:overflowPunct/>
        <w:topLinePunct w:val="0"/>
        <w:autoSpaceDE/>
        <w:autoSpaceDN/>
        <w:bidi w:val="0"/>
        <w:spacing w:line="660" w:lineRule="exact"/>
        <w:jc w:val="center"/>
        <w:textAlignment w:val="auto"/>
        <w:rPr>
          <w:rFonts w:hint="default" w:ascii="Times New Roman" w:hAnsi="Times New Roman" w:cs="Times New Roman"/>
          <w:b/>
          <w:bCs/>
          <w:kern w:val="0"/>
          <w:sz w:val="44"/>
          <w:szCs w:val="44"/>
          <w:lang w:val="en-US" w:eastAsia="zh-CN"/>
        </w:rPr>
      </w:pPr>
      <w:r>
        <w:rPr>
          <w:rFonts w:hint="default" w:ascii="Times New Roman" w:hAnsi="Times New Roman" w:cs="Times New Roman"/>
          <w:b/>
          <w:bCs/>
          <w:kern w:val="0"/>
          <w:sz w:val="44"/>
          <w:szCs w:val="44"/>
          <w:lang w:val="en-US" w:eastAsia="zh-CN"/>
        </w:rPr>
        <w:t>华池县农业农村局</w:t>
      </w:r>
    </w:p>
    <w:p w14:paraId="1767CDBE">
      <w:pPr>
        <w:keepNext w:val="0"/>
        <w:keepLines w:val="0"/>
        <w:pageBreakBefore w:val="0"/>
        <w:widowControl w:val="0"/>
        <w:kinsoku/>
        <w:wordWrap/>
        <w:overflowPunct/>
        <w:topLinePunct w:val="0"/>
        <w:autoSpaceDE/>
        <w:autoSpaceDN/>
        <w:bidi w:val="0"/>
        <w:spacing w:line="660" w:lineRule="exact"/>
        <w:jc w:val="center"/>
        <w:textAlignment w:val="auto"/>
        <w:rPr>
          <w:rFonts w:hint="default" w:ascii="Times New Roman" w:hAnsi="Times New Roman" w:cs="Times New Roman"/>
          <w:b/>
          <w:bCs/>
          <w:kern w:val="0"/>
          <w:sz w:val="44"/>
          <w:szCs w:val="44"/>
        </w:rPr>
      </w:pPr>
      <w:r>
        <w:rPr>
          <w:rFonts w:hint="default" w:ascii="Times New Roman" w:hAnsi="Times New Roman" w:cs="Times New Roman"/>
          <w:b/>
          <w:bCs/>
          <w:kern w:val="0"/>
          <w:sz w:val="44"/>
          <w:szCs w:val="44"/>
        </w:rPr>
        <w:t>202</w:t>
      </w:r>
      <w:r>
        <w:rPr>
          <w:rFonts w:hint="default" w:ascii="Times New Roman" w:hAnsi="Times New Roman" w:cs="Times New Roman"/>
          <w:b/>
          <w:bCs/>
          <w:kern w:val="0"/>
          <w:sz w:val="44"/>
          <w:szCs w:val="44"/>
          <w:lang w:val="en-US" w:eastAsia="zh-CN"/>
        </w:rPr>
        <w:t>6</w:t>
      </w:r>
      <w:r>
        <w:rPr>
          <w:rFonts w:hint="default" w:ascii="Times New Roman" w:hAnsi="Times New Roman" w:cs="Times New Roman"/>
          <w:b/>
          <w:bCs/>
          <w:kern w:val="0"/>
          <w:sz w:val="44"/>
          <w:szCs w:val="44"/>
        </w:rPr>
        <w:t>年</w:t>
      </w:r>
      <w:r>
        <w:rPr>
          <w:rFonts w:hint="eastAsia" w:ascii="Times New Roman" w:hAnsi="Times New Roman" w:cs="Times New Roman"/>
          <w:b/>
          <w:bCs/>
          <w:kern w:val="0"/>
          <w:sz w:val="44"/>
          <w:szCs w:val="44"/>
          <w:lang w:val="en-US" w:eastAsia="zh-CN"/>
        </w:rPr>
        <w:t>部门整体</w:t>
      </w:r>
      <w:r>
        <w:rPr>
          <w:rFonts w:hint="default" w:ascii="Times New Roman" w:hAnsi="Times New Roman" w:cs="Times New Roman"/>
          <w:b/>
          <w:bCs/>
          <w:kern w:val="0"/>
          <w:sz w:val="44"/>
          <w:szCs w:val="44"/>
        </w:rPr>
        <w:t xml:space="preserve">预算公开情况说明 </w:t>
      </w:r>
    </w:p>
    <w:p w14:paraId="56358078">
      <w:pPr>
        <w:keepNext w:val="0"/>
        <w:keepLines w:val="0"/>
        <w:pageBreakBefore w:val="0"/>
        <w:widowControl w:val="0"/>
        <w:kinsoku/>
        <w:wordWrap/>
        <w:overflowPunct/>
        <w:topLinePunct w:val="0"/>
        <w:autoSpaceDE/>
        <w:autoSpaceDN/>
        <w:bidi w:val="0"/>
        <w:spacing w:line="660" w:lineRule="exact"/>
        <w:jc w:val="center"/>
        <w:textAlignment w:val="auto"/>
        <w:rPr>
          <w:rFonts w:hint="default" w:ascii="Times New Roman" w:hAnsi="Times New Roman" w:cs="Times New Roman"/>
          <w:b/>
          <w:bCs/>
          <w:kern w:val="0"/>
          <w:sz w:val="44"/>
          <w:szCs w:val="44"/>
        </w:rPr>
      </w:pPr>
    </w:p>
    <w:p w14:paraId="57E719FD">
      <w:pPr>
        <w:keepNext w:val="0"/>
        <w:keepLines w:val="0"/>
        <w:pageBreakBefore w:val="0"/>
        <w:widowControl w:val="0"/>
        <w:kinsoku/>
        <w:wordWrap/>
        <w:overflowPunct/>
        <w:topLinePunct w:val="0"/>
        <w:autoSpaceDE/>
        <w:autoSpaceDN/>
        <w:bidi w:val="0"/>
        <w:spacing w:line="660" w:lineRule="exact"/>
        <w:jc w:val="center"/>
        <w:textAlignment w:val="auto"/>
        <w:rPr>
          <w:rFonts w:hint="default" w:ascii="Times New Roman" w:hAnsi="Times New Roman" w:cs="Times New Roman"/>
          <w:b/>
          <w:bCs/>
          <w:kern w:val="0"/>
          <w:sz w:val="44"/>
          <w:szCs w:val="44"/>
        </w:rPr>
      </w:pPr>
    </w:p>
    <w:p w14:paraId="232B9A47">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14:paraId="4E5AC1C0">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14:paraId="61734D95">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14:paraId="20A30919">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14:paraId="70BBF97E">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14:paraId="7A4367B2">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14:paraId="2D87EAF1">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14:paraId="556C84E4">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14:paraId="6788E560">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14:paraId="6DAB478F">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14:paraId="2AD791BC">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14:paraId="48DC7812">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14:paraId="0EB3A77C">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14:paraId="47878CCC">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14:paraId="6E1BE32C">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14:paraId="0A92412B">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14:paraId="3799BE01">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14:paraId="1DA62471">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r>
        <w:rPr>
          <w:rFonts w:hint="default" w:ascii="Times New Roman" w:hAnsi="Times New Roman" w:cs="Times New Roman"/>
          <w:b/>
          <w:bCs/>
          <w:kern w:val="0"/>
          <w:sz w:val="44"/>
          <w:szCs w:val="44"/>
        </w:rPr>
        <w:t>目  录</w:t>
      </w:r>
    </w:p>
    <w:p w14:paraId="3EFEC016">
      <w:pPr>
        <w:keepNext w:val="0"/>
        <w:keepLines w:val="0"/>
        <w:pageBreakBefore w:val="0"/>
        <w:widowControl w:val="0"/>
        <w:kinsoku/>
        <w:wordWrap/>
        <w:overflowPunct/>
        <w:topLinePunct w:val="0"/>
        <w:autoSpaceDE/>
        <w:autoSpaceDN/>
        <w:bidi w:val="0"/>
        <w:spacing w:line="660" w:lineRule="exact"/>
        <w:jc w:val="center"/>
        <w:textAlignment w:val="auto"/>
        <w:rPr>
          <w:rFonts w:hint="default" w:ascii="Times New Roman" w:hAnsi="Times New Roman" w:cs="Times New Roman"/>
          <w:b/>
          <w:bCs/>
          <w:kern w:val="0"/>
          <w:sz w:val="44"/>
          <w:szCs w:val="44"/>
        </w:rPr>
      </w:pPr>
    </w:p>
    <w:p w14:paraId="0DB1ED63">
      <w:pPr>
        <w:keepNext w:val="0"/>
        <w:keepLines w:val="0"/>
        <w:pageBreakBefore w:val="0"/>
        <w:widowControl w:val="0"/>
        <w:kinsoku/>
        <w:wordWrap/>
        <w:overflowPunct/>
        <w:topLinePunct w:val="0"/>
        <w:autoSpaceDE/>
        <w:autoSpaceDN/>
        <w:bidi w:val="0"/>
        <w:spacing w:line="30" w:lineRule="exact"/>
        <w:jc w:val="center"/>
        <w:textAlignment w:val="auto"/>
        <w:rPr>
          <w:rFonts w:hint="default" w:ascii="Times New Roman" w:hAnsi="Times New Roman" w:eastAsia="黑体" w:cs="Times New Roman"/>
          <w:color w:val="000000"/>
          <w:sz w:val="18"/>
          <w:szCs w:val="18"/>
        </w:rPr>
      </w:pPr>
    </w:p>
    <w:p w14:paraId="341CCA85">
      <w:pPr>
        <w:keepNext w:val="0"/>
        <w:keepLines w:val="0"/>
        <w:pageBreakBefore w:val="0"/>
        <w:widowControl w:val="0"/>
        <w:kinsoku/>
        <w:wordWrap/>
        <w:overflowPunct/>
        <w:topLinePunct w:val="0"/>
        <w:autoSpaceDE/>
        <w:autoSpaceDN/>
        <w:bidi w:val="0"/>
        <w:spacing w:line="560" w:lineRule="exact"/>
        <w:ind w:firstLine="602" w:firstLineChars="200"/>
        <w:jc w:val="left"/>
        <w:textAlignment w:val="auto"/>
        <w:rPr>
          <w:rFonts w:hint="default" w:ascii="Times New Roman" w:hAnsi="Times New Roman" w:eastAsia="仿宋_GB2312" w:cs="Times New Roman"/>
          <w:b/>
          <w:color w:val="000000"/>
          <w:sz w:val="30"/>
          <w:szCs w:val="30"/>
        </w:rPr>
      </w:pPr>
      <w:r>
        <w:rPr>
          <w:rFonts w:hint="default" w:ascii="Times New Roman" w:hAnsi="Times New Roman" w:eastAsia="仿宋_GB2312" w:cs="Times New Roman"/>
          <w:b/>
          <w:color w:val="000000"/>
          <w:sz w:val="30"/>
          <w:szCs w:val="30"/>
        </w:rPr>
        <w:t>第一部分 部门/单位基本概况</w:t>
      </w:r>
    </w:p>
    <w:p w14:paraId="23BE2B19">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一、部门/单位职责</w:t>
      </w:r>
    </w:p>
    <w:p w14:paraId="48D33028">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二、机构设置情况</w:t>
      </w:r>
    </w:p>
    <w:p w14:paraId="39C9E0ED">
      <w:pPr>
        <w:keepNext w:val="0"/>
        <w:keepLines w:val="0"/>
        <w:pageBreakBefore w:val="0"/>
        <w:widowControl w:val="0"/>
        <w:kinsoku/>
        <w:wordWrap/>
        <w:overflowPunct/>
        <w:topLinePunct w:val="0"/>
        <w:autoSpaceDE/>
        <w:autoSpaceDN/>
        <w:bidi w:val="0"/>
        <w:spacing w:line="560" w:lineRule="exact"/>
        <w:ind w:firstLine="602" w:firstLineChars="200"/>
        <w:jc w:val="left"/>
        <w:textAlignment w:val="auto"/>
        <w:rPr>
          <w:rFonts w:hint="default" w:ascii="Times New Roman" w:hAnsi="Times New Roman" w:eastAsia="仿宋_GB2312" w:cs="Times New Roman"/>
          <w:b/>
          <w:color w:val="000000"/>
          <w:sz w:val="30"/>
          <w:szCs w:val="30"/>
        </w:rPr>
      </w:pPr>
      <w:r>
        <w:rPr>
          <w:rFonts w:hint="default" w:ascii="Times New Roman" w:hAnsi="Times New Roman" w:eastAsia="仿宋_GB2312" w:cs="Times New Roman"/>
          <w:b/>
          <w:color w:val="000000"/>
          <w:sz w:val="30"/>
          <w:szCs w:val="30"/>
        </w:rPr>
        <w:t>第二部分 202</w:t>
      </w:r>
      <w:r>
        <w:rPr>
          <w:rFonts w:hint="eastAsia" w:ascii="Times New Roman" w:hAnsi="Times New Roman" w:eastAsia="仿宋_GB2312" w:cs="Times New Roman"/>
          <w:b/>
          <w:color w:val="000000"/>
          <w:sz w:val="30"/>
          <w:szCs w:val="30"/>
          <w:lang w:val="en-US" w:eastAsia="zh-CN"/>
        </w:rPr>
        <w:t>6</w:t>
      </w:r>
      <w:r>
        <w:rPr>
          <w:rFonts w:hint="default" w:ascii="Times New Roman" w:hAnsi="Times New Roman" w:eastAsia="仿宋_GB2312" w:cs="Times New Roman"/>
          <w:b/>
          <w:color w:val="000000"/>
          <w:sz w:val="30"/>
          <w:szCs w:val="30"/>
        </w:rPr>
        <w:t>年部门/单位预算情况说明</w:t>
      </w:r>
    </w:p>
    <w:p w14:paraId="2595EB9D">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lang w:val="en-US" w:eastAsia="zh-CN"/>
        </w:rPr>
        <w:t>三</w:t>
      </w:r>
      <w:r>
        <w:rPr>
          <w:rFonts w:hint="default" w:ascii="Times New Roman" w:hAnsi="Times New Roman" w:eastAsia="仿宋_GB2312" w:cs="Times New Roman"/>
          <w:color w:val="000000"/>
          <w:sz w:val="30"/>
          <w:szCs w:val="30"/>
        </w:rPr>
        <w:t>、收支总体情况</w:t>
      </w:r>
    </w:p>
    <w:p w14:paraId="0D686A1D">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lang w:val="en-US" w:eastAsia="zh-CN"/>
        </w:rPr>
        <w:t>四</w:t>
      </w:r>
      <w:r>
        <w:rPr>
          <w:rFonts w:hint="default" w:ascii="Times New Roman" w:hAnsi="Times New Roman" w:eastAsia="仿宋_GB2312" w:cs="Times New Roman"/>
          <w:color w:val="000000"/>
          <w:sz w:val="30"/>
          <w:szCs w:val="30"/>
        </w:rPr>
        <w:t>、一般公共预算情况</w:t>
      </w:r>
    </w:p>
    <w:p w14:paraId="5D94B5E0">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lang w:val="en-US" w:eastAsia="zh-CN"/>
        </w:rPr>
        <w:t>五</w:t>
      </w:r>
      <w:r>
        <w:rPr>
          <w:rFonts w:hint="default" w:ascii="Times New Roman" w:hAnsi="Times New Roman" w:eastAsia="仿宋_GB2312" w:cs="Times New Roman"/>
          <w:color w:val="000000"/>
          <w:sz w:val="30"/>
          <w:szCs w:val="30"/>
        </w:rPr>
        <w:t>、一般公共预算财政拨款“三公”经费、培训费、会议费等情况</w:t>
      </w:r>
    </w:p>
    <w:p w14:paraId="43E94B1C">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lang w:val="en-US" w:eastAsia="zh-CN"/>
        </w:rPr>
        <w:t>六</w:t>
      </w:r>
      <w:r>
        <w:rPr>
          <w:rFonts w:hint="default" w:ascii="Times New Roman" w:hAnsi="Times New Roman" w:eastAsia="仿宋_GB2312" w:cs="Times New Roman"/>
          <w:color w:val="000000"/>
          <w:sz w:val="30"/>
          <w:szCs w:val="30"/>
        </w:rPr>
        <w:t>、一般公共预算财政拨款机关运行经费情况</w:t>
      </w:r>
    </w:p>
    <w:p w14:paraId="18AA4C61">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lang w:val="en-US" w:eastAsia="zh-CN"/>
        </w:rPr>
        <w:t>七</w:t>
      </w:r>
      <w:r>
        <w:rPr>
          <w:rFonts w:hint="default" w:ascii="Times New Roman" w:hAnsi="Times New Roman" w:eastAsia="仿宋_GB2312" w:cs="Times New Roman"/>
          <w:color w:val="000000"/>
          <w:sz w:val="30"/>
          <w:szCs w:val="30"/>
        </w:rPr>
        <w:t>、政府采购安排情况</w:t>
      </w:r>
    </w:p>
    <w:p w14:paraId="07BE5AB6">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lang w:val="en-US" w:eastAsia="zh-CN"/>
        </w:rPr>
        <w:t>八</w:t>
      </w:r>
      <w:r>
        <w:rPr>
          <w:rFonts w:hint="default" w:ascii="Times New Roman" w:hAnsi="Times New Roman" w:eastAsia="仿宋_GB2312" w:cs="Times New Roman"/>
          <w:color w:val="000000"/>
          <w:sz w:val="30"/>
          <w:szCs w:val="30"/>
        </w:rPr>
        <w:t>、国有资产占用情况</w:t>
      </w:r>
    </w:p>
    <w:p w14:paraId="7313E406">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lang w:val="en-US" w:eastAsia="zh-CN"/>
        </w:rPr>
        <w:t>九</w:t>
      </w:r>
      <w:r>
        <w:rPr>
          <w:rFonts w:hint="default" w:ascii="Times New Roman" w:hAnsi="Times New Roman" w:eastAsia="仿宋_GB2312" w:cs="Times New Roman"/>
          <w:color w:val="000000"/>
          <w:sz w:val="30"/>
          <w:szCs w:val="30"/>
        </w:rPr>
        <w:t>、其他重要事项情况说明</w:t>
      </w:r>
    </w:p>
    <w:p w14:paraId="2AC14667">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lang w:val="en-US" w:eastAsia="zh-CN"/>
        </w:rPr>
        <w:t>十</w:t>
      </w:r>
      <w:r>
        <w:rPr>
          <w:rFonts w:hint="default" w:ascii="Times New Roman" w:hAnsi="Times New Roman" w:eastAsia="仿宋_GB2312" w:cs="Times New Roman"/>
          <w:color w:val="000000"/>
          <w:sz w:val="30"/>
          <w:szCs w:val="30"/>
        </w:rPr>
        <w:t>、预算绩效管理情况</w:t>
      </w:r>
    </w:p>
    <w:p w14:paraId="452D597F">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lang w:val="en-US" w:eastAsia="zh-CN"/>
        </w:rPr>
        <w:t>十一</w:t>
      </w:r>
      <w:r>
        <w:rPr>
          <w:rFonts w:hint="default" w:ascii="Times New Roman" w:hAnsi="Times New Roman" w:eastAsia="仿宋_GB2312" w:cs="Times New Roman"/>
          <w:color w:val="000000"/>
          <w:sz w:val="30"/>
          <w:szCs w:val="30"/>
        </w:rPr>
        <w:t>、名词解释</w:t>
      </w:r>
    </w:p>
    <w:p w14:paraId="2E57BCDE">
      <w:pPr>
        <w:keepNext w:val="0"/>
        <w:keepLines w:val="0"/>
        <w:pageBreakBefore w:val="0"/>
        <w:widowControl w:val="0"/>
        <w:kinsoku/>
        <w:wordWrap/>
        <w:overflowPunct/>
        <w:topLinePunct w:val="0"/>
        <w:autoSpaceDE/>
        <w:autoSpaceDN/>
        <w:bidi w:val="0"/>
        <w:spacing w:line="560" w:lineRule="exact"/>
        <w:ind w:firstLine="602" w:firstLineChars="200"/>
        <w:jc w:val="left"/>
        <w:textAlignment w:val="auto"/>
        <w:rPr>
          <w:rFonts w:hint="default" w:ascii="Times New Roman" w:hAnsi="Times New Roman" w:eastAsia="仿宋_GB2312" w:cs="Times New Roman"/>
          <w:b/>
          <w:color w:val="000000"/>
          <w:sz w:val="30"/>
          <w:szCs w:val="30"/>
        </w:rPr>
      </w:pPr>
      <w:r>
        <w:rPr>
          <w:rFonts w:hint="default" w:ascii="Times New Roman" w:hAnsi="Times New Roman" w:eastAsia="仿宋_GB2312" w:cs="Times New Roman"/>
          <w:b/>
          <w:color w:val="000000"/>
          <w:sz w:val="30"/>
          <w:szCs w:val="30"/>
        </w:rPr>
        <w:t>第三部分 202</w:t>
      </w:r>
      <w:r>
        <w:rPr>
          <w:rFonts w:hint="eastAsia" w:ascii="Times New Roman" w:hAnsi="Times New Roman" w:eastAsia="仿宋_GB2312" w:cs="Times New Roman"/>
          <w:b/>
          <w:color w:val="000000"/>
          <w:sz w:val="30"/>
          <w:szCs w:val="30"/>
          <w:lang w:val="en-US" w:eastAsia="zh-CN"/>
        </w:rPr>
        <w:t>6</w:t>
      </w:r>
      <w:r>
        <w:rPr>
          <w:rFonts w:hint="default" w:ascii="Times New Roman" w:hAnsi="Times New Roman" w:eastAsia="仿宋_GB2312" w:cs="Times New Roman"/>
          <w:b/>
          <w:color w:val="000000"/>
          <w:sz w:val="30"/>
          <w:szCs w:val="30"/>
        </w:rPr>
        <w:t>年部门（单位）预算公开表</w:t>
      </w:r>
    </w:p>
    <w:p w14:paraId="75BE9E5C">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一、部门/单位收支总体情况表</w:t>
      </w:r>
    </w:p>
    <w:p w14:paraId="0BE11FF7">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二、部门/单位收入总体情况表</w:t>
      </w:r>
    </w:p>
    <w:p w14:paraId="466DF3EA">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三、部门/单位支出总体情况表</w:t>
      </w:r>
    </w:p>
    <w:p w14:paraId="66BE46BA">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四、财政拨款收支总体情况表</w:t>
      </w:r>
    </w:p>
    <w:p w14:paraId="73A476B1">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五、财政拨款支出表</w:t>
      </w:r>
    </w:p>
    <w:p w14:paraId="57077922">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六、一般公共预算支出情况表</w:t>
      </w:r>
    </w:p>
    <w:p w14:paraId="06637F1B">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七、一般公共预算基本支出情况表</w:t>
      </w:r>
    </w:p>
    <w:p w14:paraId="56BE83D7">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pacing w:val="-20"/>
          <w:sz w:val="30"/>
          <w:szCs w:val="30"/>
        </w:rPr>
      </w:pPr>
      <w:r>
        <w:rPr>
          <w:rFonts w:hint="default" w:ascii="Times New Roman" w:hAnsi="Times New Roman" w:eastAsia="仿宋_GB2312" w:cs="Times New Roman"/>
          <w:color w:val="000000"/>
          <w:sz w:val="30"/>
          <w:szCs w:val="30"/>
        </w:rPr>
        <w:t>八、</w:t>
      </w:r>
      <w:r>
        <w:rPr>
          <w:rFonts w:hint="default" w:ascii="Times New Roman" w:hAnsi="Times New Roman" w:eastAsia="仿宋_GB2312" w:cs="Times New Roman"/>
          <w:color w:val="000000"/>
          <w:spacing w:val="-20"/>
          <w:sz w:val="30"/>
          <w:szCs w:val="30"/>
        </w:rPr>
        <w:t>一般公共预算财政拨款“三公”经费、会议费、培训费支出情况表</w:t>
      </w:r>
    </w:p>
    <w:p w14:paraId="7DC48104">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九、一般公共预算财政拨款机关运行经费表</w:t>
      </w:r>
    </w:p>
    <w:p w14:paraId="760BD103">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十、政府性基金预算支出情况表</w:t>
      </w:r>
    </w:p>
    <w:p w14:paraId="35EC9E0E">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十一、部门管理转移支付表</w:t>
      </w:r>
    </w:p>
    <w:p w14:paraId="7FCFB8EE">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十二、国有资本经营预算支出情况表</w:t>
      </w:r>
    </w:p>
    <w:p w14:paraId="757EEFD8">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十三、部门/单位整体支出绩效目标表和项目支出绩效目标表</w:t>
      </w:r>
    </w:p>
    <w:p w14:paraId="7170B261">
      <w:pPr>
        <w:keepNext w:val="0"/>
        <w:keepLines w:val="0"/>
        <w:pageBreakBefore w:val="0"/>
        <w:widowControl w:val="0"/>
        <w:kinsoku/>
        <w:wordWrap/>
        <w:overflowPunct/>
        <w:topLinePunct w:val="0"/>
        <w:autoSpaceDE/>
        <w:autoSpaceDN/>
        <w:bidi w:val="0"/>
        <w:spacing w:line="660" w:lineRule="exact"/>
        <w:jc w:val="center"/>
        <w:textAlignment w:val="auto"/>
        <w:rPr>
          <w:rFonts w:hint="default" w:ascii="Times New Roman" w:hAnsi="Times New Roman" w:eastAsia="仿宋_GB2312" w:cs="Times New Roman"/>
          <w:b/>
          <w:bCs/>
          <w:kern w:val="0"/>
          <w:sz w:val="44"/>
          <w:szCs w:val="44"/>
        </w:rPr>
      </w:pPr>
    </w:p>
    <w:p w14:paraId="03654DEF">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14:paraId="3DA980B2">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14:paraId="65432387">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14:paraId="3F791C95">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14:paraId="7484CBBA">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14:paraId="09DEC002">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14:paraId="799143F5">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14:paraId="52966774">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14:paraId="4AE099D4">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14:paraId="4434D9AE">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14:paraId="0A0E283C">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14:paraId="79FB7595">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14:paraId="2E2ED5C3">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14:paraId="560E72B5">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14:paraId="55BBE65B">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14:paraId="6DA7EFDC">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14:paraId="1B7355D8">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14:paraId="7F873690">
      <w:pPr>
        <w:keepNext w:val="0"/>
        <w:keepLines w:val="0"/>
        <w:pageBreakBefore w:val="0"/>
        <w:widowControl w:val="0"/>
        <w:kinsoku/>
        <w:wordWrap/>
        <w:overflowPunct/>
        <w:topLinePunct w:val="0"/>
        <w:autoSpaceDE/>
        <w:autoSpaceDN/>
        <w:bidi w:val="0"/>
        <w:spacing w:line="600" w:lineRule="exact"/>
        <w:jc w:val="center"/>
        <w:textAlignment w:val="auto"/>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rPr>
        <w:t>前</w:t>
      </w:r>
      <w:r>
        <w:rPr>
          <w:rFonts w:hint="default" w:ascii="Times New Roman" w:hAnsi="Times New Roman" w:eastAsia="仿宋_GB2312" w:cs="Times New Roman"/>
          <w:b/>
          <w:kern w:val="0"/>
          <w:sz w:val="32"/>
          <w:szCs w:val="32"/>
          <w:lang w:val="en-US" w:eastAsia="zh-CN"/>
        </w:rPr>
        <w:t xml:space="preserve"> </w:t>
      </w:r>
      <w:r>
        <w:rPr>
          <w:rFonts w:hint="default" w:ascii="Times New Roman" w:hAnsi="Times New Roman" w:eastAsia="仿宋_GB2312" w:cs="Times New Roman"/>
          <w:b/>
          <w:kern w:val="0"/>
          <w:sz w:val="32"/>
          <w:szCs w:val="32"/>
        </w:rPr>
        <w:t>言</w:t>
      </w:r>
    </w:p>
    <w:p w14:paraId="13923F5E">
      <w:pPr>
        <w:keepNext w:val="0"/>
        <w:keepLines w:val="0"/>
        <w:pageBreakBefore w:val="0"/>
        <w:widowControl w:val="0"/>
        <w:kinsoku/>
        <w:wordWrap/>
        <w:overflowPunct/>
        <w:topLinePunct w:val="0"/>
        <w:autoSpaceDE/>
        <w:autoSpaceDN/>
        <w:bidi w:val="0"/>
        <w:spacing w:line="600" w:lineRule="exact"/>
        <w:ind w:firstLine="643" w:firstLineChars="200"/>
        <w:jc w:val="center"/>
        <w:textAlignment w:val="auto"/>
        <w:rPr>
          <w:rFonts w:hint="default" w:ascii="Times New Roman" w:hAnsi="Times New Roman" w:eastAsia="仿宋_GB2312" w:cs="Times New Roman"/>
          <w:b/>
          <w:kern w:val="0"/>
          <w:sz w:val="32"/>
          <w:szCs w:val="32"/>
        </w:rPr>
      </w:pPr>
    </w:p>
    <w:p w14:paraId="7D452B3F">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kern w:val="0"/>
          <w:sz w:val="32"/>
          <w:szCs w:val="32"/>
        </w:rPr>
        <w:t>按照《中华人民共和国预算法》《中华人民共和国预算法实施条例》以及财政部《地方预决算公开操作规程》《关于推进部门所属单位预算公</w:t>
      </w:r>
      <w:r>
        <w:rPr>
          <w:rFonts w:hint="default" w:ascii="Times New Roman" w:hAnsi="Times New Roman" w:eastAsia="仿宋_GB2312" w:cs="Times New Roman"/>
          <w:color w:val="000000" w:themeColor="text1"/>
          <w:kern w:val="0"/>
          <w:sz w:val="32"/>
          <w:szCs w:val="32"/>
          <w14:textFill>
            <w14:solidFill>
              <w14:schemeClr w14:val="tx1"/>
            </w14:solidFill>
          </w14:textFill>
        </w:rPr>
        <w:t>开的指导意见》和《中共甘肃省委办公厅 甘肃省人民政府办公厅关于进一步推进预算公开工作的实施方案》要求，现将2024年部门预算公开如下：</w:t>
      </w:r>
    </w:p>
    <w:p w14:paraId="5F8B9184">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黑体" w:cs="Times New Roman"/>
          <w:color w:val="000000" w:themeColor="text1"/>
          <w:kern w:val="0"/>
          <w:sz w:val="32"/>
          <w:szCs w:val="32"/>
          <w:lang w:val="zh-CN"/>
          <w14:textFill>
            <w14:solidFill>
              <w14:schemeClr w14:val="tx1"/>
            </w14:solidFill>
          </w14:textFill>
        </w:rPr>
      </w:pPr>
      <w:r>
        <w:rPr>
          <w:rFonts w:hint="default" w:ascii="Times New Roman" w:hAnsi="Times New Roman" w:eastAsia="黑体" w:cs="Times New Roman"/>
          <w:color w:val="000000" w:themeColor="text1"/>
          <w:kern w:val="0"/>
          <w:sz w:val="32"/>
          <w:szCs w:val="32"/>
          <w:lang w:val="zh-CN"/>
          <w14:textFill>
            <w14:solidFill>
              <w14:schemeClr w14:val="tx1"/>
            </w14:solidFill>
          </w14:textFill>
        </w:rPr>
        <w:t>一、部门职责</w:t>
      </w:r>
    </w:p>
    <w:p w14:paraId="21C37BBF">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eastAsia="zh-CN"/>
          <w14:textFill>
            <w14:solidFill>
              <w14:schemeClr w14:val="tx1"/>
            </w14:solidFill>
          </w14:textFill>
        </w:rPr>
        <w:t>华池县农业农村局</w:t>
      </w: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是</w:t>
      </w:r>
      <w:bookmarkStart w:id="0" w:name="OLE_LINK1"/>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贯彻落实党中央、省委、市委、县委关于“三农”工作的方针政策和决策部署,在履行职责过程中坚持和加强党对“三农”工作的集中统一领导等工作的职能部门</w:t>
      </w:r>
      <w:bookmarkEnd w:id="0"/>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。主要职责是:</w:t>
      </w:r>
    </w:p>
    <w:p w14:paraId="4A4D7094">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一）贯彻执行党的农业农村方针政策及国家有关“三农”工作的法律法规。统筹研究和组织实施“三农”工作的发展战略、中长期规划、重大政策。组织起草农业农村有关地方性法规和县政府规章草案，指导农业综合行政执法，负责农业综合行政执法体系建设。参与涉农的财税、价格、收储、金融保险、进出口等政策制定。</w:t>
      </w:r>
    </w:p>
    <w:p w14:paraId="0C1E5E73">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（二）统筹推动发展全县农村社会事业、农村公共服务、农村文化、农村基础设施和乡村治理。牵头组织改善农村人居环境。指导农村精神文明和优秀农耕文化建设，指导农、牧、渔业行业安全生产工作。</w:t>
      </w:r>
    </w:p>
    <w:p w14:paraId="5DB046ED">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三）提出深化全县农村经济体制改革和巩固完善农村基本经营制度的政策建议。负责农民承包地、农村宅基地改革和管理有关工作。负责农村集体产权制度改革，指导农村集体经济发展和集体资产管理工作。指导农民合作经济组织、农业社会服务体系、新型农业经营主体建设与发展。</w:t>
      </w:r>
    </w:p>
    <w:p w14:paraId="3835C2B8">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四）负责全县脱贫攻坚富民产业培育，指导全县乡村特色产业、农产品加工业、休闲农业发展工作。提出促进大宗农产品流通的建议，培育、发展、保护农业品牌。发布农业农村经济信息。监测分析农业农村经济运行。承担农业统计和农业农村信息化有关工作。</w:t>
      </w:r>
    </w:p>
    <w:p w14:paraId="4259AEA2">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（五）负责全县种植业、畜牧业、渔业等农业各产业的监督管理。指导粮食等农产品生产，组织构建现代农业产业体系、生产体系、经营体系，指导农业标准化生产。</w:t>
      </w:r>
    </w:p>
    <w:p w14:paraId="26CABD56">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（六）负责全县农、畜、水产品质量安全监督管理。组织开展农产品质量安全监测、追溯、风险评估。参与制定农产品质量安全地方标准并会同有关部门组织实施。指导乡（镇）农业检验检测体系建设。</w:t>
      </w:r>
    </w:p>
    <w:p w14:paraId="4E4C7B76">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七)组织全县农业资源区划工作，负责农田水利基础建设和农业综合开发工作，指导农牧用地、渔业水域以及农业生物物种资源的保护与管理，负责水生野生动植物保护、耕地及永久基本农田质量保护工作。指导农产品产地环境管理和农业清洁生产。指导设施农业、生态循环农业、节本农业发展以及农村可再生能源综合开发利用、农业生物质产业发展。管理全县外来物种。</w:t>
      </w:r>
    </w:p>
    <w:p w14:paraId="6D352158">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八）负责有关农业生产资料和农业投入品的监督管理。组织协调农业生产资料市场体系建设。拟订有关农业生产资料地方标准并监督实施。组织水产渔政、兽医医政、兽药药政药检工作;负责执业兽医和畜禽屠宰行业管理。</w:t>
      </w:r>
    </w:p>
    <w:p w14:paraId="0F2F832A">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九)负责农、牧、渔业防灾减灾、农作物重大病虫害防治工作。指导动植物防疫检疫体系建设，组织、监督县内动植物防疫检疫工作，依规监测、发布并组织扑灭疫情。指导农、牧、渔业紧急救灾和灾后生产恢复工作。</w:t>
      </w:r>
    </w:p>
    <w:p w14:paraId="27A0438B">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十)负责全县农业投资管理。提出农业投融资体制机制改革建议，编制县级投资安排的农业投资项目建设规划，提出农业投资规模、方向和扶持农业农村发展财政项目的建议，按规定权限审批农业投资项目，负责农业投资项目资金安排和跟踪监督管理。</w:t>
      </w:r>
    </w:p>
    <w:p w14:paraId="701D0865">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十一)推动全县农业科技体制改革和农业科技创新体系建设。指导农、牧、渔业产业技术体系和推广体系建设，组织开展农业、畜牧、水产领域的高新技术和应用技术研究、科技成果转化和技术推广。负责农业转基因生物安全监督管理和农、牧、渔业新品种保护。</w:t>
      </w:r>
    </w:p>
    <w:p w14:paraId="7B620354">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十二)指导全县农业农村人才工作。拟订农业农村人才队伍建设规划并组织实施，指导农业教育和农业职业技能开发，指导新型职业农民培育、农业科技人才培养和农村实用人才培训工作。负责全县农业农村人才专业技术资格和从业资格管理工作。</w:t>
      </w:r>
    </w:p>
    <w:p w14:paraId="5AC15CF1">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(十三)组织开展农业对外合作工作。组织开展农业贸易促进和对外交流合作。会同有关部门组织实施农业外授和援外项目。</w:t>
      </w:r>
    </w:p>
    <w:p w14:paraId="69B6EC76">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eastAsia="zh-CN"/>
          <w14:textFill>
            <w14:solidFill>
              <w14:schemeClr w14:val="tx1"/>
            </w14:solidFill>
          </w14:textFill>
        </w:rPr>
        <w:t>（十四）</w:t>
      </w: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扎实推进农业综合开发和美丽乡村建设，推动农业全面升级、农村全面进步、农民全面发展，加快实现农业农村现代化。</w:t>
      </w:r>
    </w:p>
    <w:p w14:paraId="221C9BEE">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eastAsia="zh-CN"/>
          <w14:textFill>
            <w14:solidFill>
              <w14:schemeClr w14:val="tx1"/>
            </w14:solidFill>
          </w14:textFill>
        </w:rPr>
        <w:t>（十五）</w:t>
      </w: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整合强化农业综合行政执法队伍，持续加强农产品质量安全和农业投入品的监督管理，坚持最严谨的标准、最严格的监管、最严厉的处罚、最严肃的问责，严防、严管、严控质量安全风险，确保农、畜、水产品质量安全。</w:t>
      </w:r>
    </w:p>
    <w:p w14:paraId="02C2FC92">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eastAsia="zh-CN"/>
          <w14:textFill>
            <w14:solidFill>
              <w14:schemeClr w14:val="tx1"/>
            </w14:solidFill>
          </w14:textFill>
        </w:rPr>
        <w:t>（十六）</w:t>
      </w: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全面深化农业行政体制改革，落实“放管服”政策措施，最大限度简化农业行政审批（许可）办事流程。深入推进简政放权，加强对行业内交叉、重复以及性质相同、用途相近的农业投资项目的统筹整合，最大限度缩小项目审批范围，精简审批程序，加强事中事后监管，切实提升支农政策效果和资金使用效益。</w:t>
      </w:r>
    </w:p>
    <w:p w14:paraId="1E16B5A4">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(十</w:t>
      </w:r>
      <w:r>
        <w:rPr>
          <w:rFonts w:hint="default" w:ascii="Times New Roman" w:hAnsi="Times New Roman" w:eastAsia="仿宋_GB2312" w:cs="Times New Roman"/>
          <w:color w:val="000000" w:themeColor="text1"/>
          <w:kern w:val="0"/>
          <w:sz w:val="32"/>
          <w:szCs w:val="32"/>
          <w:lang w:val="zh-CN" w:eastAsia="zh-CN"/>
          <w14:textFill>
            <w14:solidFill>
              <w14:schemeClr w14:val="tx1"/>
            </w14:solidFill>
          </w14:textFill>
        </w:rPr>
        <w:t>七</w:t>
      </w: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)完成县委、县政府、县委农村工作领导小组和上级业务部门交办的其他工作任务。</w:t>
      </w:r>
    </w:p>
    <w:p w14:paraId="023C997A">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黑体" w:cs="Times New Roman"/>
          <w:color w:val="000000" w:themeColor="text1"/>
          <w:kern w:val="0"/>
          <w:sz w:val="32"/>
          <w:szCs w:val="32"/>
          <w:lang w:val="zh-CN"/>
          <w14:textFill>
            <w14:solidFill>
              <w14:schemeClr w14:val="tx1"/>
            </w14:solidFill>
          </w14:textFill>
        </w:rPr>
      </w:pPr>
      <w:r>
        <w:rPr>
          <w:rFonts w:hint="default" w:ascii="Times New Roman" w:hAnsi="Times New Roman" w:eastAsia="黑体" w:cs="Times New Roman"/>
          <w:color w:val="000000" w:themeColor="text1"/>
          <w:kern w:val="0"/>
          <w:sz w:val="32"/>
          <w:szCs w:val="32"/>
          <w:lang w:val="zh-CN"/>
          <w14:textFill>
            <w14:solidFill>
              <w14:schemeClr w14:val="tx1"/>
            </w14:solidFill>
          </w14:textFill>
        </w:rPr>
        <w:t>二、机构设置</w:t>
      </w:r>
    </w:p>
    <w:p w14:paraId="29D9B041">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en-US"/>
          <w14:textFill>
            <w14:solidFill>
              <w14:schemeClr w14:val="tx1"/>
            </w14:solidFill>
          </w14:textFill>
        </w:rPr>
      </w:pPr>
      <w:r>
        <w:rPr>
          <w:rFonts w:hint="eastAsia" w:ascii="Times New Roman" w:hAnsi="Times New Roman" w:eastAsia="仿宋_GB2312" w:cs="Times New Roman"/>
          <w:color w:val="000000" w:themeColor="text1"/>
          <w:kern w:val="0"/>
          <w:sz w:val="32"/>
          <w:szCs w:val="32"/>
          <w:lang w:val="zh-CN" w:eastAsia="zh-CN" w:bidi="ar-SA"/>
          <w14:textFill>
            <w14:solidFill>
              <w14:schemeClr w14:val="tx1"/>
            </w14:solidFill>
          </w14:textFill>
        </w:rPr>
        <w:t>纳入202</w:t>
      </w:r>
      <w:r>
        <w:rPr>
          <w:rFonts w:hint="eastAsia" w:ascii="Times New Roman" w:hAnsi="Times New Roman" w:eastAsia="仿宋_GB2312" w:cs="Times New Roman"/>
          <w:color w:val="000000" w:themeColor="text1"/>
          <w:kern w:val="0"/>
          <w:sz w:val="32"/>
          <w:szCs w:val="32"/>
          <w:lang w:val="en-US" w:eastAsia="zh-CN" w:bidi="ar-SA"/>
          <w14:textFill>
            <w14:solidFill>
              <w14:schemeClr w14:val="tx1"/>
            </w14:solidFill>
          </w14:textFill>
        </w:rPr>
        <w:t>6</w:t>
      </w:r>
      <w:r>
        <w:rPr>
          <w:rFonts w:hint="eastAsia" w:ascii="Times New Roman" w:hAnsi="Times New Roman" w:eastAsia="仿宋_GB2312" w:cs="Times New Roman"/>
          <w:color w:val="000000" w:themeColor="text1"/>
          <w:kern w:val="0"/>
          <w:sz w:val="32"/>
          <w:szCs w:val="32"/>
          <w:lang w:val="zh-CN" w:eastAsia="zh-CN" w:bidi="ar-SA"/>
          <w14:textFill>
            <w14:solidFill>
              <w14:schemeClr w14:val="tx1"/>
            </w14:solidFill>
          </w14:textFill>
        </w:rPr>
        <w:t>年预算编制范围的是</w:t>
      </w:r>
      <w:r>
        <w:rPr>
          <w:rFonts w:hint="eastAsia" w:ascii="Times New Roman" w:hAnsi="Times New Roman" w:eastAsia="仿宋_GB2312" w:cs="Times New Roman"/>
          <w:color w:val="000000" w:themeColor="text1"/>
          <w:kern w:val="0"/>
          <w:sz w:val="32"/>
          <w:szCs w:val="32"/>
          <w:lang w:val="en-US" w:eastAsia="zh-CN" w:bidi="ar-SA"/>
          <w14:textFill>
            <w14:solidFill>
              <w14:schemeClr w14:val="tx1"/>
            </w14:solidFill>
          </w14:textFill>
        </w:rPr>
        <w:t>华池</w:t>
      </w:r>
      <w:r>
        <w:rPr>
          <w:rFonts w:hint="eastAsia" w:ascii="Times New Roman" w:hAnsi="Times New Roman" w:eastAsia="仿宋_GB2312" w:cs="Times New Roman"/>
          <w:color w:val="000000" w:themeColor="text1"/>
          <w:kern w:val="0"/>
          <w:sz w:val="32"/>
          <w:szCs w:val="32"/>
          <w:lang w:val="zh-CN" w:eastAsia="zh-CN" w:bidi="ar-SA"/>
          <w14:textFill>
            <w14:solidFill>
              <w14:schemeClr w14:val="tx1"/>
            </w14:solidFill>
          </w14:textFill>
        </w:rPr>
        <w:t>县</w:t>
      </w:r>
      <w:r>
        <w:rPr>
          <w:rFonts w:hint="eastAsia" w:ascii="Times New Roman" w:hAnsi="Times New Roman" w:eastAsia="仿宋_GB2312" w:cs="Times New Roman"/>
          <w:color w:val="000000" w:themeColor="text1"/>
          <w:kern w:val="0"/>
          <w:sz w:val="32"/>
          <w:szCs w:val="32"/>
          <w:lang w:val="en-US" w:eastAsia="zh-CN" w:bidi="ar-SA"/>
          <w14:textFill>
            <w14:solidFill>
              <w14:schemeClr w14:val="tx1"/>
            </w14:solidFill>
          </w14:textFill>
        </w:rPr>
        <w:t>农业农村局</w:t>
      </w:r>
      <w:r>
        <w:rPr>
          <w:rFonts w:hint="eastAsia" w:ascii="Times New Roman" w:hAnsi="Times New Roman" w:eastAsia="仿宋_GB2312" w:cs="Times New Roman"/>
          <w:color w:val="000000" w:themeColor="text1"/>
          <w:kern w:val="0"/>
          <w:sz w:val="32"/>
          <w:szCs w:val="32"/>
          <w:lang w:val="zh-CN" w:eastAsia="zh-CN" w:bidi="ar-SA"/>
          <w14:textFill>
            <w14:solidFill>
              <w14:schemeClr w14:val="tx1"/>
            </w14:solidFill>
          </w14:textFill>
        </w:rPr>
        <w:t>部门本级，包括</w:t>
      </w:r>
      <w:r>
        <w:rPr>
          <w:rFonts w:hint="eastAsia" w:ascii="Times New Roman" w:hAnsi="Times New Roman" w:eastAsia="仿宋_GB2312" w:cs="Times New Roman"/>
          <w:color w:val="000000" w:themeColor="text1"/>
          <w:kern w:val="0"/>
          <w:sz w:val="32"/>
          <w:szCs w:val="32"/>
          <w:lang w:val="en-US" w:eastAsia="zh-CN" w:bidi="ar-SA"/>
          <w14:textFill>
            <w14:solidFill>
              <w14:schemeClr w14:val="tx1"/>
            </w14:solidFill>
          </w14:textFill>
        </w:rPr>
        <w:t>9</w:t>
      </w:r>
      <w:r>
        <w:rPr>
          <w:rFonts w:hint="eastAsia" w:ascii="Times New Roman" w:hAnsi="Times New Roman" w:eastAsia="仿宋_GB2312" w:cs="Times New Roman"/>
          <w:color w:val="000000" w:themeColor="text1"/>
          <w:kern w:val="0"/>
          <w:sz w:val="32"/>
          <w:szCs w:val="32"/>
          <w:lang w:val="zh-CN" w:eastAsia="zh-CN" w:bidi="ar-SA"/>
          <w14:textFill>
            <w14:solidFill>
              <w14:schemeClr w14:val="tx1"/>
            </w14:solidFill>
          </w14:textFill>
        </w:rPr>
        <w:t>个股室，</w:t>
      </w:r>
      <w:r>
        <w:rPr>
          <w:rFonts w:hint="eastAsia" w:ascii="Times New Roman" w:hAnsi="Times New Roman" w:eastAsia="仿宋_GB2312" w:cs="Times New Roman"/>
          <w:color w:val="000000" w:themeColor="text1"/>
          <w:kern w:val="0"/>
          <w:sz w:val="32"/>
          <w:szCs w:val="32"/>
          <w:lang w:val="en-US" w:eastAsia="zh-CN" w:bidi="ar-SA"/>
          <w14:textFill>
            <w14:solidFill>
              <w14:schemeClr w14:val="tx1"/>
            </w14:solidFill>
          </w14:textFill>
        </w:rPr>
        <w:t>11</w:t>
      </w:r>
      <w:r>
        <w:rPr>
          <w:rFonts w:hint="eastAsia" w:ascii="Times New Roman" w:hAnsi="Times New Roman" w:eastAsia="仿宋_GB2312" w:cs="Times New Roman"/>
          <w:color w:val="000000" w:themeColor="text1"/>
          <w:kern w:val="0"/>
          <w:sz w:val="32"/>
          <w:szCs w:val="32"/>
          <w:lang w:val="zh-CN" w:eastAsia="zh-CN" w:bidi="ar-SA"/>
          <w14:textFill>
            <w14:solidFill>
              <w14:schemeClr w14:val="tx1"/>
            </w14:solidFill>
          </w14:textFill>
        </w:rPr>
        <w:t>个二级单位。</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9</w:t>
      </w: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个职能</w:t>
      </w:r>
      <w:r>
        <w:rPr>
          <w:rFonts w:hint="default" w:ascii="Times New Roman" w:hAnsi="Times New Roman" w:eastAsia="仿宋_GB2312" w:cs="Times New Roman"/>
          <w:color w:val="000000" w:themeColor="text1"/>
          <w:kern w:val="0"/>
          <w:sz w:val="32"/>
          <w:szCs w:val="32"/>
          <w:lang w:val="zh-CN" w:eastAsia="zh-CN"/>
          <w14:textFill>
            <w14:solidFill>
              <w14:schemeClr w14:val="tx1"/>
            </w14:solidFill>
          </w14:textFill>
        </w:rPr>
        <w:t>股室</w:t>
      </w: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包括:办公室、计划发展股、产业经营股、</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农田基建股</w:t>
      </w: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w:t>
      </w:r>
      <w:r>
        <w:rPr>
          <w:rFonts w:hint="default" w:ascii="Times New Roman" w:hAnsi="Times New Roman" w:eastAsia="仿宋_GB2312" w:cs="Times New Roman"/>
          <w:color w:val="000000" w:themeColor="text1"/>
          <w:kern w:val="0"/>
          <w:sz w:val="32"/>
          <w:szCs w:val="32"/>
          <w:lang w:val="zh-CN" w:eastAsia="zh-CN"/>
          <w14:textFill>
            <w14:solidFill>
              <w14:schemeClr w14:val="tx1"/>
            </w14:solidFill>
          </w14:textFill>
        </w:rPr>
        <w:t>科技教育股、执法监管股、县委农办、畜牧兽医股、财务资产股</w:t>
      </w: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w:t>
      </w:r>
      <w:r>
        <w:rPr>
          <w:rFonts w:hint="eastAsia" w:ascii="Times New Roman" w:hAnsi="Times New Roman" w:eastAsia="仿宋_GB2312" w:cs="Times New Roman"/>
          <w:color w:val="000000" w:themeColor="text1"/>
          <w:kern w:val="0"/>
          <w:sz w:val="32"/>
          <w:szCs w:val="32"/>
          <w:lang w:val="en-US" w:eastAsia="zh-CN" w:bidi="ar-SA"/>
          <w14:textFill>
            <w14:solidFill>
              <w14:schemeClr w14:val="tx1"/>
            </w14:solidFill>
          </w14:textFill>
        </w:rPr>
        <w:t>11</w:t>
      </w:r>
      <w:r>
        <w:rPr>
          <w:rFonts w:hint="eastAsia" w:ascii="Times New Roman" w:hAnsi="Times New Roman" w:eastAsia="仿宋_GB2312" w:cs="Times New Roman"/>
          <w:color w:val="000000" w:themeColor="text1"/>
          <w:kern w:val="0"/>
          <w:sz w:val="32"/>
          <w:szCs w:val="32"/>
          <w:lang w:val="zh-CN" w:eastAsia="zh-CN" w:bidi="ar-SA"/>
          <w14:textFill>
            <w14:solidFill>
              <w14:schemeClr w14:val="tx1"/>
            </w14:solidFill>
          </w14:textFill>
        </w:rPr>
        <w:t>个二级单位</w:t>
      </w:r>
      <w:r>
        <w:rPr>
          <w:rFonts w:hint="eastAsia" w:ascii="Times New Roman" w:hAnsi="Times New Roman" w:eastAsia="仿宋_GB2312" w:cs="Times New Roman"/>
          <w:color w:val="000000" w:themeColor="text1"/>
          <w:kern w:val="0"/>
          <w:sz w:val="32"/>
          <w:szCs w:val="32"/>
          <w:lang w:val="en-US" w:eastAsia="zh-CN" w:bidi="ar-SA"/>
          <w14:textFill>
            <w14:solidFill>
              <w14:schemeClr w14:val="tx1"/>
            </w14:solidFill>
          </w14:textFill>
        </w:rPr>
        <w:t>包括华池县农业产业化发展中心、甘肃省农业广播电视学校华池分校、华池县农村能源建设办公室、华池县蔬菜产业办公室、华池县种子</w:t>
      </w:r>
      <w:bookmarkStart w:id="1" w:name="_GoBack"/>
      <w:bookmarkEnd w:id="1"/>
      <w:r>
        <w:rPr>
          <w:rFonts w:hint="eastAsia" w:ascii="Times New Roman" w:hAnsi="Times New Roman" w:eastAsia="仿宋_GB2312" w:cs="Times New Roman"/>
          <w:color w:val="000000" w:themeColor="text1"/>
          <w:kern w:val="0"/>
          <w:sz w:val="32"/>
          <w:szCs w:val="32"/>
          <w:lang w:val="en-US" w:eastAsia="zh-CN" w:bidi="ar-SA"/>
          <w14:textFill>
            <w14:solidFill>
              <w14:schemeClr w14:val="tx1"/>
            </w14:solidFill>
          </w14:textFill>
        </w:rPr>
        <w:t>管理站、华池县农村合作经济经营管理局、华池县动物疫病预防控制中心、华池县农业机械化技术学校、华池县农业机械化服务中心。</w:t>
      </w:r>
    </w:p>
    <w:p w14:paraId="16C54235">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黑体" w:cs="Times New Roman"/>
          <w:color w:val="000000" w:themeColor="text1"/>
          <w:kern w:val="0"/>
          <w:sz w:val="32"/>
          <w:szCs w:val="32"/>
          <w14:textFill>
            <w14:solidFill>
              <w14:schemeClr w14:val="tx1"/>
            </w14:solidFill>
          </w14:textFill>
        </w:rPr>
      </w:pPr>
      <w:r>
        <w:rPr>
          <w:rFonts w:hint="default" w:ascii="Times New Roman" w:hAnsi="Times New Roman" w:eastAsia="黑体" w:cs="Times New Roman"/>
          <w:color w:val="000000" w:themeColor="text1"/>
          <w:kern w:val="0"/>
          <w:sz w:val="32"/>
          <w:szCs w:val="32"/>
          <w14:textFill>
            <w14:solidFill>
              <w14:schemeClr w14:val="tx1"/>
            </w14:solidFill>
          </w14:textFill>
        </w:rPr>
        <w:t>三、单位收支总体情况</w:t>
      </w:r>
    </w:p>
    <w:p w14:paraId="549F014C">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14:textFill>
            <w14:solidFill>
              <w14:schemeClr w14:val="tx1"/>
            </w14:solidFill>
          </w14:textFill>
        </w:rPr>
        <w:t>按照预算管理有关规定，202</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kern w:val="0"/>
          <w:sz w:val="32"/>
          <w:szCs w:val="32"/>
          <w14:textFill>
            <w14:solidFill>
              <w14:schemeClr w14:val="tx1"/>
            </w14:solidFill>
          </w14:textFill>
        </w:rPr>
        <w:t>年部门收支包括机关预算和直属单位预算在内的汇总情况。</w:t>
      </w:r>
    </w:p>
    <w:p w14:paraId="0C841E3E">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14:textFill>
            <w14:solidFill>
              <w14:schemeClr w14:val="tx1"/>
            </w14:solidFill>
          </w14:textFill>
        </w:rPr>
        <w:t>202</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kern w:val="0"/>
          <w:sz w:val="32"/>
          <w:szCs w:val="32"/>
          <w14:textFill>
            <w14:solidFill>
              <w14:schemeClr w14:val="tx1"/>
            </w14:solidFill>
          </w14:textFill>
        </w:rPr>
        <w:t>年部门收支总预算</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8368.53</w:t>
      </w:r>
      <w:r>
        <w:rPr>
          <w:rFonts w:hint="default" w:ascii="Times New Roman" w:hAnsi="Times New Roman" w:eastAsia="仿宋_GB2312" w:cs="Times New Roman"/>
          <w:color w:val="000000" w:themeColor="text1"/>
          <w:kern w:val="0"/>
          <w:sz w:val="32"/>
          <w:szCs w:val="32"/>
          <w14:textFill>
            <w14:solidFill>
              <w14:schemeClr w14:val="tx1"/>
            </w14:solidFill>
          </w14:textFill>
        </w:rPr>
        <w:t>万元。按照综合预算的原则，</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单位</w:t>
      </w:r>
      <w:r>
        <w:rPr>
          <w:rFonts w:hint="default" w:ascii="Times New Roman" w:hAnsi="Times New Roman" w:eastAsia="仿宋_GB2312" w:cs="Times New Roman"/>
          <w:color w:val="000000" w:themeColor="text1"/>
          <w:kern w:val="0"/>
          <w:sz w:val="32"/>
          <w:szCs w:val="32"/>
          <w14:textFill>
            <w14:solidFill>
              <w14:schemeClr w14:val="tx1"/>
            </w14:solidFill>
          </w14:textFill>
        </w:rPr>
        <w:t>所有收入和支出均纳入部门预算管理。收入包括：一般公共预算拨款收入、政府性基金预算拨款收入、事业收入、事业单位经营收入、其他收入、使用非财政拨款结余、上年结转；支出包括：一般公共服务支出、公共安全支出、教育支出、科学技术支出、社会保障和就业支出、卫生健康支出、交通运输支出、住房保障支出、其他支出。</w:t>
      </w:r>
    </w:p>
    <w:p w14:paraId="1AF9EE67">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楷体_GB2312" w:cs="Times New Roman"/>
          <w:color w:val="000000" w:themeColor="text1"/>
          <w:sz w:val="32"/>
          <w:szCs w:val="32"/>
          <w14:textFill>
            <w14:solidFill>
              <w14:schemeClr w14:val="tx1"/>
            </w14:solidFill>
          </w14:textFill>
        </w:rPr>
      </w:pPr>
      <w:r>
        <w:rPr>
          <w:rFonts w:hint="default" w:ascii="Times New Roman" w:hAnsi="Times New Roman" w:eastAsia="楷体_GB2312" w:cs="Times New Roman"/>
          <w:b/>
          <w:bCs/>
          <w:color w:val="000000" w:themeColor="text1"/>
          <w:kern w:val="0"/>
          <w:sz w:val="32"/>
          <w:szCs w:val="32"/>
          <w14:textFill>
            <w14:solidFill>
              <w14:schemeClr w14:val="tx1"/>
            </w14:solidFill>
          </w14:textFill>
        </w:rPr>
        <w:t>（一）收入预算</w:t>
      </w:r>
    </w:p>
    <w:p w14:paraId="43656748">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年收入预算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8368.53</w:t>
      </w:r>
      <w:r>
        <w:rPr>
          <w:rFonts w:hint="default" w:ascii="Times New Roman" w:hAnsi="Times New Roman" w:eastAsia="仿宋_GB2312" w:cs="Times New Roman"/>
          <w:color w:val="000000" w:themeColor="text1"/>
          <w:sz w:val="32"/>
          <w:szCs w:val="32"/>
          <w14:textFill>
            <w14:solidFill>
              <w14:schemeClr w14:val="tx1"/>
            </w14:solidFill>
          </w14:textFill>
        </w:rPr>
        <w:t>万元（详见部门/单位预算公开表1,2）。包括：</w:t>
      </w:r>
    </w:p>
    <w:p w14:paraId="1BC49565">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一般公共预算收入</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8368.53</w:t>
      </w:r>
      <w:r>
        <w:rPr>
          <w:rFonts w:hint="default" w:ascii="Times New Roman" w:hAnsi="Times New Roman" w:eastAsia="仿宋_GB2312" w:cs="Times New Roman"/>
          <w:color w:val="000000" w:themeColor="text1"/>
          <w:sz w:val="32"/>
          <w:szCs w:val="32"/>
          <w14:textFill>
            <w14:solidFill>
              <w14:schemeClr w14:val="tx1"/>
            </w14:solidFill>
          </w14:textFill>
        </w:rPr>
        <w:t>万元，占</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100</w:t>
      </w:r>
      <w:r>
        <w:rPr>
          <w:rFonts w:hint="default" w:ascii="Times New Roman" w:hAnsi="Times New Roman" w:eastAsia="仿宋_GB2312" w:cs="Times New Roman"/>
          <w:color w:val="000000" w:themeColor="text1"/>
          <w:sz w:val="32"/>
          <w:szCs w:val="32"/>
          <w14:textFill>
            <w14:solidFill>
              <w14:schemeClr w14:val="tx1"/>
            </w14:solidFill>
          </w14:textFill>
        </w:rPr>
        <w:t>%；</w:t>
      </w:r>
    </w:p>
    <w:p w14:paraId="2996F664">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政府性基金预算收入</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万元，占</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w:t>
      </w:r>
    </w:p>
    <w:p w14:paraId="01849DE0">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 xml:space="preserve">上年结转收入 </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万元，占</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w:t>
      </w:r>
    </w:p>
    <w:p w14:paraId="310F751B">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其他收入</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万元，占</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w:t>
      </w:r>
    </w:p>
    <w:p w14:paraId="36A7B842">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楷体_GB2312" w:cs="Times New Roman"/>
          <w:b/>
          <w:bCs/>
          <w:color w:val="000000" w:themeColor="text1"/>
          <w:kern w:val="0"/>
          <w:sz w:val="32"/>
          <w:szCs w:val="32"/>
          <w14:textFill>
            <w14:solidFill>
              <w14:schemeClr w14:val="tx1"/>
            </w14:solidFill>
          </w14:textFill>
        </w:rPr>
      </w:pPr>
      <w:r>
        <w:rPr>
          <w:rFonts w:hint="default" w:ascii="Times New Roman" w:hAnsi="Times New Roman" w:eastAsia="楷体_GB2312" w:cs="Times New Roman"/>
          <w:b/>
          <w:bCs/>
          <w:color w:val="000000" w:themeColor="text1"/>
          <w:kern w:val="0"/>
          <w:sz w:val="32"/>
          <w:szCs w:val="32"/>
          <w14:textFill>
            <w14:solidFill>
              <w14:schemeClr w14:val="tx1"/>
            </w14:solidFill>
          </w14:textFill>
        </w:rPr>
        <w:t>（二）支出预算</w:t>
      </w:r>
    </w:p>
    <w:p w14:paraId="2F7FEC4E">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20</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26</w:t>
      </w:r>
      <w:r>
        <w:rPr>
          <w:rFonts w:hint="default" w:ascii="Times New Roman" w:hAnsi="Times New Roman" w:eastAsia="仿宋_GB2312" w:cs="Times New Roman"/>
          <w:color w:val="000000" w:themeColor="text1"/>
          <w:sz w:val="32"/>
          <w:szCs w:val="32"/>
          <w14:textFill>
            <w14:solidFill>
              <w14:schemeClr w14:val="tx1"/>
            </w14:solidFill>
          </w14:textFill>
        </w:rPr>
        <w:t>年支出预算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8368.53</w:t>
      </w:r>
      <w:r>
        <w:rPr>
          <w:rFonts w:hint="default" w:ascii="Times New Roman" w:hAnsi="Times New Roman" w:eastAsia="仿宋_GB2312" w:cs="Times New Roman"/>
          <w:color w:val="000000" w:themeColor="text1"/>
          <w:sz w:val="32"/>
          <w:szCs w:val="32"/>
          <w14:textFill>
            <w14:solidFill>
              <w14:schemeClr w14:val="tx1"/>
            </w14:solidFill>
          </w14:textFill>
        </w:rPr>
        <w:t>万元（详见部门/单位预算公开表3）。</w:t>
      </w:r>
      <w:r>
        <w:rPr>
          <w:rStyle w:val="22"/>
          <w:rFonts w:hint="default" w:ascii="Times New Roman" w:hAnsi="Times New Roman" w:cs="Times New Roman"/>
          <w:color w:val="000000" w:themeColor="text1"/>
          <w14:textFill>
            <w14:solidFill>
              <w14:schemeClr w14:val="tx1"/>
            </w14:solidFill>
          </w14:textFill>
        </w:rPr>
        <w:t>其中：基本支出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3722.03</w:t>
      </w:r>
      <w:r>
        <w:rPr>
          <w:rStyle w:val="22"/>
          <w:rFonts w:hint="default" w:ascii="Times New Roman" w:hAnsi="Times New Roman" w:cs="Times New Roman"/>
          <w:color w:val="000000" w:themeColor="text1"/>
          <w14:textFill>
            <w14:solidFill>
              <w14:schemeClr w14:val="tx1"/>
            </w14:solidFill>
          </w14:textFill>
        </w:rPr>
        <w:t>万元，占</w:t>
      </w:r>
      <w:r>
        <w:rPr>
          <w:rStyle w:val="22"/>
          <w:rFonts w:hint="eastAsia" w:ascii="Times New Roman" w:hAnsi="Times New Roman" w:eastAsia="仿宋_GB2312" w:cs="Times New Roman"/>
          <w:color w:val="000000" w:themeColor="text1"/>
          <w:lang w:val="en-US" w:eastAsia="zh-CN"/>
          <w14:textFill>
            <w14:solidFill>
              <w14:schemeClr w14:val="tx1"/>
            </w14:solidFill>
          </w14:textFill>
        </w:rPr>
        <w:t>44.5</w:t>
      </w:r>
      <w:r>
        <w:rPr>
          <w:rStyle w:val="23"/>
          <w:rFonts w:hint="default" w:ascii="Times New Roman" w:hAnsi="Times New Roman" w:eastAsia="仿宋_GB2312" w:cs="Times New Roman"/>
          <w:color w:val="000000" w:themeColor="text1"/>
          <w14:textFill>
            <w14:solidFill>
              <w14:schemeClr w14:val="tx1"/>
            </w14:solidFill>
          </w14:textFill>
        </w:rPr>
        <w:t>%</w:t>
      </w:r>
      <w:r>
        <w:rPr>
          <w:rStyle w:val="22"/>
          <w:rFonts w:hint="default" w:ascii="Times New Roman" w:hAnsi="Times New Roman" w:cs="Times New Roman"/>
          <w:color w:val="000000" w:themeColor="text1"/>
          <w14:textFill>
            <w14:solidFill>
              <w14:schemeClr w14:val="tx1"/>
            </w14:solidFill>
          </w14:textFill>
        </w:rPr>
        <w:t>； 项目支出</w:t>
      </w:r>
      <w:r>
        <w:rPr>
          <w:rStyle w:val="22"/>
          <w:rFonts w:hint="default" w:ascii="Times New Roman" w:hAnsi="Times New Roman" w:eastAsia="仿宋_GB2312" w:cs="Times New Roman"/>
          <w:color w:val="000000" w:themeColor="text1"/>
          <w:lang w:val="en-US" w:eastAsia="zh-CN"/>
          <w14:textFill>
            <w14:solidFill>
              <w14:schemeClr w14:val="tx1"/>
            </w14:solidFill>
          </w14:textFill>
        </w:rPr>
        <w:t>4646.5</w:t>
      </w:r>
      <w:r>
        <w:rPr>
          <w:rStyle w:val="22"/>
          <w:rFonts w:hint="default" w:ascii="Times New Roman" w:hAnsi="Times New Roman" w:cs="Times New Roman"/>
          <w:color w:val="000000" w:themeColor="text1"/>
          <w14:textFill>
            <w14:solidFill>
              <w14:schemeClr w14:val="tx1"/>
            </w14:solidFill>
          </w14:textFill>
        </w:rPr>
        <w:t>万元，占</w:t>
      </w:r>
      <w:r>
        <w:rPr>
          <w:rStyle w:val="22"/>
          <w:rFonts w:hint="eastAsia" w:ascii="Times New Roman" w:hAnsi="Times New Roman" w:eastAsia="仿宋_GB2312" w:cs="Times New Roman"/>
          <w:color w:val="000000" w:themeColor="text1"/>
          <w:lang w:val="en-US" w:eastAsia="zh-CN"/>
          <w14:textFill>
            <w14:solidFill>
              <w14:schemeClr w14:val="tx1"/>
            </w14:solidFill>
          </w14:textFill>
        </w:rPr>
        <w:t>55.5</w:t>
      </w:r>
      <w:r>
        <w:rPr>
          <w:rStyle w:val="23"/>
          <w:rFonts w:hint="default" w:ascii="Times New Roman" w:hAnsi="Times New Roman" w:eastAsia="仿宋_GB2312" w:cs="Times New Roman"/>
          <w:color w:val="000000" w:themeColor="text1"/>
          <w14:textFill>
            <w14:solidFill>
              <w14:schemeClr w14:val="tx1"/>
            </w14:solidFill>
          </w14:textFill>
        </w:rPr>
        <w:t>%</w:t>
      </w:r>
      <w:r>
        <w:rPr>
          <w:rStyle w:val="22"/>
          <w:rFonts w:hint="default" w:ascii="Times New Roman" w:hAnsi="Times New Roman" w:cs="Times New Roman"/>
          <w:color w:val="000000" w:themeColor="text1"/>
          <w14:textFill>
            <w14:solidFill>
              <w14:schemeClr w14:val="tx1"/>
            </w14:solidFill>
          </w14:textFill>
        </w:rPr>
        <w:t>； 上年结转</w:t>
      </w:r>
      <w:r>
        <w:rPr>
          <w:rStyle w:val="23"/>
          <w:rFonts w:hint="default" w:ascii="Times New Roman" w:hAnsi="Times New Roman" w:eastAsia="仿宋_GB2312" w:cs="Times New Roman"/>
          <w:color w:val="000000" w:themeColor="text1"/>
          <w:lang w:val="en-US" w:eastAsia="zh-CN"/>
          <w14:textFill>
            <w14:solidFill>
              <w14:schemeClr w14:val="tx1"/>
            </w14:solidFill>
          </w14:textFill>
        </w:rPr>
        <w:t>0</w:t>
      </w:r>
      <w:r>
        <w:rPr>
          <w:rStyle w:val="22"/>
          <w:rFonts w:hint="default" w:ascii="Times New Roman" w:hAnsi="Times New Roman" w:cs="Times New Roman"/>
          <w:color w:val="000000" w:themeColor="text1"/>
          <w14:textFill>
            <w14:solidFill>
              <w14:schemeClr w14:val="tx1"/>
            </w14:solidFill>
          </w14:textFill>
        </w:rPr>
        <w:t>万元，占</w:t>
      </w:r>
      <w:r>
        <w:rPr>
          <w:rStyle w:val="23"/>
          <w:rFonts w:hint="default" w:ascii="Times New Roman" w:hAnsi="Times New Roman" w:eastAsia="仿宋_GB2312" w:cs="Times New Roman"/>
          <w:color w:val="000000" w:themeColor="text1"/>
          <w:lang w:val="en-US" w:eastAsia="zh-CN"/>
          <w14:textFill>
            <w14:solidFill>
              <w14:schemeClr w14:val="tx1"/>
            </w14:solidFill>
          </w14:textFill>
        </w:rPr>
        <w:t>0</w:t>
      </w:r>
      <w:r>
        <w:rPr>
          <w:rStyle w:val="23"/>
          <w:rFonts w:hint="default" w:ascii="Times New Roman" w:hAnsi="Times New Roman" w:eastAsia="仿宋_GB2312" w:cs="Times New Roman"/>
          <w:color w:val="000000" w:themeColor="text1"/>
          <w14:textFill>
            <w14:solidFill>
              <w14:schemeClr w14:val="tx1"/>
            </w14:solidFill>
          </w14:textFill>
        </w:rPr>
        <w:t>%</w:t>
      </w:r>
      <w:r>
        <w:rPr>
          <w:rStyle w:val="22"/>
          <w:rFonts w:hint="default" w:ascii="Times New Roman" w:hAnsi="Times New Roman" w:cs="Times New Roman"/>
          <w:color w:val="000000" w:themeColor="text1"/>
          <w14:textFill>
            <w14:solidFill>
              <w14:schemeClr w14:val="tx1"/>
            </w14:solidFill>
          </w14:textFill>
        </w:rPr>
        <w:t>。</w:t>
      </w:r>
    </w:p>
    <w:p w14:paraId="3A00F876">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textAlignment w:val="auto"/>
        <w:rPr>
          <w:rFonts w:hint="default" w:ascii="Times New Roman" w:hAnsi="Times New Roman" w:eastAsia="黑体" w:cs="Times New Roman"/>
          <w:color w:val="000000" w:themeColor="text1"/>
          <w:kern w:val="0"/>
          <w:sz w:val="32"/>
          <w:szCs w:val="32"/>
          <w14:textFill>
            <w14:solidFill>
              <w14:schemeClr w14:val="tx1"/>
            </w14:solidFill>
          </w14:textFill>
        </w:rPr>
      </w:pPr>
      <w:r>
        <w:rPr>
          <w:rFonts w:hint="default" w:ascii="Times New Roman" w:hAnsi="Times New Roman" w:eastAsia="黑体" w:cs="Times New Roman"/>
          <w:color w:val="000000" w:themeColor="text1"/>
          <w:kern w:val="0"/>
          <w:sz w:val="32"/>
          <w:szCs w:val="32"/>
          <w14:textFill>
            <w14:solidFill>
              <w14:schemeClr w14:val="tx1"/>
            </w14:solidFill>
          </w14:textFill>
        </w:rPr>
        <w:t>四、一般公共预算情况</w:t>
      </w:r>
    </w:p>
    <w:p w14:paraId="2D2DA0C8">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Style w:val="23"/>
          <w:rFonts w:hint="default" w:ascii="Times New Roman" w:hAnsi="Times New Roman" w:eastAsia="仿宋_GB2312" w:cs="Times New Roman"/>
          <w:color w:val="000000" w:themeColor="text1"/>
          <w14:textFill>
            <w14:solidFill>
              <w14:schemeClr w14:val="tx1"/>
            </w14:solidFill>
          </w14:textFill>
        </w:rPr>
        <w:t>202</w:t>
      </w:r>
      <w:r>
        <w:rPr>
          <w:rStyle w:val="23"/>
          <w:rFonts w:hint="default" w:ascii="Times New Roman" w:hAnsi="Times New Roman" w:eastAsia="仿宋_GB2312" w:cs="Times New Roman"/>
          <w:color w:val="000000" w:themeColor="text1"/>
          <w:lang w:val="en-US" w:eastAsia="zh-CN"/>
          <w14:textFill>
            <w14:solidFill>
              <w14:schemeClr w14:val="tx1"/>
            </w14:solidFill>
          </w14:textFill>
        </w:rPr>
        <w:t>6</w:t>
      </w:r>
      <w:r>
        <w:rPr>
          <w:rStyle w:val="22"/>
          <w:rFonts w:hint="default" w:ascii="Times New Roman" w:hAnsi="Times New Roman" w:cs="Times New Roman"/>
          <w:color w:val="000000" w:themeColor="text1"/>
          <w14:textFill>
            <w14:solidFill>
              <w14:schemeClr w14:val="tx1"/>
            </w14:solidFill>
          </w14:textFill>
        </w:rPr>
        <w:t>年一般公共预算当年支出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8368.53</w:t>
      </w:r>
      <w:r>
        <w:rPr>
          <w:rStyle w:val="22"/>
          <w:rFonts w:hint="default" w:ascii="Times New Roman" w:hAnsi="Times New Roman" w:cs="Times New Roman"/>
          <w:color w:val="000000" w:themeColor="text1"/>
          <w14:textFill>
            <w14:solidFill>
              <w14:schemeClr w14:val="tx1"/>
            </w14:solidFill>
          </w14:textFill>
        </w:rPr>
        <w:t>万元，包括：</w:t>
      </w:r>
      <w:r>
        <w:rPr>
          <w:rStyle w:val="22"/>
          <w:rFonts w:hint="default" w:ascii="Times New Roman" w:hAnsi="Times New Roman" w:eastAsia="仿宋_GB2312" w:cs="Times New Roman"/>
          <w:color w:val="000000" w:themeColor="text1"/>
          <w:lang w:eastAsia="zh-CN"/>
          <w14:textFill>
            <w14:solidFill>
              <w14:schemeClr w14:val="tx1"/>
            </w14:solidFill>
          </w14:textFill>
        </w:rPr>
        <w:t>农林水</w:t>
      </w:r>
      <w:r>
        <w:rPr>
          <w:rStyle w:val="22"/>
          <w:rFonts w:hint="default" w:ascii="Times New Roman" w:hAnsi="Times New Roman" w:cs="Times New Roman"/>
          <w:color w:val="000000" w:themeColor="text1"/>
          <w14:textFill>
            <w14:solidFill>
              <w14:schemeClr w14:val="tx1"/>
            </w14:solidFill>
          </w14:textFill>
        </w:rPr>
        <w:t>支出</w:t>
      </w:r>
      <w:r>
        <w:rPr>
          <w:rStyle w:val="23"/>
          <w:rFonts w:hint="default" w:ascii="Times New Roman" w:hAnsi="Times New Roman" w:eastAsia="仿宋_GB2312" w:cs="Times New Roman"/>
          <w:color w:val="000000" w:themeColor="text1"/>
          <w:lang w:val="en-US" w:eastAsia="zh-CN"/>
          <w14:textFill>
            <w14:solidFill>
              <w14:schemeClr w14:val="tx1"/>
            </w14:solidFill>
          </w14:textFill>
        </w:rPr>
        <w:t>7365.51</w:t>
      </w:r>
      <w:r>
        <w:rPr>
          <w:rStyle w:val="22"/>
          <w:rFonts w:hint="default" w:ascii="Times New Roman" w:hAnsi="Times New Roman" w:cs="Times New Roman"/>
          <w:color w:val="000000" w:themeColor="text1"/>
          <w14:textFill>
            <w14:solidFill>
              <w14:schemeClr w14:val="tx1"/>
            </w14:solidFill>
          </w14:textFill>
        </w:rPr>
        <w:t>万元、</w:t>
      </w:r>
      <w:r>
        <w:rPr>
          <w:rStyle w:val="22"/>
          <w:rFonts w:hint="default" w:ascii="Times New Roman" w:hAnsi="Times New Roman" w:eastAsia="仿宋_GB2312" w:cs="Times New Roman"/>
          <w:color w:val="000000" w:themeColor="text1"/>
          <w:lang w:eastAsia="zh-CN"/>
          <w14:textFill>
            <w14:solidFill>
              <w14:schemeClr w14:val="tx1"/>
            </w14:solidFill>
          </w14:textFill>
        </w:rPr>
        <w:t>卫生健康支</w:t>
      </w:r>
      <w:r>
        <w:rPr>
          <w:rStyle w:val="22"/>
          <w:rFonts w:hint="default" w:ascii="Times New Roman" w:hAnsi="Times New Roman" w:cs="Times New Roman"/>
          <w:color w:val="000000" w:themeColor="text1"/>
          <w14:textFill>
            <w14:solidFill>
              <w14:schemeClr w14:val="tx1"/>
            </w14:solidFill>
          </w14:textFill>
        </w:rPr>
        <w:t>出</w:t>
      </w:r>
      <w:r>
        <w:rPr>
          <w:rStyle w:val="23"/>
          <w:rFonts w:hint="default" w:ascii="Times New Roman" w:hAnsi="Times New Roman" w:eastAsia="仿宋_GB2312" w:cs="Times New Roman"/>
          <w:color w:val="000000" w:themeColor="text1"/>
          <w:lang w:val="en-US" w:eastAsia="zh-CN"/>
          <w14:textFill>
            <w14:solidFill>
              <w14:schemeClr w14:val="tx1"/>
            </w14:solidFill>
          </w14:textFill>
        </w:rPr>
        <w:t>188.9</w:t>
      </w:r>
      <w:r>
        <w:rPr>
          <w:rStyle w:val="22"/>
          <w:rFonts w:hint="default" w:ascii="Times New Roman" w:hAnsi="Times New Roman" w:cs="Times New Roman"/>
          <w:color w:val="000000" w:themeColor="text1"/>
          <w14:textFill>
            <w14:solidFill>
              <w14:schemeClr w14:val="tx1"/>
            </w14:solidFill>
          </w14:textFill>
        </w:rPr>
        <w:t>万元、</w:t>
      </w:r>
      <w:r>
        <w:rPr>
          <w:rStyle w:val="22"/>
          <w:rFonts w:hint="default" w:ascii="Times New Roman" w:hAnsi="Times New Roman" w:eastAsia="仿宋_GB2312" w:cs="Times New Roman"/>
          <w:color w:val="000000" w:themeColor="text1"/>
          <w:lang w:eastAsia="zh-CN"/>
          <w14:textFill>
            <w14:solidFill>
              <w14:schemeClr w14:val="tx1"/>
            </w14:solidFill>
          </w14:textFill>
        </w:rPr>
        <w:t>住房保障支出</w:t>
      </w:r>
      <w:r>
        <w:rPr>
          <w:rStyle w:val="22"/>
          <w:rFonts w:hint="default" w:ascii="Times New Roman" w:hAnsi="Times New Roman" w:eastAsia="仿宋_GB2312" w:cs="Times New Roman"/>
          <w:color w:val="000000" w:themeColor="text1"/>
          <w:lang w:val="en-US" w:eastAsia="zh-CN"/>
          <w14:textFill>
            <w14:solidFill>
              <w14:schemeClr w14:val="tx1"/>
            </w14:solidFill>
          </w14:textFill>
        </w:rPr>
        <w:t>260</w:t>
      </w:r>
      <w:r>
        <w:rPr>
          <w:rStyle w:val="22"/>
          <w:rFonts w:hint="default" w:ascii="Times New Roman" w:hAnsi="Times New Roman" w:cs="Times New Roman"/>
          <w:color w:val="000000" w:themeColor="text1"/>
          <w14:textFill>
            <w14:solidFill>
              <w14:schemeClr w14:val="tx1"/>
            </w14:solidFill>
          </w14:textFill>
        </w:rPr>
        <w:t>万元、科学技术支出</w:t>
      </w:r>
      <w:r>
        <w:rPr>
          <w:rStyle w:val="23"/>
          <w:rFonts w:hint="default" w:ascii="Times New Roman" w:hAnsi="Times New Roman" w:eastAsia="仿宋_GB2312" w:cs="Times New Roman"/>
          <w:color w:val="000000" w:themeColor="text1"/>
          <w:lang w:val="en-US" w:eastAsia="zh-CN"/>
          <w14:textFill>
            <w14:solidFill>
              <w14:schemeClr w14:val="tx1"/>
            </w14:solidFill>
          </w14:textFill>
        </w:rPr>
        <w:t>0</w:t>
      </w:r>
      <w:r>
        <w:rPr>
          <w:rStyle w:val="22"/>
          <w:rFonts w:hint="default" w:ascii="Times New Roman" w:hAnsi="Times New Roman" w:cs="Times New Roman"/>
          <w:color w:val="000000" w:themeColor="text1"/>
          <w14:textFill>
            <w14:solidFill>
              <w14:schemeClr w14:val="tx1"/>
            </w14:solidFill>
          </w14:textFill>
        </w:rPr>
        <w:t>万元、社会保障和就业支出</w:t>
      </w:r>
      <w:r>
        <w:rPr>
          <w:rStyle w:val="23"/>
          <w:rFonts w:hint="default" w:ascii="Times New Roman" w:hAnsi="Times New Roman" w:eastAsia="仿宋_GB2312" w:cs="Times New Roman"/>
          <w:color w:val="000000" w:themeColor="text1"/>
          <w:lang w:val="en-US" w:eastAsia="zh-CN"/>
          <w14:textFill>
            <w14:solidFill>
              <w14:schemeClr w14:val="tx1"/>
            </w14:solidFill>
          </w14:textFill>
        </w:rPr>
        <w:t>554.12</w:t>
      </w:r>
      <w:r>
        <w:rPr>
          <w:rStyle w:val="22"/>
          <w:rFonts w:hint="default" w:ascii="Times New Roman" w:hAnsi="Times New Roman" w:cs="Times New Roman"/>
          <w:color w:val="000000" w:themeColor="text1"/>
          <w14:textFill>
            <w14:solidFill>
              <w14:schemeClr w14:val="tx1"/>
            </w14:solidFill>
          </w14:textFill>
        </w:rPr>
        <w:t>万元、其他支出</w:t>
      </w:r>
      <w:r>
        <w:rPr>
          <w:rStyle w:val="23"/>
          <w:rFonts w:hint="default" w:ascii="Times New Roman" w:hAnsi="Times New Roman" w:eastAsia="仿宋_GB2312" w:cs="Times New Roman"/>
          <w:color w:val="000000" w:themeColor="text1"/>
          <w:lang w:val="en-US" w:eastAsia="zh-CN"/>
          <w14:textFill>
            <w14:solidFill>
              <w14:schemeClr w14:val="tx1"/>
            </w14:solidFill>
          </w14:textFill>
        </w:rPr>
        <w:t>0</w:t>
      </w:r>
      <w:r>
        <w:rPr>
          <w:rStyle w:val="22"/>
          <w:rFonts w:hint="default" w:ascii="Times New Roman" w:hAnsi="Times New Roman" w:cs="Times New Roman"/>
          <w:color w:val="000000" w:themeColor="text1"/>
          <w14:textFill>
            <w14:solidFill>
              <w14:schemeClr w14:val="tx1"/>
            </w14:solidFill>
          </w14:textFill>
        </w:rPr>
        <w:t>万元。</w:t>
      </w:r>
      <w:r>
        <w:rPr>
          <w:rFonts w:hint="default" w:ascii="Times New Roman" w:hAnsi="Times New Roman" w:eastAsia="仿宋_GB2312" w:cs="Times New Roman"/>
          <w:color w:val="000000" w:themeColor="text1"/>
          <w:sz w:val="32"/>
          <w:szCs w:val="32"/>
          <w14:textFill>
            <w14:solidFill>
              <w14:schemeClr w14:val="tx1"/>
            </w14:solidFill>
          </w14:textFill>
        </w:rPr>
        <w:t>具体安排情况如下（详见部门（单位）预算公开表4,5,6,7）：</w:t>
      </w:r>
    </w:p>
    <w:p w14:paraId="37607C5C">
      <w:pPr>
        <w:keepNext w:val="0"/>
        <w:keepLines w:val="0"/>
        <w:pageBreakBefore w:val="0"/>
        <w:widowControl w:val="0"/>
        <w:kinsoku/>
        <w:wordWrap/>
        <w:overflowPunct/>
        <w:topLinePunct w:val="0"/>
        <w:autoSpaceDE/>
        <w:autoSpaceDN/>
        <w:bidi w:val="0"/>
        <w:spacing w:line="640" w:lineRule="exact"/>
        <w:ind w:firstLine="643" w:firstLineChars="200"/>
        <w:contextualSpacing/>
        <w:textAlignment w:val="auto"/>
        <w:rPr>
          <w:rFonts w:hint="default" w:ascii="Times New Roman" w:hAnsi="Times New Roman" w:eastAsia="楷体_GB2312" w:cs="Times New Roman"/>
          <w:b/>
          <w:bCs/>
          <w:color w:val="000000" w:themeColor="text1"/>
          <w:kern w:val="0"/>
          <w:sz w:val="32"/>
          <w:szCs w:val="32"/>
          <w14:textFill>
            <w14:solidFill>
              <w14:schemeClr w14:val="tx1"/>
            </w14:solidFill>
          </w14:textFill>
        </w:rPr>
      </w:pPr>
      <w:r>
        <w:rPr>
          <w:rFonts w:hint="default" w:ascii="Times New Roman" w:hAnsi="Times New Roman" w:eastAsia="楷体_GB2312" w:cs="Times New Roman"/>
          <w:b/>
          <w:bCs/>
          <w:color w:val="000000" w:themeColor="text1"/>
          <w:kern w:val="0"/>
          <w:sz w:val="32"/>
          <w:szCs w:val="32"/>
          <w14:textFill>
            <w14:solidFill>
              <w14:schemeClr w14:val="tx1"/>
            </w14:solidFill>
          </w14:textFill>
        </w:rPr>
        <w:t>（一）基本支出</w:t>
      </w:r>
    </w:p>
    <w:p w14:paraId="73350E3A">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年基本支出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372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3</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.03</w:t>
      </w:r>
      <w:r>
        <w:rPr>
          <w:rFonts w:hint="default" w:ascii="Times New Roman" w:hAnsi="Times New Roman" w:eastAsia="仿宋_GB2312" w:cs="Times New Roman"/>
          <w:color w:val="000000" w:themeColor="text1"/>
          <w:sz w:val="32"/>
          <w:szCs w:val="32"/>
          <w14:textFill>
            <w14:solidFill>
              <w14:schemeClr w14:val="tx1"/>
            </w14:solidFill>
          </w14:textFill>
        </w:rPr>
        <w:t>万元</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其中：人员经费支出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3469.68</w:t>
      </w:r>
      <w:r>
        <w:rPr>
          <w:rFonts w:hint="default" w:ascii="Times New Roman" w:hAnsi="Times New Roman" w:eastAsia="仿宋_GB2312" w:cs="Times New Roman"/>
          <w:color w:val="000000" w:themeColor="text1"/>
          <w:sz w:val="32"/>
          <w:szCs w:val="32"/>
          <w14:textFill>
            <w14:solidFill>
              <w14:schemeClr w14:val="tx1"/>
            </w14:solidFill>
          </w14:textFill>
        </w:rPr>
        <w:t>万元，主要包括：基本工资、津贴补贴、奖金、伙食补助费、绩效工资、机关事业单位基本养老保险缴费、职业年金缴费、职工基本医疗保险缴费、公务员医疗补助缴费、其他社会保障缴费、住房公积金、医疗费、其他工资福利支出、离休费、退休费、退职（役）费、抚恤金、生活补助、救济费、医疗费补助、助学金、奖励金、个人农业生产补贴、代缴社会保险费 、其他对个人和家庭的补助等。</w:t>
      </w:r>
    </w:p>
    <w:p w14:paraId="24D1E56B">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公用经费支出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253.35</w:t>
      </w:r>
      <w:r>
        <w:rPr>
          <w:rFonts w:hint="default" w:ascii="Times New Roman" w:hAnsi="Times New Roman" w:eastAsia="仿宋_GB2312" w:cs="Times New Roman"/>
          <w:color w:val="000000" w:themeColor="text1"/>
          <w:sz w:val="32"/>
          <w:szCs w:val="32"/>
          <w14:textFill>
            <w14:solidFill>
              <w14:schemeClr w14:val="tx1"/>
            </w14:solidFill>
          </w14:textFill>
        </w:rPr>
        <w:t>万元，主要包括：办公费、印刷费、咨询费、手续费、水费、电费、邮电费、取暖费、物业管理费、差旅费、因公出国（境）费、维修（护）费、租赁费、会议费、培训费、公务接待费、专用材料费、被装购置费、专用燃料费、劳务费、委托业务费、工会经费、福利费、公务用车运行维护费、其他交通费用、税金及附加费用、其他商品和服务支出、办公设备购置、专用设备购置等。</w:t>
      </w:r>
    </w:p>
    <w:p w14:paraId="026FA827">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楷体_GB2312" w:cs="Times New Roman"/>
          <w:b/>
          <w:bCs/>
          <w:color w:val="000000" w:themeColor="text1"/>
          <w:kern w:val="0"/>
          <w:sz w:val="32"/>
          <w:szCs w:val="32"/>
          <w14:textFill>
            <w14:solidFill>
              <w14:schemeClr w14:val="tx1"/>
            </w14:solidFill>
          </w14:textFill>
        </w:rPr>
      </w:pPr>
      <w:r>
        <w:rPr>
          <w:rFonts w:hint="default" w:ascii="Times New Roman" w:hAnsi="Times New Roman" w:eastAsia="楷体_GB2312" w:cs="Times New Roman"/>
          <w:b/>
          <w:bCs/>
          <w:color w:val="000000" w:themeColor="text1"/>
          <w:kern w:val="0"/>
          <w:sz w:val="32"/>
          <w:szCs w:val="32"/>
          <w14:textFill>
            <w14:solidFill>
              <w14:schemeClr w14:val="tx1"/>
            </w14:solidFill>
          </w14:textFill>
        </w:rPr>
        <w:t>（二）项目支出</w:t>
      </w:r>
    </w:p>
    <w:p w14:paraId="7608F055">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年一般公共预算财政拨款项目支出预算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4645.5</w:t>
      </w:r>
      <w:r>
        <w:rPr>
          <w:rFonts w:hint="default" w:ascii="Times New Roman" w:hAnsi="Times New Roman" w:eastAsia="仿宋_GB2312" w:cs="Times New Roman"/>
          <w:color w:val="000000" w:themeColor="text1"/>
          <w:sz w:val="32"/>
          <w:szCs w:val="32"/>
          <w14:textFill>
            <w14:solidFill>
              <w14:schemeClr w14:val="tx1"/>
            </w14:solidFill>
          </w14:textFill>
        </w:rPr>
        <w:t>万元</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14:paraId="59F1DDBA">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楷体_GB2312" w:cs="Times New Roman"/>
          <w:b/>
          <w:bCs/>
          <w:color w:val="000000" w:themeColor="text1"/>
          <w:kern w:val="0"/>
          <w:sz w:val="32"/>
          <w:szCs w:val="32"/>
          <w14:textFill>
            <w14:solidFill>
              <w14:schemeClr w14:val="tx1"/>
            </w14:solidFill>
          </w14:textFill>
        </w:rPr>
      </w:pPr>
      <w:r>
        <w:rPr>
          <w:rFonts w:hint="default" w:ascii="Times New Roman" w:hAnsi="Times New Roman" w:eastAsia="楷体_GB2312" w:cs="Times New Roman"/>
          <w:b/>
          <w:bCs/>
          <w:color w:val="000000" w:themeColor="text1"/>
          <w:kern w:val="0"/>
          <w:sz w:val="32"/>
          <w:szCs w:val="32"/>
          <w14:textFill>
            <w14:solidFill>
              <w14:schemeClr w14:val="tx1"/>
            </w14:solidFill>
          </w14:textFill>
        </w:rPr>
        <w:t>（三）支出功能分类说明</w:t>
      </w:r>
    </w:p>
    <w:p w14:paraId="4E16FB66">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bCs/>
          <w:color w:val="000000" w:themeColor="text1"/>
          <w:sz w:val="32"/>
          <w:szCs w:val="32"/>
          <w14:textFill>
            <w14:solidFill>
              <w14:schemeClr w14:val="tx1"/>
            </w14:solidFill>
          </w14:textFill>
        </w:rPr>
        <w:t>1.</w:t>
      </w:r>
      <w:r>
        <w:rPr>
          <w:rFonts w:hint="default" w:ascii="Times New Roman" w:hAnsi="Times New Roman" w:eastAsia="仿宋_GB2312" w:cs="Times New Roman"/>
          <w:color w:val="000000" w:themeColor="text1"/>
          <w:sz w:val="32"/>
          <w:szCs w:val="32"/>
          <w14:textFill>
            <w14:solidFill>
              <w14:schemeClr w14:val="tx1"/>
            </w14:solidFill>
          </w14:textFill>
        </w:rPr>
        <w:t>社会保障和就业支出（类）行政事业单位养老支出（款）机关事业单位基本养老保险缴费支出（项）202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年预算数为346.67万元</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比202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default" w:ascii="Times New Roman" w:hAnsi="Times New Roman" w:eastAsia="仿宋_GB2312" w:cs="Times New Roman"/>
          <w:color w:val="000000" w:themeColor="text1"/>
          <w:sz w:val="32"/>
          <w:szCs w:val="32"/>
          <w14:textFill>
            <w14:solidFill>
              <w14:schemeClr w14:val="tx1"/>
            </w14:solidFill>
          </w14:textFill>
        </w:rPr>
        <w:t>年预算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增加1.02</w:t>
      </w:r>
      <w:r>
        <w:rPr>
          <w:rFonts w:hint="default" w:ascii="Times New Roman" w:hAnsi="Times New Roman" w:eastAsia="仿宋_GB2312" w:cs="Times New Roman"/>
          <w:color w:val="000000" w:themeColor="text1"/>
          <w:sz w:val="32"/>
          <w:szCs w:val="32"/>
          <w14:textFill>
            <w14:solidFill>
              <w14:schemeClr w14:val="tx1"/>
            </w14:solidFill>
          </w14:textFill>
        </w:rPr>
        <w:t>万元， 主要原因是</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工资基数</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增加，社会保险基数</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增加</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14:paraId="59F3BBEF">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2.社会保障和就业支出（类）行政事业单位养老支出（款）机关事业单位职业年金缴费支出（项）202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年预算数为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173.34</w:t>
      </w:r>
      <w:r>
        <w:rPr>
          <w:rFonts w:hint="default" w:ascii="Times New Roman" w:hAnsi="Times New Roman" w:eastAsia="仿宋_GB2312" w:cs="Times New Roman"/>
          <w:color w:val="000000" w:themeColor="text1"/>
          <w:sz w:val="32"/>
          <w:szCs w:val="32"/>
          <w14:textFill>
            <w14:solidFill>
              <w14:schemeClr w14:val="tx1"/>
            </w14:solidFill>
          </w14:textFill>
        </w:rPr>
        <w:t>万元</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比202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default" w:ascii="Times New Roman" w:hAnsi="Times New Roman" w:eastAsia="仿宋_GB2312" w:cs="Times New Roman"/>
          <w:color w:val="000000" w:themeColor="text1"/>
          <w:sz w:val="32"/>
          <w:szCs w:val="32"/>
          <w14:textFill>
            <w14:solidFill>
              <w14:schemeClr w14:val="tx1"/>
            </w14:solidFill>
          </w14:textFill>
        </w:rPr>
        <w:t>年预算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增加0.51</w:t>
      </w:r>
      <w:r>
        <w:rPr>
          <w:rFonts w:hint="default" w:ascii="Times New Roman" w:hAnsi="Times New Roman" w:eastAsia="仿宋_GB2312" w:cs="Times New Roman"/>
          <w:color w:val="000000" w:themeColor="text1"/>
          <w:sz w:val="32"/>
          <w:szCs w:val="32"/>
          <w14:textFill>
            <w14:solidFill>
              <w14:schemeClr w14:val="tx1"/>
            </w14:solidFill>
          </w14:textFill>
        </w:rPr>
        <w:t>万元， 主要原因是</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工资基数</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增加，社会保险基数</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增加</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14:paraId="381E8407">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3</w:t>
      </w:r>
      <w:r>
        <w:rPr>
          <w:rFonts w:hint="default" w:ascii="Times New Roman" w:hAnsi="Times New Roman" w:eastAsia="仿宋_GB2312" w:cs="Times New Roman"/>
          <w:bCs/>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社会保障和就业支出（类） 抚恤（款） 其他优抚支出（项）202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年预算数为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13.06</w:t>
      </w:r>
      <w:r>
        <w:rPr>
          <w:rFonts w:hint="default" w:ascii="Times New Roman" w:hAnsi="Times New Roman" w:eastAsia="仿宋_GB2312" w:cs="Times New Roman"/>
          <w:color w:val="000000" w:themeColor="text1"/>
          <w:sz w:val="32"/>
          <w:szCs w:val="32"/>
          <w14:textFill>
            <w14:solidFill>
              <w14:schemeClr w14:val="tx1"/>
            </w14:solidFill>
          </w14:textFill>
        </w:rPr>
        <w:t>万元</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比202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default" w:ascii="Times New Roman" w:hAnsi="Times New Roman" w:eastAsia="仿宋_GB2312" w:cs="Times New Roman"/>
          <w:color w:val="000000" w:themeColor="text1"/>
          <w:sz w:val="32"/>
          <w:szCs w:val="32"/>
          <w14:textFill>
            <w14:solidFill>
              <w14:schemeClr w14:val="tx1"/>
            </w14:solidFill>
          </w14:textFill>
        </w:rPr>
        <w:t>年预算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一致。</w:t>
      </w:r>
    </w:p>
    <w:p w14:paraId="6A5D847D">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4</w:t>
      </w:r>
      <w:r>
        <w:rPr>
          <w:rFonts w:hint="default" w:ascii="Times New Roman" w:hAnsi="Times New Roman" w:eastAsia="仿宋_GB2312" w:cs="Times New Roman"/>
          <w:color w:val="000000" w:themeColor="text1"/>
          <w:sz w:val="32"/>
          <w:szCs w:val="32"/>
          <w14:textFill>
            <w14:solidFill>
              <w14:schemeClr w14:val="tx1"/>
            </w14:solidFill>
          </w14:textFill>
        </w:rPr>
        <w:t>.社会保障和就业支出（类） 其他社会保障和就业支出（款） 其他社会保障和就业支出（项）202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年预算数</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21.05</w:t>
      </w:r>
      <w:r>
        <w:rPr>
          <w:rFonts w:hint="default" w:ascii="Times New Roman" w:hAnsi="Times New Roman" w:eastAsia="仿宋_GB2312" w:cs="Times New Roman"/>
          <w:color w:val="000000" w:themeColor="text1"/>
          <w:sz w:val="32"/>
          <w:szCs w:val="32"/>
          <w14:textFill>
            <w14:solidFill>
              <w14:schemeClr w14:val="tx1"/>
            </w14:solidFill>
          </w14:textFill>
        </w:rPr>
        <w:t>万</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比202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default" w:ascii="Times New Roman" w:hAnsi="Times New Roman" w:eastAsia="仿宋_GB2312" w:cs="Times New Roman"/>
          <w:color w:val="000000" w:themeColor="text1"/>
          <w:sz w:val="32"/>
          <w:szCs w:val="32"/>
          <w14:textFill>
            <w14:solidFill>
              <w14:schemeClr w14:val="tx1"/>
            </w14:solidFill>
          </w14:textFill>
        </w:rPr>
        <w:t>年预算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减少3.41</w:t>
      </w:r>
      <w:r>
        <w:rPr>
          <w:rFonts w:hint="default" w:ascii="Times New Roman" w:hAnsi="Times New Roman" w:eastAsia="仿宋_GB2312" w:cs="Times New Roman"/>
          <w:color w:val="000000" w:themeColor="text1"/>
          <w:sz w:val="32"/>
          <w:szCs w:val="32"/>
          <w14:textFill>
            <w14:solidFill>
              <w14:schemeClr w14:val="tx1"/>
            </w14:solidFill>
          </w14:textFill>
        </w:rPr>
        <w:t>万元</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14:paraId="1B41DAD6">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5</w:t>
      </w:r>
      <w:r>
        <w:rPr>
          <w:rFonts w:hint="default" w:ascii="Times New Roman" w:hAnsi="Times New Roman" w:eastAsia="仿宋_GB2312" w:cs="Times New Roman"/>
          <w:bCs/>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卫生健康支出（类）行政事业单位医疗（款） 行政单位医疗（项）202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年预算数为</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188.9</w:t>
      </w:r>
      <w:r>
        <w:rPr>
          <w:rFonts w:hint="default" w:ascii="Times New Roman" w:hAnsi="Times New Roman" w:eastAsia="仿宋_GB2312" w:cs="Times New Roman"/>
          <w:color w:val="000000" w:themeColor="text1"/>
          <w:sz w:val="32"/>
          <w:szCs w:val="32"/>
          <w14:textFill>
            <w14:solidFill>
              <w14:schemeClr w14:val="tx1"/>
            </w14:solidFill>
          </w14:textFill>
        </w:rPr>
        <w:t>万元</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比202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default" w:ascii="Times New Roman" w:hAnsi="Times New Roman" w:eastAsia="仿宋_GB2312" w:cs="Times New Roman"/>
          <w:color w:val="000000" w:themeColor="text1"/>
          <w:sz w:val="32"/>
          <w:szCs w:val="32"/>
          <w14:textFill>
            <w14:solidFill>
              <w14:schemeClr w14:val="tx1"/>
            </w14:solidFill>
          </w14:textFill>
        </w:rPr>
        <w:t>年预算</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增加</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1.11</w:t>
      </w:r>
      <w:r>
        <w:rPr>
          <w:rFonts w:hint="default" w:ascii="Times New Roman" w:hAnsi="Times New Roman" w:eastAsia="仿宋_GB2312" w:cs="Times New Roman"/>
          <w:color w:val="000000" w:themeColor="text1"/>
          <w:sz w:val="32"/>
          <w:szCs w:val="32"/>
          <w14:textFill>
            <w14:solidFill>
              <w14:schemeClr w14:val="tx1"/>
            </w14:solidFill>
          </w14:textFill>
        </w:rPr>
        <w:t>万元，主要原因是</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人员增加。</w:t>
      </w:r>
    </w:p>
    <w:p w14:paraId="6681E1F3">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b w:val="0"/>
          <w:bCs w:val="0"/>
          <w:color w:val="000000" w:themeColor="text1"/>
          <w:sz w:val="32"/>
          <w:szCs w:val="32"/>
          <w:lang w:eastAsia="zh-CN"/>
          <w14:textFill>
            <w14:solidFill>
              <w14:schemeClr w14:val="tx1"/>
            </w14:solidFill>
          </w14:textFill>
        </w:rPr>
      </w:pP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.农林水支出（类） 农业农村（款） 一般行政管理事务（项）202</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年预算数为</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7365.51</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万元</w:t>
      </w:r>
      <w:r>
        <w:rPr>
          <w:rFonts w:hint="default" w:ascii="Times New Roman" w:hAnsi="Times New Roman" w:eastAsia="仿宋_GB2312" w:cs="Times New Roman"/>
          <w:b w:val="0"/>
          <w:bCs w:val="0"/>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比202</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5</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年预算</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减少4262.11</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万元， 主要原因是</w:t>
      </w:r>
      <w:r>
        <w:rPr>
          <w:rFonts w:hint="default" w:ascii="Times New Roman" w:hAnsi="Times New Roman" w:eastAsia="仿宋_GB2312" w:cs="Times New Roman"/>
          <w:b w:val="0"/>
          <w:bCs w:val="0"/>
          <w:color w:val="000000" w:themeColor="text1"/>
          <w:sz w:val="32"/>
          <w:szCs w:val="32"/>
          <w:lang w:eastAsia="zh-CN"/>
          <w14:textFill>
            <w14:solidFill>
              <w14:schemeClr w14:val="tx1"/>
            </w14:solidFill>
          </w14:textFill>
        </w:rPr>
        <w:t>项目</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减少</w:t>
      </w:r>
      <w:r>
        <w:rPr>
          <w:rFonts w:hint="default" w:ascii="Times New Roman" w:hAnsi="Times New Roman" w:eastAsia="仿宋_GB2312" w:cs="Times New Roman"/>
          <w:b w:val="0"/>
          <w:bCs w:val="0"/>
          <w:color w:val="000000" w:themeColor="text1"/>
          <w:sz w:val="32"/>
          <w:szCs w:val="32"/>
          <w:lang w:eastAsia="zh-CN"/>
          <w14:textFill>
            <w14:solidFill>
              <w14:schemeClr w14:val="tx1"/>
            </w14:solidFill>
          </w14:textFill>
        </w:rPr>
        <w:t>，预算</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减少</w:t>
      </w:r>
      <w:r>
        <w:rPr>
          <w:rFonts w:hint="default" w:ascii="Times New Roman" w:hAnsi="Times New Roman" w:eastAsia="仿宋_GB2312" w:cs="Times New Roman"/>
          <w:b w:val="0"/>
          <w:bCs w:val="0"/>
          <w:color w:val="000000" w:themeColor="text1"/>
          <w:sz w:val="32"/>
          <w:szCs w:val="32"/>
          <w:lang w:eastAsia="zh-CN"/>
          <w14:textFill>
            <w14:solidFill>
              <w14:schemeClr w14:val="tx1"/>
            </w14:solidFill>
          </w14:textFill>
        </w:rPr>
        <w:t>。</w:t>
      </w:r>
    </w:p>
    <w:p w14:paraId="1085469A">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b w:val="0"/>
          <w:bCs w:val="0"/>
          <w:color w:val="000000" w:themeColor="text1"/>
          <w:sz w:val="32"/>
          <w:szCs w:val="32"/>
          <w:lang w:eastAsia="zh-CN"/>
          <w14:textFill>
            <w14:solidFill>
              <w14:schemeClr w14:val="tx1"/>
            </w14:solidFill>
          </w14:textFill>
        </w:rPr>
      </w:pP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7</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.住房保障支出（类） 住房改革支出（款） 住房公积金（项）202</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年预算数为</w:t>
      </w:r>
      <w:r>
        <w:rPr>
          <w:rFonts w:hint="eastAsia" w:ascii="Times New Roman" w:hAnsi="Times New Roman" w:eastAsia="仿宋_GB2312" w:cs="Times New Roman"/>
          <w:b w:val="0"/>
          <w:bCs w:val="0"/>
          <w:color w:val="000000" w:themeColor="text1"/>
          <w:sz w:val="32"/>
          <w:szCs w:val="32"/>
          <w:lang w:val="en-US" w:eastAsia="zh-CN"/>
          <w14:textFill>
            <w14:solidFill>
              <w14:schemeClr w14:val="tx1"/>
            </w14:solidFill>
          </w14:textFill>
        </w:rPr>
        <w:t>260</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万元</w:t>
      </w:r>
      <w:r>
        <w:rPr>
          <w:rFonts w:hint="default" w:ascii="Times New Roman" w:hAnsi="Times New Roman" w:eastAsia="仿宋_GB2312" w:cs="Times New Roman"/>
          <w:b w:val="0"/>
          <w:bCs w:val="0"/>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比20</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25</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年预算</w:t>
      </w:r>
      <w:r>
        <w:rPr>
          <w:rFonts w:hint="default" w:ascii="Times New Roman" w:hAnsi="Times New Roman" w:eastAsia="仿宋_GB2312" w:cs="Times New Roman"/>
          <w:b w:val="0"/>
          <w:bCs w:val="0"/>
          <w:color w:val="000000" w:themeColor="text1"/>
          <w:sz w:val="32"/>
          <w:szCs w:val="32"/>
          <w:lang w:eastAsia="zh-CN"/>
          <w14:textFill>
            <w14:solidFill>
              <w14:schemeClr w14:val="tx1"/>
            </w14:solidFill>
          </w14:textFill>
        </w:rPr>
        <w:t>增加</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0.77</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万元， 主要原因是</w:t>
      </w:r>
      <w:r>
        <w:rPr>
          <w:rFonts w:hint="default" w:ascii="Times New Roman" w:hAnsi="Times New Roman" w:eastAsia="仿宋_GB2312" w:cs="Times New Roman"/>
          <w:b w:val="0"/>
          <w:bCs w:val="0"/>
          <w:color w:val="000000" w:themeColor="text1"/>
          <w:sz w:val="32"/>
          <w:szCs w:val="32"/>
          <w:lang w:eastAsia="zh-CN"/>
          <w14:textFill>
            <w14:solidFill>
              <w14:schemeClr w14:val="tx1"/>
            </w14:solidFill>
          </w14:textFill>
        </w:rPr>
        <w:t>工资增加</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w:t>
      </w:r>
    </w:p>
    <w:p w14:paraId="4F2144B9">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textAlignment w:val="auto"/>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rPr>
        <w:t>五、部门（单位）一般公共预算财政拨款“三公”经费、培训费、会议费等情况</w:t>
      </w:r>
    </w:p>
    <w:p w14:paraId="0548848D">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楷体_GB2312" w:cs="Times New Roman"/>
          <w:b/>
          <w:bCs/>
          <w:kern w:val="0"/>
          <w:sz w:val="32"/>
          <w:szCs w:val="32"/>
        </w:rPr>
      </w:pPr>
      <w:r>
        <w:rPr>
          <w:rFonts w:hint="default" w:ascii="Times New Roman" w:hAnsi="Times New Roman" w:eastAsia="楷体_GB2312" w:cs="Times New Roman"/>
          <w:b/>
          <w:bCs/>
          <w:kern w:val="0"/>
          <w:sz w:val="32"/>
          <w:szCs w:val="32"/>
        </w:rPr>
        <w:t>（一）“三公”经费情况说明</w:t>
      </w:r>
    </w:p>
    <w:p w14:paraId="52F02BDE">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2026年度</w:t>
      </w:r>
      <w:r>
        <w:rPr>
          <w:rFonts w:hint="default" w:ascii="Times New Roman" w:hAnsi="Times New Roman" w:eastAsia="仿宋_GB2312" w:cs="Times New Roman"/>
          <w:sz w:val="32"/>
          <w:szCs w:val="32"/>
          <w:lang w:eastAsia="zh-CN"/>
        </w:rPr>
        <w:t>安排公务接待费用</w:t>
      </w:r>
      <w:r>
        <w:rPr>
          <w:rFonts w:hint="default" w:ascii="Times New Roman" w:hAnsi="Times New Roman" w:eastAsia="仿宋_GB2312" w:cs="Times New Roman"/>
          <w:sz w:val="32"/>
          <w:szCs w:val="32"/>
          <w:lang w:val="en-US" w:eastAsia="zh-CN"/>
        </w:rPr>
        <w:t>3000元</w:t>
      </w:r>
      <w:r>
        <w:rPr>
          <w:rFonts w:hint="default" w:ascii="Times New Roman" w:hAnsi="Times New Roman" w:eastAsia="仿宋_GB2312" w:cs="Times New Roman"/>
          <w:sz w:val="32"/>
          <w:szCs w:val="32"/>
          <w:lang w:eastAsia="zh-CN"/>
        </w:rPr>
        <w:t>，与</w:t>
      </w:r>
      <w:r>
        <w:rPr>
          <w:rFonts w:hint="default" w:ascii="Times New Roman" w:hAnsi="Times New Roman" w:eastAsia="仿宋_GB2312" w:cs="Times New Roman"/>
          <w:sz w:val="32"/>
          <w:szCs w:val="32"/>
          <w:lang w:val="en-US" w:eastAsia="zh-CN"/>
        </w:rPr>
        <w:t>2025年度保持不变。</w:t>
      </w:r>
    </w:p>
    <w:p w14:paraId="29A13753">
      <w:pPr>
        <w:keepNext w:val="0"/>
        <w:keepLines w:val="0"/>
        <w:pageBreakBefore w:val="0"/>
        <w:widowControl w:val="0"/>
        <w:numPr>
          <w:ilvl w:val="0"/>
          <w:numId w:val="1"/>
        </w:numPr>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楷体_GB2312" w:cs="Times New Roman"/>
          <w:b/>
          <w:bCs/>
          <w:kern w:val="0"/>
          <w:sz w:val="32"/>
          <w:szCs w:val="32"/>
        </w:rPr>
      </w:pPr>
      <w:r>
        <w:rPr>
          <w:rFonts w:hint="default" w:ascii="Times New Roman" w:hAnsi="Times New Roman" w:eastAsia="楷体_GB2312" w:cs="Times New Roman"/>
          <w:b/>
          <w:bCs/>
          <w:kern w:val="0"/>
          <w:sz w:val="32"/>
          <w:szCs w:val="32"/>
        </w:rPr>
        <w:t>培训费预算情况说明</w:t>
      </w:r>
    </w:p>
    <w:p w14:paraId="7F9C2B88">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2026年度</w:t>
      </w:r>
      <w:r>
        <w:rPr>
          <w:rFonts w:hint="default" w:ascii="Times New Roman" w:hAnsi="Times New Roman" w:eastAsia="仿宋_GB2312" w:cs="Times New Roman"/>
          <w:sz w:val="32"/>
          <w:szCs w:val="32"/>
          <w:lang w:eastAsia="zh-CN"/>
        </w:rPr>
        <w:t>未安排培训费</w:t>
      </w:r>
      <w:r>
        <w:rPr>
          <w:rFonts w:hint="default" w:ascii="Times New Roman" w:hAnsi="Times New Roman" w:eastAsia="仿宋_GB2312" w:cs="Times New Roman"/>
          <w:sz w:val="32"/>
          <w:szCs w:val="32"/>
        </w:rPr>
        <w:t>预算</w:t>
      </w:r>
      <w:r>
        <w:rPr>
          <w:rFonts w:hint="default" w:ascii="Times New Roman" w:hAnsi="Times New Roman" w:eastAsia="仿宋_GB2312" w:cs="Times New Roman"/>
          <w:sz w:val="32"/>
          <w:szCs w:val="32"/>
          <w:lang w:eastAsia="zh-CN"/>
        </w:rPr>
        <w:t>。</w:t>
      </w:r>
    </w:p>
    <w:p w14:paraId="326B15FA">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楷体_GB2312" w:cs="Times New Roman"/>
          <w:b/>
          <w:bCs/>
          <w:kern w:val="0"/>
          <w:sz w:val="32"/>
          <w:szCs w:val="32"/>
        </w:rPr>
      </w:pPr>
      <w:r>
        <w:rPr>
          <w:rFonts w:hint="default" w:ascii="Times New Roman" w:hAnsi="Times New Roman" w:eastAsia="楷体_GB2312" w:cs="Times New Roman"/>
          <w:b/>
          <w:bCs/>
          <w:kern w:val="0"/>
          <w:sz w:val="32"/>
          <w:szCs w:val="32"/>
        </w:rPr>
        <w:t>（三）会议费预算情况说明</w:t>
      </w:r>
    </w:p>
    <w:p w14:paraId="59D411A3">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2026年度</w:t>
      </w:r>
      <w:r>
        <w:rPr>
          <w:rFonts w:hint="default" w:ascii="Times New Roman" w:hAnsi="Times New Roman" w:eastAsia="仿宋_GB2312" w:cs="Times New Roman"/>
          <w:sz w:val="32"/>
          <w:szCs w:val="32"/>
          <w:lang w:eastAsia="zh-CN"/>
        </w:rPr>
        <w:t>未安排会议费</w:t>
      </w:r>
      <w:r>
        <w:rPr>
          <w:rFonts w:hint="default" w:ascii="Times New Roman" w:hAnsi="Times New Roman" w:eastAsia="仿宋_GB2312" w:cs="Times New Roman"/>
          <w:sz w:val="32"/>
          <w:szCs w:val="32"/>
        </w:rPr>
        <w:t>预算</w:t>
      </w:r>
      <w:r>
        <w:rPr>
          <w:rFonts w:hint="default" w:ascii="Times New Roman" w:hAnsi="Times New Roman" w:eastAsia="仿宋_GB2312" w:cs="Times New Roman"/>
          <w:sz w:val="32"/>
          <w:szCs w:val="32"/>
          <w:lang w:eastAsia="zh-CN"/>
        </w:rPr>
        <w:t>。</w:t>
      </w:r>
    </w:p>
    <w:p w14:paraId="661765AF">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textAlignment w:val="auto"/>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rPr>
        <w:t>六、一般公共预算财政拨款机关运行经费情况</w:t>
      </w:r>
    </w:p>
    <w:p w14:paraId="41DC0E3A">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2026年</w:t>
      </w:r>
      <w:r>
        <w:rPr>
          <w:rFonts w:hint="default" w:ascii="Times New Roman" w:hAnsi="Times New Roman" w:eastAsia="仿宋_GB2312" w:cs="Times New Roman"/>
          <w:color w:val="000000" w:themeColor="text1"/>
          <w:sz w:val="32"/>
          <w:szCs w:val="32"/>
          <w14:textFill>
            <w14:solidFill>
              <w14:schemeClr w14:val="tx1"/>
            </w14:solidFill>
          </w14:textFill>
        </w:rPr>
        <w:t>机关运行经费</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29.75</w:t>
      </w:r>
      <w:r>
        <w:rPr>
          <w:rFonts w:hint="default" w:ascii="Times New Roman" w:hAnsi="Times New Roman" w:eastAsia="仿宋_GB2312" w:cs="Times New Roman"/>
          <w:color w:val="000000" w:themeColor="text1"/>
          <w:sz w:val="32"/>
          <w:szCs w:val="32"/>
          <w14:textFill>
            <w14:solidFill>
              <w14:schemeClr w14:val="tx1"/>
            </w14:solidFill>
          </w14:textFill>
        </w:rPr>
        <w:t>万元，较202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default" w:ascii="Times New Roman" w:hAnsi="Times New Roman" w:eastAsia="仿宋_GB2312" w:cs="Times New Roman"/>
          <w:color w:val="000000" w:themeColor="text1"/>
          <w:sz w:val="32"/>
          <w:szCs w:val="32"/>
          <w14:textFill>
            <w14:solidFill>
              <w14:schemeClr w14:val="tx1"/>
            </w14:solidFill>
          </w14:textFill>
        </w:rPr>
        <w:t>年预算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减少5.85</w:t>
      </w:r>
      <w:r>
        <w:rPr>
          <w:rFonts w:hint="default" w:ascii="Times New Roman" w:hAnsi="Times New Roman" w:eastAsia="仿宋_GB2312" w:cs="Times New Roman"/>
          <w:color w:val="000000" w:themeColor="text1"/>
          <w:sz w:val="32"/>
          <w:szCs w:val="32"/>
          <w14:textFill>
            <w14:solidFill>
              <w14:schemeClr w14:val="tx1"/>
            </w14:solidFill>
          </w14:textFill>
        </w:rPr>
        <w:t>万元，</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增加</w:t>
      </w:r>
      <w:r>
        <w:rPr>
          <w:rFonts w:hint="default" w:ascii="Times New Roman" w:hAnsi="Times New Roman" w:eastAsia="仿宋_GB2312" w:cs="Times New Roman"/>
          <w:color w:val="000000" w:themeColor="text1"/>
          <w:sz w:val="32"/>
          <w:szCs w:val="32"/>
          <w14:textFill>
            <w14:solidFill>
              <w14:schemeClr w14:val="tx1"/>
            </w14:solidFill>
          </w14:textFill>
        </w:rPr>
        <w:t>的主要原因是</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运行经费</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减少</w:t>
      </w:r>
      <w:r>
        <w:rPr>
          <w:rFonts w:hint="default" w:ascii="Times New Roman" w:hAnsi="Times New Roman" w:eastAsia="仿宋_GB2312" w:cs="Times New Roman"/>
          <w:color w:val="000000" w:themeColor="text1"/>
          <w:sz w:val="32"/>
          <w:szCs w:val="32"/>
          <w14:textFill>
            <w14:solidFill>
              <w14:schemeClr w14:val="tx1"/>
            </w14:solidFill>
          </w14:textFill>
        </w:rPr>
        <w:t>。</w:t>
      </w:r>
    </w:p>
    <w:p w14:paraId="47A06196">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textAlignment w:val="auto"/>
        <w:rPr>
          <w:rFonts w:hint="default" w:ascii="Times New Roman" w:hAnsi="Times New Roman" w:eastAsia="黑体" w:cs="Times New Roman"/>
          <w:color w:val="000000" w:themeColor="text1"/>
          <w:kern w:val="0"/>
          <w:sz w:val="32"/>
          <w:szCs w:val="32"/>
          <w14:textFill>
            <w14:solidFill>
              <w14:schemeClr w14:val="tx1"/>
            </w14:solidFill>
          </w14:textFill>
        </w:rPr>
      </w:pPr>
      <w:r>
        <w:rPr>
          <w:rFonts w:hint="default" w:ascii="Times New Roman" w:hAnsi="Times New Roman" w:eastAsia="黑体" w:cs="Times New Roman"/>
          <w:color w:val="000000" w:themeColor="text1"/>
          <w:kern w:val="0"/>
          <w:sz w:val="32"/>
          <w:szCs w:val="32"/>
          <w14:textFill>
            <w14:solidFill>
              <w14:schemeClr w14:val="tx1"/>
            </w14:solidFill>
          </w14:textFill>
        </w:rPr>
        <w:t>七、政府采购安排情况</w:t>
      </w:r>
    </w:p>
    <w:p w14:paraId="0B9C8E9D">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单位</w:t>
      </w:r>
      <w:r>
        <w:rPr>
          <w:rFonts w:hint="default" w:ascii="Times New Roman" w:hAnsi="Times New Roman" w:eastAsia="仿宋_GB2312" w:cs="Times New Roman"/>
          <w:color w:val="000000" w:themeColor="text1"/>
          <w:sz w:val="32"/>
          <w:szCs w:val="32"/>
          <w14:textFill>
            <w14:solidFill>
              <w14:schemeClr w14:val="tx1"/>
            </w14:solidFill>
          </w14:textFill>
        </w:rPr>
        <w:t>政府采购预算总额</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万元，其中：政府采购货物预算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万元，政府采购工程预算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万元，政府采购服务预算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万元。</w:t>
      </w:r>
    </w:p>
    <w:p w14:paraId="69B4E80C">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textAlignment w:val="auto"/>
        <w:rPr>
          <w:rFonts w:hint="default" w:ascii="Times New Roman" w:hAnsi="Times New Roman" w:eastAsia="黑体" w:cs="Times New Roman"/>
          <w:color w:val="000000" w:themeColor="text1"/>
          <w:kern w:val="0"/>
          <w:sz w:val="32"/>
          <w:szCs w:val="32"/>
          <w14:textFill>
            <w14:solidFill>
              <w14:schemeClr w14:val="tx1"/>
            </w14:solidFill>
          </w14:textFill>
        </w:rPr>
      </w:pPr>
      <w:r>
        <w:rPr>
          <w:rFonts w:hint="default" w:ascii="Times New Roman" w:hAnsi="Times New Roman" w:eastAsia="黑体" w:cs="Times New Roman"/>
          <w:color w:val="000000" w:themeColor="text1"/>
          <w:kern w:val="0"/>
          <w:sz w:val="32"/>
          <w:szCs w:val="32"/>
          <w14:textFill>
            <w14:solidFill>
              <w14:schemeClr w14:val="tx1"/>
            </w14:solidFill>
          </w14:textFill>
        </w:rPr>
        <w:t>八、国有资产占用情况</w:t>
      </w:r>
    </w:p>
    <w:p w14:paraId="474EE01B">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上年末固定资产金额为</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607.56</w:t>
      </w:r>
      <w:r>
        <w:rPr>
          <w:rFonts w:hint="default" w:ascii="Times New Roman" w:hAnsi="Times New Roman" w:eastAsia="仿宋_GB2312" w:cs="Times New Roman"/>
          <w:color w:val="000000" w:themeColor="text1"/>
          <w:sz w:val="32"/>
          <w:szCs w:val="32"/>
          <w14:textFill>
            <w14:solidFill>
              <w14:schemeClr w14:val="tx1"/>
            </w14:solidFill>
          </w14:textFill>
        </w:rPr>
        <w:t>万元。其中：办公用房</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928.08</w:t>
      </w:r>
      <w:r>
        <w:rPr>
          <w:rFonts w:hint="default" w:ascii="Times New Roman" w:hAnsi="Times New Roman" w:eastAsia="仿宋_GB2312" w:cs="Times New Roman"/>
          <w:color w:val="000000" w:themeColor="text1"/>
          <w:sz w:val="32"/>
          <w:szCs w:val="32"/>
          <w14:textFill>
            <w14:solidFill>
              <w14:schemeClr w14:val="tx1"/>
            </w14:solidFill>
          </w14:textFill>
        </w:rPr>
        <w:t>平方米</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预算部门（单位）共有公务用车</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 xml:space="preserve"> 辆，价值</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万元。单价20万元以上的设备价值</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万元。202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default" w:ascii="Times New Roman" w:hAnsi="Times New Roman" w:eastAsia="仿宋_GB2312" w:cs="Times New Roman"/>
          <w:color w:val="000000" w:themeColor="text1"/>
          <w:sz w:val="32"/>
          <w:szCs w:val="32"/>
          <w14:textFill>
            <w14:solidFill>
              <w14:schemeClr w14:val="tx1"/>
            </w14:solidFill>
          </w14:textFill>
        </w:rPr>
        <w:t xml:space="preserve">年拟采购固定资产约 </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万元。</w:t>
      </w:r>
    </w:p>
    <w:p w14:paraId="4F55205B">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textAlignment w:val="auto"/>
        <w:rPr>
          <w:rFonts w:hint="default" w:ascii="Times New Roman" w:hAnsi="Times New Roman" w:eastAsia="黑体" w:cs="Times New Roman"/>
          <w:color w:val="000000" w:themeColor="text1"/>
          <w:kern w:val="0"/>
          <w:sz w:val="32"/>
          <w:szCs w:val="32"/>
          <w14:textFill>
            <w14:solidFill>
              <w14:schemeClr w14:val="tx1"/>
            </w14:solidFill>
          </w14:textFill>
        </w:rPr>
      </w:pPr>
      <w:r>
        <w:rPr>
          <w:rFonts w:hint="default" w:ascii="Times New Roman" w:hAnsi="Times New Roman" w:eastAsia="黑体" w:cs="Times New Roman"/>
          <w:color w:val="000000" w:themeColor="text1"/>
          <w:kern w:val="0"/>
          <w:sz w:val="32"/>
          <w:szCs w:val="32"/>
          <w14:textFill>
            <w14:solidFill>
              <w14:schemeClr w14:val="tx1"/>
            </w14:solidFill>
          </w14:textFill>
        </w:rPr>
        <w:t>九、其他重要事项情况说明</w:t>
      </w:r>
    </w:p>
    <w:p w14:paraId="18B8F5CD">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楷体_GB2312" w:cs="Times New Roman"/>
          <w:b/>
          <w:bCs/>
          <w:color w:val="000000" w:themeColor="text1"/>
          <w:kern w:val="0"/>
          <w:sz w:val="32"/>
          <w:szCs w:val="32"/>
          <w14:textFill>
            <w14:solidFill>
              <w14:schemeClr w14:val="tx1"/>
            </w14:solidFill>
          </w14:textFill>
        </w:rPr>
      </w:pPr>
      <w:r>
        <w:rPr>
          <w:rFonts w:hint="default" w:ascii="Times New Roman" w:hAnsi="Times New Roman" w:eastAsia="楷体_GB2312" w:cs="Times New Roman"/>
          <w:b/>
          <w:bCs/>
          <w:color w:val="000000" w:themeColor="text1"/>
          <w:kern w:val="0"/>
          <w:sz w:val="32"/>
          <w:szCs w:val="32"/>
          <w14:textFill>
            <w14:solidFill>
              <w14:schemeClr w14:val="tx1"/>
            </w14:solidFill>
          </w14:textFill>
        </w:rPr>
        <w:t>（一）政府性基金预算支出情况</w:t>
      </w:r>
    </w:p>
    <w:p w14:paraId="71C0DAFF">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我单位</w:t>
      </w:r>
      <w:r>
        <w:rPr>
          <w:rFonts w:hint="default" w:ascii="Times New Roman" w:hAnsi="Times New Roman" w:eastAsia="仿宋_GB2312" w:cs="Times New Roman"/>
          <w:color w:val="000000" w:themeColor="text1"/>
          <w:sz w:val="32"/>
          <w:szCs w:val="32"/>
          <w14:textFill>
            <w14:solidFill>
              <w14:schemeClr w14:val="tx1"/>
            </w14:solidFill>
          </w14:textFill>
        </w:rPr>
        <w:t>政府性基金预算拨款支出未安排预算，政府性基金预算支出情况表为空表</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14:paraId="2EC4E551">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楷体_GB2312" w:cs="Times New Roman"/>
          <w:b/>
          <w:bCs/>
          <w:color w:val="000000" w:themeColor="text1"/>
          <w:kern w:val="0"/>
          <w:sz w:val="32"/>
          <w:szCs w:val="32"/>
          <w14:textFill>
            <w14:solidFill>
              <w14:schemeClr w14:val="tx1"/>
            </w14:solidFill>
          </w14:textFill>
        </w:rPr>
      </w:pPr>
      <w:r>
        <w:rPr>
          <w:rFonts w:hint="default" w:ascii="Times New Roman" w:hAnsi="Times New Roman" w:eastAsia="楷体_GB2312" w:cs="Times New Roman"/>
          <w:b/>
          <w:bCs/>
          <w:color w:val="000000" w:themeColor="text1"/>
          <w:kern w:val="0"/>
          <w:sz w:val="32"/>
          <w:szCs w:val="32"/>
          <w14:textFill>
            <w14:solidFill>
              <w14:schemeClr w14:val="tx1"/>
            </w14:solidFill>
          </w14:textFill>
        </w:rPr>
        <w:t>（二）非税收入情况</w:t>
      </w:r>
    </w:p>
    <w:p w14:paraId="2009291C">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我</w:t>
      </w:r>
      <w:r>
        <w:rPr>
          <w:rFonts w:hint="default" w:ascii="Times New Roman" w:hAnsi="Times New Roman" w:eastAsia="仿宋_GB2312" w:cs="Times New Roman"/>
          <w:color w:val="000000" w:themeColor="text1"/>
          <w:sz w:val="32"/>
          <w:szCs w:val="32"/>
          <w14:textFill>
            <w14:solidFill>
              <w14:schemeClr w14:val="tx1"/>
            </w14:solidFill>
          </w14:textFill>
        </w:rPr>
        <w:t>单位202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年无非税收入。</w:t>
      </w:r>
    </w:p>
    <w:p w14:paraId="3EE3BBD8">
      <w:pPr>
        <w:keepNext w:val="0"/>
        <w:keepLines w:val="0"/>
        <w:pageBreakBefore w:val="0"/>
        <w:widowControl w:val="0"/>
        <w:numPr>
          <w:ilvl w:val="0"/>
          <w:numId w:val="1"/>
        </w:numPr>
        <w:kinsoku/>
        <w:wordWrap/>
        <w:overflowPunct/>
        <w:topLinePunct w:val="0"/>
        <w:autoSpaceDE/>
        <w:autoSpaceDN/>
        <w:bidi w:val="0"/>
        <w:adjustRightInd w:val="0"/>
        <w:snapToGrid w:val="0"/>
        <w:spacing w:line="640" w:lineRule="exact"/>
        <w:ind w:left="0" w:leftChars="0" w:firstLine="643" w:firstLineChars="200"/>
        <w:contextualSpacing/>
        <w:textAlignment w:val="auto"/>
        <w:rPr>
          <w:rFonts w:hint="default" w:ascii="Times New Roman" w:hAnsi="Times New Roman" w:eastAsia="楷体_GB2312" w:cs="Times New Roman"/>
          <w:b/>
          <w:bCs/>
          <w:color w:val="000000" w:themeColor="text1"/>
          <w:kern w:val="0"/>
          <w:sz w:val="32"/>
          <w:szCs w:val="32"/>
          <w14:textFill>
            <w14:solidFill>
              <w14:schemeClr w14:val="tx1"/>
            </w14:solidFill>
          </w14:textFill>
        </w:rPr>
      </w:pPr>
      <w:r>
        <w:rPr>
          <w:rFonts w:hint="default" w:ascii="Times New Roman" w:hAnsi="Times New Roman" w:eastAsia="楷体_GB2312" w:cs="Times New Roman"/>
          <w:b/>
          <w:bCs/>
          <w:color w:val="000000" w:themeColor="text1"/>
          <w:kern w:val="0"/>
          <w:sz w:val="32"/>
          <w:szCs w:val="32"/>
          <w14:textFill>
            <w14:solidFill>
              <w14:schemeClr w14:val="tx1"/>
            </w14:solidFill>
          </w14:textFill>
        </w:rPr>
        <w:t>重点项目情况</w:t>
      </w:r>
    </w:p>
    <w:p w14:paraId="085C589B">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楷体_GB2312" w:cs="Times New Roman"/>
          <w:b/>
          <w:bCs/>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我</w:t>
      </w:r>
      <w:r>
        <w:rPr>
          <w:rFonts w:hint="default" w:ascii="Times New Roman" w:hAnsi="Times New Roman" w:eastAsia="仿宋_GB2312" w:cs="Times New Roman"/>
          <w:color w:val="000000" w:themeColor="text1"/>
          <w:sz w:val="32"/>
          <w:szCs w:val="32"/>
          <w14:textFill>
            <w14:solidFill>
              <w14:schemeClr w14:val="tx1"/>
            </w14:solidFill>
          </w14:textFill>
        </w:rPr>
        <w:t>单位202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年无</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项目</w:t>
      </w:r>
      <w:r>
        <w:rPr>
          <w:rFonts w:hint="default" w:ascii="Times New Roman" w:hAnsi="Times New Roman" w:eastAsia="仿宋_GB2312" w:cs="Times New Roman"/>
          <w:color w:val="000000" w:themeColor="text1"/>
          <w:sz w:val="32"/>
          <w:szCs w:val="32"/>
          <w14:textFill>
            <w14:solidFill>
              <w14:schemeClr w14:val="tx1"/>
            </w14:solidFill>
          </w14:textFill>
        </w:rPr>
        <w:t>。</w:t>
      </w:r>
    </w:p>
    <w:p w14:paraId="2B765B2B">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楷体_GB2312" w:cs="Times New Roman"/>
          <w:b/>
          <w:bCs/>
          <w:color w:val="000000" w:themeColor="text1"/>
          <w:kern w:val="0"/>
          <w:sz w:val="32"/>
          <w:szCs w:val="32"/>
          <w14:textFill>
            <w14:solidFill>
              <w14:schemeClr w14:val="tx1"/>
            </w14:solidFill>
          </w14:textFill>
        </w:rPr>
      </w:pPr>
      <w:r>
        <w:rPr>
          <w:rFonts w:hint="default" w:ascii="Times New Roman" w:hAnsi="Times New Roman" w:eastAsia="楷体_GB2312" w:cs="Times New Roman"/>
          <w:b/>
          <w:bCs/>
          <w:color w:val="000000" w:themeColor="text1"/>
          <w:kern w:val="0"/>
          <w:sz w:val="32"/>
          <w:szCs w:val="32"/>
          <w14:textFill>
            <w14:solidFill>
              <w14:schemeClr w14:val="tx1"/>
            </w14:solidFill>
          </w14:textFill>
        </w:rPr>
        <w:t>（四）部门管理转移支付情况</w:t>
      </w:r>
    </w:p>
    <w:p w14:paraId="121599C9">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我单位</w:t>
      </w:r>
      <w:r>
        <w:rPr>
          <w:rFonts w:hint="default" w:ascii="Times New Roman" w:hAnsi="Times New Roman" w:eastAsia="仿宋_GB2312" w:cs="Times New Roman"/>
          <w:color w:val="000000" w:themeColor="text1"/>
          <w:sz w:val="32"/>
          <w:szCs w:val="32"/>
          <w14:textFill>
            <w14:solidFill>
              <w14:schemeClr w14:val="tx1"/>
            </w14:solidFill>
          </w14:textFill>
        </w:rPr>
        <w:t>未安排预算，单位管理转移支付表为空表。</w:t>
      </w:r>
    </w:p>
    <w:p w14:paraId="450FB6F7">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楷体_GB2312" w:cs="Times New Roman"/>
          <w:b/>
          <w:bCs/>
          <w:color w:val="000000" w:themeColor="text1"/>
          <w:kern w:val="0"/>
          <w:sz w:val="32"/>
          <w:szCs w:val="32"/>
          <w14:textFill>
            <w14:solidFill>
              <w14:schemeClr w14:val="tx1"/>
            </w14:solidFill>
          </w14:textFill>
        </w:rPr>
      </w:pPr>
      <w:r>
        <w:rPr>
          <w:rFonts w:hint="default" w:ascii="Times New Roman" w:hAnsi="Times New Roman" w:eastAsia="楷体_GB2312" w:cs="Times New Roman"/>
          <w:b/>
          <w:bCs/>
          <w:color w:val="000000" w:themeColor="text1"/>
          <w:kern w:val="0"/>
          <w:sz w:val="32"/>
          <w:szCs w:val="32"/>
          <w14:textFill>
            <w14:solidFill>
              <w14:schemeClr w14:val="tx1"/>
            </w14:solidFill>
          </w14:textFill>
        </w:rPr>
        <w:t>（五）国有资本经营预算支出情况</w:t>
      </w:r>
    </w:p>
    <w:p w14:paraId="4D1E1FFF">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eastAsia="zh-CN"/>
        </w:rPr>
        <w:t>我单位</w:t>
      </w:r>
      <w:r>
        <w:rPr>
          <w:rFonts w:hint="default" w:ascii="Times New Roman" w:hAnsi="Times New Roman" w:eastAsia="仿宋_GB2312" w:cs="Times New Roman"/>
          <w:sz w:val="32"/>
          <w:szCs w:val="32"/>
        </w:rPr>
        <w:t>未安排预算，国有资本经营预算支出情况表为空表。</w:t>
      </w:r>
    </w:p>
    <w:p w14:paraId="7928AB37">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textAlignment w:val="auto"/>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rPr>
        <w:t>十、预算绩效管理情况</w:t>
      </w:r>
    </w:p>
    <w:p w14:paraId="1074C94A">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楷体_GB2312" w:cs="Times New Roman"/>
          <w:b/>
          <w:bCs/>
          <w:kern w:val="0"/>
          <w:sz w:val="32"/>
          <w:szCs w:val="32"/>
        </w:rPr>
      </w:pPr>
      <w:r>
        <w:rPr>
          <w:rFonts w:hint="default" w:ascii="Times New Roman" w:hAnsi="Times New Roman" w:eastAsia="楷体_GB2312" w:cs="Times New Roman"/>
          <w:b/>
          <w:bCs/>
          <w:kern w:val="0"/>
          <w:sz w:val="32"/>
          <w:szCs w:val="32"/>
        </w:rPr>
        <w:t>（一）202</w:t>
      </w:r>
      <w:r>
        <w:rPr>
          <w:rFonts w:hint="eastAsia" w:ascii="Times New Roman" w:hAnsi="Times New Roman" w:eastAsia="楷体_GB2312" w:cs="Times New Roman"/>
          <w:b/>
          <w:bCs/>
          <w:kern w:val="0"/>
          <w:sz w:val="32"/>
          <w:szCs w:val="32"/>
          <w:lang w:val="en-US" w:eastAsia="zh-CN"/>
        </w:rPr>
        <w:t>5</w:t>
      </w:r>
      <w:r>
        <w:rPr>
          <w:rFonts w:hint="default" w:ascii="Times New Roman" w:hAnsi="Times New Roman" w:eastAsia="楷体_GB2312" w:cs="Times New Roman"/>
          <w:b/>
          <w:bCs/>
          <w:kern w:val="0"/>
          <w:sz w:val="32"/>
          <w:szCs w:val="32"/>
        </w:rPr>
        <w:t>年预算绩效管理工作情况。</w:t>
      </w:r>
    </w:p>
    <w:p w14:paraId="6CF8439B">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按照《中共中央国务院关于全面实施预算绩效管理的意见》《中共甘肃省委 甘肃省人民政府关于全面实施预算绩效管理的实施意见》等相关要求，我们将绩效理念和方法融入预算编制、执行、决算和监督全过程认真开展各项工作。</w:t>
      </w:r>
    </w:p>
    <w:p w14:paraId="2B8FDAD3">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1.绩效目标管理情况。</w:t>
      </w: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年度，按照“谁申请资金，谁设置目标”的原则，纳入部门预算管理</w:t>
      </w:r>
      <w:r>
        <w:rPr>
          <w:rFonts w:hint="default" w:ascii="Times New Roman" w:hAnsi="Times New Roman" w:eastAsia="仿宋_GB2312" w:cs="Times New Roman"/>
          <w:color w:val="000000"/>
          <w:sz w:val="32"/>
          <w:szCs w:val="32"/>
        </w:rPr>
        <w:t>单位</w:t>
      </w:r>
      <w:r>
        <w:rPr>
          <w:rFonts w:hint="default" w:ascii="Times New Roman" w:hAnsi="Times New Roman" w:eastAsia="仿宋_GB2312" w:cs="Times New Roman"/>
          <w:sz w:val="32"/>
          <w:szCs w:val="32"/>
        </w:rPr>
        <w:t>整体支出和项目绩效目标</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个，按规定随年度预算一并公开项目</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个，公开率为</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 xml:space="preserve"> %。</w:t>
      </w:r>
    </w:p>
    <w:p w14:paraId="79E3BFF5">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2.绩效运行监控情况。</w:t>
      </w: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年7月，组织开展1-6月绩效运行监控项目</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个，占本</w:t>
      </w:r>
      <w:r>
        <w:rPr>
          <w:rFonts w:hint="default" w:ascii="Times New Roman" w:hAnsi="Times New Roman" w:eastAsia="仿宋_GB2312" w:cs="Times New Roman"/>
          <w:color w:val="000000"/>
          <w:sz w:val="32"/>
          <w:szCs w:val="32"/>
        </w:rPr>
        <w:t>单位</w:t>
      </w:r>
      <w:r>
        <w:rPr>
          <w:rFonts w:hint="default" w:ascii="Times New Roman" w:hAnsi="Times New Roman" w:eastAsia="仿宋_GB2312" w:cs="Times New Roman"/>
          <w:sz w:val="32"/>
          <w:szCs w:val="32"/>
        </w:rPr>
        <w:t>项目的</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 xml:space="preserve"> %。截至7月底，如期完成预算执行和绩效目标指标值的项目</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个，完成率为</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%。“双监控”发现存在的问题和主要原因是：</w:t>
      </w:r>
      <w:r>
        <w:rPr>
          <w:rFonts w:hint="default" w:ascii="Times New Roman" w:hAnsi="Times New Roman" w:eastAsia="仿宋_GB2312" w:cs="Times New Roman"/>
          <w:sz w:val="32"/>
          <w:szCs w:val="32"/>
          <w:lang w:eastAsia="zh-CN"/>
        </w:rPr>
        <w:t>资金未兑付</w:t>
      </w:r>
      <w:r>
        <w:rPr>
          <w:rFonts w:hint="default" w:ascii="Times New Roman" w:hAnsi="Times New Roman" w:eastAsia="仿宋_GB2312" w:cs="Times New Roman"/>
          <w:sz w:val="32"/>
          <w:szCs w:val="32"/>
        </w:rPr>
        <w:t>。开展1-9月绩效运行监控项目</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个，占本部门（单位）项目的</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%。截至10月底，如期完成预算执行和绩效目标指标值的项目</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个，完成率为</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%。“双监控”发现存在的问题和主要原因是：</w:t>
      </w:r>
      <w:r>
        <w:rPr>
          <w:rFonts w:hint="default" w:ascii="Times New Roman" w:hAnsi="Times New Roman" w:eastAsia="仿宋_GB2312" w:cs="Times New Roman"/>
          <w:sz w:val="32"/>
          <w:szCs w:val="32"/>
          <w:lang w:eastAsia="zh-CN"/>
        </w:rPr>
        <w:t>资金未及时兑付</w:t>
      </w:r>
      <w:r>
        <w:rPr>
          <w:rFonts w:hint="default" w:ascii="Times New Roman" w:hAnsi="Times New Roman" w:eastAsia="仿宋_GB2312" w:cs="Times New Roman"/>
          <w:sz w:val="32"/>
          <w:szCs w:val="32"/>
        </w:rPr>
        <w:t>。绩效运行监控在部门内部通报整改情况：</w:t>
      </w:r>
      <w:r>
        <w:rPr>
          <w:rFonts w:hint="default" w:ascii="Times New Roman" w:hAnsi="Times New Roman" w:eastAsia="仿宋_GB2312" w:cs="Times New Roman"/>
          <w:sz w:val="32"/>
          <w:szCs w:val="32"/>
          <w:lang w:eastAsia="zh-CN"/>
        </w:rPr>
        <w:t>及时协商财政兑付资金</w:t>
      </w:r>
      <w:r>
        <w:rPr>
          <w:rFonts w:hint="default" w:ascii="Times New Roman" w:hAnsi="Times New Roman" w:eastAsia="仿宋_GB2312" w:cs="Times New Roman"/>
          <w:sz w:val="32"/>
          <w:szCs w:val="32"/>
        </w:rPr>
        <w:t>。</w:t>
      </w:r>
    </w:p>
    <w:p w14:paraId="53498E9E">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3.绩效自评开展情况。</w:t>
      </w:r>
      <w:r>
        <w:rPr>
          <w:rFonts w:hint="default" w:ascii="Times New Roman" w:hAnsi="Times New Roman" w:eastAsia="仿宋_GB2312" w:cs="Times New Roman"/>
          <w:sz w:val="32"/>
          <w:szCs w:val="32"/>
        </w:rPr>
        <w:t>20</w:t>
      </w:r>
      <w:r>
        <w:rPr>
          <w:rFonts w:hint="default"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年度，组织开展绩效自评项目共</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 xml:space="preserve"> 个，其中，部门（单位）整体支出</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个，项目支出</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个，转移支付项目</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 xml:space="preserve">个，绩效自评覆盖率为 </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 xml:space="preserve"> %。绩效自评结果随部门决算报送财政和随决算公开情况：</w:t>
      </w:r>
      <w:r>
        <w:rPr>
          <w:rFonts w:hint="default" w:ascii="Times New Roman" w:hAnsi="Times New Roman" w:eastAsia="仿宋_GB2312" w:cs="Times New Roman"/>
          <w:sz w:val="32"/>
          <w:szCs w:val="32"/>
          <w:lang w:eastAsia="zh-CN"/>
        </w:rPr>
        <w:t>及时公开</w:t>
      </w:r>
      <w:r>
        <w:rPr>
          <w:rFonts w:hint="default" w:ascii="Times New Roman" w:hAnsi="Times New Roman" w:eastAsia="仿宋_GB2312" w:cs="Times New Roman"/>
          <w:sz w:val="32"/>
          <w:szCs w:val="32"/>
        </w:rPr>
        <w:t>。</w:t>
      </w:r>
    </w:p>
    <w:p w14:paraId="6B6C4EFD">
      <w:pPr>
        <w:widowControl/>
        <w:adjustRightInd w:val="0"/>
        <w:snapToGrid w:val="0"/>
        <w:spacing w:line="640" w:lineRule="exact"/>
        <w:ind w:firstLine="643" w:firstLineChars="200"/>
        <w:contextualSpacing/>
        <w:jc w:val="left"/>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4.绩效结果应用情况。</w:t>
      </w:r>
      <w:r>
        <w:rPr>
          <w:rFonts w:hint="default" w:ascii="Times New Roman" w:hAnsi="Times New Roman" w:eastAsia="仿宋_GB2312" w:cs="Times New Roman"/>
          <w:sz w:val="32"/>
          <w:szCs w:val="32"/>
        </w:rPr>
        <w:t>根据</w:t>
      </w:r>
      <w:r>
        <w:rPr>
          <w:rFonts w:hint="default" w:ascii="Times New Roman" w:hAnsi="Times New Roman" w:eastAsia="仿宋_GB2312" w:cs="Times New Roman"/>
          <w:sz w:val="32"/>
          <w:szCs w:val="32"/>
          <w:lang w:eastAsia="zh-CN"/>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度绩效运行监控、绩效自评等情况，我单位认真贯彻中央和省、市、区有关文件精神，积极推进预算绩效管理工作，建立健全财务管理制度，严格按照绩效目标的各项指标执行，做到会计核算符合相关规定、资金专款专用、资金支付依据和开支标准合法合规，提高财政资金使用效益和科学精细化管理水平，完成绩效目标。</w:t>
      </w:r>
    </w:p>
    <w:p w14:paraId="3FC32FFF">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楷体_GB2312" w:cs="Times New Roman"/>
          <w:b/>
          <w:bCs/>
          <w:kern w:val="0"/>
          <w:sz w:val="32"/>
          <w:szCs w:val="32"/>
        </w:rPr>
      </w:pPr>
      <w:r>
        <w:rPr>
          <w:rFonts w:hint="default" w:ascii="Times New Roman" w:hAnsi="Times New Roman" w:eastAsia="楷体_GB2312" w:cs="Times New Roman"/>
          <w:b/>
          <w:bCs/>
          <w:kern w:val="0"/>
          <w:sz w:val="32"/>
          <w:szCs w:val="32"/>
        </w:rPr>
        <w:t>（二）202</w:t>
      </w:r>
      <w:r>
        <w:rPr>
          <w:rFonts w:hint="default" w:ascii="Times New Roman" w:hAnsi="Times New Roman" w:eastAsia="楷体_GB2312" w:cs="Times New Roman"/>
          <w:b/>
          <w:bCs/>
          <w:kern w:val="0"/>
          <w:sz w:val="32"/>
          <w:szCs w:val="32"/>
          <w:lang w:val="en-US" w:eastAsia="zh-CN"/>
        </w:rPr>
        <w:t>6</w:t>
      </w:r>
      <w:r>
        <w:rPr>
          <w:rFonts w:hint="default" w:ascii="Times New Roman" w:hAnsi="Times New Roman" w:eastAsia="楷体_GB2312" w:cs="Times New Roman"/>
          <w:b/>
          <w:bCs/>
          <w:kern w:val="0"/>
          <w:sz w:val="32"/>
          <w:szCs w:val="32"/>
        </w:rPr>
        <w:t>年绩效目标编制情况</w:t>
      </w:r>
    </w:p>
    <w:p w14:paraId="3C8D81B3">
      <w:pPr>
        <w:widowControl/>
        <w:adjustRightInd w:val="0"/>
        <w:snapToGrid w:val="0"/>
        <w:spacing w:line="640" w:lineRule="exact"/>
        <w:ind w:firstLine="640" w:firstLineChars="200"/>
        <w:contextualSpacing/>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年，纳入单位预算绩效目标管理的项目</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个。其中，部门整体支出绩效目标围绕部门管理、履职效果、能力建设三个维度，，设置二级指标</w:t>
      </w:r>
      <w:r>
        <w:rPr>
          <w:rFonts w:hint="default" w:ascii="Times New Roman" w:hAnsi="Times New Roman" w:eastAsia="仿宋_GB2312" w:cs="Times New Roman"/>
          <w:sz w:val="32"/>
          <w:szCs w:val="32"/>
          <w:lang w:val="en-US" w:eastAsia="zh-CN"/>
        </w:rPr>
        <w:t>18</w:t>
      </w:r>
      <w:r>
        <w:rPr>
          <w:rFonts w:hint="default" w:ascii="Times New Roman" w:hAnsi="Times New Roman" w:eastAsia="仿宋_GB2312" w:cs="Times New Roman"/>
          <w:sz w:val="32"/>
          <w:szCs w:val="32"/>
        </w:rPr>
        <w:t>个、三级指标</w:t>
      </w:r>
      <w:r>
        <w:rPr>
          <w:rFonts w:hint="default" w:ascii="Times New Roman" w:hAnsi="Times New Roman" w:eastAsia="仿宋_GB2312" w:cs="Times New Roman"/>
          <w:sz w:val="32"/>
          <w:szCs w:val="32"/>
          <w:lang w:val="en-US" w:eastAsia="zh-CN"/>
        </w:rPr>
        <w:t>33</w:t>
      </w:r>
      <w:r>
        <w:rPr>
          <w:rFonts w:hint="default" w:ascii="Times New Roman" w:hAnsi="Times New Roman" w:eastAsia="仿宋_GB2312" w:cs="Times New Roman"/>
          <w:sz w:val="32"/>
          <w:szCs w:val="32"/>
        </w:rPr>
        <w:t>个；项目支出绩效目标围绕成本指标、产出指标、效益指标、满意度指标四个维度，设置二级指标</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个、三级指标</w:t>
      </w:r>
      <w:r>
        <w:rPr>
          <w:rFonts w:hint="default" w:ascii="Times New Roman" w:hAnsi="Times New Roman" w:eastAsia="仿宋_GB2312" w:cs="Times New Roman"/>
          <w:sz w:val="32"/>
          <w:szCs w:val="32"/>
          <w:lang w:val="en-US" w:eastAsia="zh-CN"/>
        </w:rPr>
        <w:t>17</w:t>
      </w:r>
      <w:r>
        <w:rPr>
          <w:rFonts w:hint="default" w:ascii="Times New Roman" w:hAnsi="Times New Roman" w:eastAsia="仿宋_GB2312" w:cs="Times New Roman"/>
          <w:sz w:val="32"/>
          <w:szCs w:val="32"/>
        </w:rPr>
        <w:t>个。各项绩效目标内容指向明确、细化量化、合理可行，符合规定的格式要求。</w:t>
      </w:r>
    </w:p>
    <w:p w14:paraId="69FA6783">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楷体_GB2312" w:cs="Times New Roman"/>
          <w:b/>
          <w:bCs/>
          <w:kern w:val="0"/>
          <w:sz w:val="32"/>
          <w:szCs w:val="32"/>
        </w:rPr>
      </w:pPr>
      <w:r>
        <w:rPr>
          <w:rFonts w:hint="default" w:ascii="Times New Roman" w:hAnsi="Times New Roman" w:eastAsia="楷体_GB2312" w:cs="Times New Roman"/>
          <w:b/>
          <w:bCs/>
          <w:kern w:val="0"/>
          <w:sz w:val="32"/>
          <w:szCs w:val="32"/>
        </w:rPr>
        <w:t>十一、名词解释</w:t>
      </w:r>
    </w:p>
    <w:p w14:paraId="6DCC11E3">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1、财政拨款:</w:t>
      </w:r>
      <w:r>
        <w:rPr>
          <w:rFonts w:hint="default" w:ascii="Times New Roman" w:hAnsi="Times New Roman" w:eastAsia="仿宋_GB2312" w:cs="Times New Roman"/>
          <w:color w:val="000000"/>
          <w:sz w:val="32"/>
          <w:szCs w:val="32"/>
        </w:rPr>
        <w:t>指由一般公共预算、政府性基金预算、国有资本经营预算安排的财政拨款数。</w:t>
      </w:r>
    </w:p>
    <w:p w14:paraId="57D2DB8D">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2、一般公共预算:</w:t>
      </w:r>
      <w:r>
        <w:rPr>
          <w:rFonts w:hint="default" w:ascii="Times New Roman" w:hAnsi="Times New Roman" w:eastAsia="仿宋_GB2312" w:cs="Times New Roman"/>
          <w:color w:val="000000"/>
          <w:sz w:val="32"/>
          <w:szCs w:val="32"/>
        </w:rPr>
        <w:t>包括公共财政拨款（补助）资金、专项收入。</w:t>
      </w:r>
    </w:p>
    <w:p w14:paraId="4377F2F0">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3、财政专户管理资金:</w:t>
      </w:r>
      <w:r>
        <w:rPr>
          <w:rFonts w:hint="default" w:ascii="Times New Roman" w:hAnsi="Times New Roman" w:eastAsia="仿宋_GB2312" w:cs="Times New Roman"/>
          <w:color w:val="000000"/>
          <w:sz w:val="32"/>
          <w:szCs w:val="32"/>
        </w:rPr>
        <w:t>包括专户管理行政事业性收费（主要是教育收费）、其他非税收入。</w:t>
      </w:r>
    </w:p>
    <w:p w14:paraId="5B4FB2BA">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4、其他资金:</w:t>
      </w:r>
      <w:r>
        <w:rPr>
          <w:rFonts w:hint="default" w:ascii="Times New Roman" w:hAnsi="Times New Roman" w:eastAsia="仿宋_GB2312" w:cs="Times New Roman"/>
          <w:color w:val="000000"/>
          <w:sz w:val="32"/>
          <w:szCs w:val="32"/>
        </w:rPr>
        <w:t>包括事业收入、事业经营收入、其他收入等。</w:t>
      </w:r>
    </w:p>
    <w:p w14:paraId="16D578B9">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5、基本支出:</w:t>
      </w:r>
      <w:r>
        <w:rPr>
          <w:rFonts w:hint="default" w:ascii="Times New Roman" w:hAnsi="Times New Roman" w:eastAsia="仿宋_GB2312" w:cs="Times New Roman"/>
          <w:color w:val="000000"/>
          <w:sz w:val="32"/>
          <w:szCs w:val="32"/>
        </w:rPr>
        <w:t>包括人员经费、公用经费（定额）。其中，人员经费包括工资福利支出、对个人和家庭的补助。</w:t>
      </w:r>
    </w:p>
    <w:p w14:paraId="121353D9">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6、项目支出:</w:t>
      </w:r>
      <w:r>
        <w:rPr>
          <w:rFonts w:hint="default" w:ascii="Times New Roman" w:hAnsi="Times New Roman" w:eastAsia="仿宋_GB2312" w:cs="Times New Roman"/>
          <w:color w:val="000000"/>
          <w:sz w:val="32"/>
          <w:szCs w:val="32"/>
        </w:rPr>
        <w:t>部门（单位）支出预算的组成部分，是各部门（单位）为完成其特定的行政任务或事业发展目标，在基本支出预算之外编制的年度项目支出计划。</w:t>
      </w:r>
    </w:p>
    <w:p w14:paraId="2777D163">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7、“三公”经费:</w:t>
      </w:r>
      <w:r>
        <w:rPr>
          <w:rFonts w:hint="default" w:ascii="Times New Roman" w:hAnsi="Times New Roman" w:eastAsia="仿宋_GB2312" w:cs="Times New Roman"/>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6231EC6B">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8、机关运行经费:</w:t>
      </w:r>
      <w:r>
        <w:rPr>
          <w:rFonts w:hint="default" w:ascii="Times New Roman" w:hAnsi="Times New Roman" w:eastAsia="仿宋_GB2312" w:cs="Times New Roman"/>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4264B368">
      <w:pPr>
        <w:keepNext w:val="0"/>
        <w:keepLines w:val="0"/>
        <w:pageBreakBefore w:val="0"/>
        <w:widowControl w:val="0"/>
        <w:kinsoku/>
        <w:wordWrap/>
        <w:overflowPunct/>
        <w:topLinePunct w:val="0"/>
        <w:autoSpaceDE/>
        <w:autoSpaceDN/>
        <w:bidi w:val="0"/>
        <w:adjustRightInd w:val="0"/>
        <w:snapToGrid w:val="0"/>
        <w:spacing w:line="640" w:lineRule="exact"/>
        <w:contextualSpacing/>
        <w:jc w:val="right"/>
        <w:textAlignment w:val="auto"/>
        <w:rPr>
          <w:rFonts w:hint="default" w:ascii="Times New Roman" w:hAnsi="Times New Roman" w:eastAsia="仿宋_GB2312" w:cs="Times New Roman"/>
          <w:color w:val="000000"/>
          <w:sz w:val="32"/>
          <w:szCs w:val="32"/>
        </w:rPr>
      </w:pPr>
    </w:p>
    <w:p w14:paraId="201E4AF4">
      <w:pPr>
        <w:keepNext w:val="0"/>
        <w:keepLines w:val="0"/>
        <w:pageBreakBefore w:val="0"/>
        <w:widowControl w:val="0"/>
        <w:kinsoku/>
        <w:wordWrap/>
        <w:overflowPunct/>
        <w:topLinePunct w:val="0"/>
        <w:autoSpaceDE/>
        <w:autoSpaceDN/>
        <w:bidi w:val="0"/>
        <w:adjustRightInd w:val="0"/>
        <w:snapToGrid w:val="0"/>
        <w:spacing w:line="640" w:lineRule="exact"/>
        <w:contextualSpacing/>
        <w:jc w:val="right"/>
        <w:textAlignment w:val="auto"/>
        <w:rPr>
          <w:rFonts w:hint="default" w:ascii="Times New Roman" w:hAnsi="Times New Roman" w:eastAsia="仿宋_GB2312" w:cs="Times New Roman"/>
          <w:color w:val="000000"/>
          <w:sz w:val="32"/>
          <w:szCs w:val="32"/>
        </w:rPr>
      </w:pPr>
    </w:p>
    <w:p w14:paraId="6257691A">
      <w:pPr>
        <w:keepNext w:val="0"/>
        <w:keepLines w:val="0"/>
        <w:pageBreakBefore w:val="0"/>
        <w:widowControl w:val="0"/>
        <w:kinsoku/>
        <w:wordWrap/>
        <w:overflowPunct/>
        <w:topLinePunct w:val="0"/>
        <w:autoSpaceDE/>
        <w:autoSpaceDN/>
        <w:bidi w:val="0"/>
        <w:adjustRightInd w:val="0"/>
        <w:snapToGrid w:val="0"/>
        <w:spacing w:line="640" w:lineRule="exact"/>
        <w:ind w:right="1120"/>
        <w:contextualSpacing/>
        <w:jc w:val="right"/>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华池县农业农村局</w:t>
      </w:r>
    </w:p>
    <w:p w14:paraId="5D788263">
      <w:pPr>
        <w:keepNext w:val="0"/>
        <w:keepLines w:val="0"/>
        <w:pageBreakBefore w:val="0"/>
        <w:widowControl w:val="0"/>
        <w:kinsoku/>
        <w:wordWrap/>
        <w:overflowPunct/>
        <w:topLinePunct w:val="0"/>
        <w:autoSpaceDE/>
        <w:autoSpaceDN/>
        <w:bidi w:val="0"/>
        <w:adjustRightInd w:val="0"/>
        <w:snapToGrid w:val="0"/>
        <w:spacing w:line="640" w:lineRule="exact"/>
        <w:ind w:right="1120"/>
        <w:contextualSpacing/>
        <w:jc w:val="righ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lang w:val="en-US" w:eastAsia="zh-CN"/>
        </w:rPr>
        <w:t>202</w:t>
      </w:r>
      <w:r>
        <w:rPr>
          <w:rFonts w:hint="eastAsia" w:ascii="Times New Roman" w:hAnsi="Times New Roman" w:eastAsia="仿宋_GB2312" w:cs="Times New Roman"/>
          <w:color w:val="000000"/>
          <w:sz w:val="32"/>
          <w:szCs w:val="32"/>
          <w:lang w:val="en-US" w:eastAsia="zh-CN"/>
        </w:rPr>
        <w:t>6</w:t>
      </w:r>
      <w:r>
        <w:rPr>
          <w:rFonts w:hint="default" w:ascii="Times New Roman" w:hAnsi="Times New Roman" w:eastAsia="仿宋_GB2312" w:cs="Times New Roman"/>
          <w:color w:val="000000"/>
          <w:sz w:val="32"/>
          <w:szCs w:val="32"/>
        </w:rPr>
        <w:t xml:space="preserve">年 </w:t>
      </w:r>
      <w:r>
        <w:rPr>
          <w:rFonts w:hint="eastAsia"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 xml:space="preserve"> 月</w:t>
      </w:r>
      <w:r>
        <w:rPr>
          <w:rFonts w:hint="eastAsia" w:ascii="Times New Roman" w:hAnsi="Times New Roman" w:eastAsia="仿宋_GB2312" w:cs="Times New Roman"/>
          <w:color w:val="000000"/>
          <w:sz w:val="32"/>
          <w:szCs w:val="32"/>
          <w:lang w:val="en-US" w:eastAsia="zh-CN"/>
        </w:rPr>
        <w:t>16</w:t>
      </w:r>
      <w:r>
        <w:rPr>
          <w:rFonts w:hint="default" w:ascii="Times New Roman" w:hAnsi="Times New Roman" w:eastAsia="仿宋_GB2312" w:cs="Times New Roman"/>
          <w:color w:val="000000"/>
          <w:sz w:val="32"/>
          <w:szCs w:val="32"/>
        </w:rPr>
        <w:t xml:space="preserve"> 日</w:t>
      </w:r>
    </w:p>
    <w:p w14:paraId="671DFB3D">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textAlignment w:val="auto"/>
        <w:rPr>
          <w:rFonts w:hint="default" w:ascii="Times New Roman" w:hAnsi="Times New Roman" w:eastAsia="仿宋_GB2312" w:cs="Times New Roman"/>
          <w:kern w:val="0"/>
          <w:sz w:val="32"/>
          <w:szCs w:val="32"/>
        </w:rPr>
      </w:pPr>
    </w:p>
    <w:p w14:paraId="40023DE7">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textAlignment w:val="auto"/>
        <w:rPr>
          <w:rFonts w:hint="default" w:ascii="Times New Roman" w:hAnsi="Times New Roman" w:eastAsia="仿宋_GB2312" w:cs="Times New Roman"/>
          <w:spacing w:val="-20"/>
          <w:kern w:val="0"/>
          <w:sz w:val="32"/>
          <w:szCs w:val="32"/>
        </w:rPr>
      </w:pPr>
      <w:r>
        <w:rPr>
          <w:rFonts w:hint="default" w:ascii="Times New Roman" w:hAnsi="Times New Roman" w:eastAsia="仿宋_GB2312" w:cs="Times New Roman"/>
          <w:kern w:val="0"/>
          <w:sz w:val="32"/>
          <w:szCs w:val="32"/>
        </w:rPr>
        <w:t>附件：</w:t>
      </w:r>
      <w:r>
        <w:rPr>
          <w:rFonts w:hint="default" w:ascii="Times New Roman" w:hAnsi="Times New Roman" w:eastAsia="仿宋_GB2312" w:cs="Times New Roman"/>
          <w:spacing w:val="-20"/>
          <w:kern w:val="0"/>
          <w:sz w:val="32"/>
          <w:szCs w:val="32"/>
        </w:rPr>
        <w:t>1.</w:t>
      </w:r>
      <w:r>
        <w:rPr>
          <w:rFonts w:hint="default" w:ascii="Times New Roman" w:hAnsi="Times New Roman" w:eastAsia="仿宋_GB2312" w:cs="Times New Roman"/>
          <w:spacing w:val="-20"/>
          <w:kern w:val="0"/>
          <w:sz w:val="32"/>
          <w:szCs w:val="32"/>
          <w:lang w:eastAsia="zh-CN"/>
        </w:rPr>
        <w:t>华池农业农村局</w:t>
      </w:r>
      <w:r>
        <w:rPr>
          <w:rFonts w:hint="default" w:ascii="Times New Roman" w:hAnsi="Times New Roman" w:eastAsia="仿宋_GB2312" w:cs="Times New Roman"/>
          <w:spacing w:val="-20"/>
          <w:kern w:val="0"/>
          <w:sz w:val="32"/>
          <w:szCs w:val="32"/>
        </w:rPr>
        <w:t>202</w:t>
      </w:r>
      <w:r>
        <w:rPr>
          <w:rFonts w:hint="eastAsia" w:ascii="Times New Roman" w:hAnsi="Times New Roman" w:eastAsia="仿宋_GB2312" w:cs="Times New Roman"/>
          <w:spacing w:val="-20"/>
          <w:kern w:val="0"/>
          <w:sz w:val="32"/>
          <w:szCs w:val="32"/>
          <w:lang w:val="en-US" w:eastAsia="zh-CN"/>
        </w:rPr>
        <w:t>6</w:t>
      </w:r>
      <w:r>
        <w:rPr>
          <w:rFonts w:hint="default" w:ascii="Times New Roman" w:hAnsi="Times New Roman" w:eastAsia="仿宋_GB2312" w:cs="Times New Roman"/>
          <w:spacing w:val="-20"/>
          <w:kern w:val="0"/>
          <w:sz w:val="32"/>
          <w:szCs w:val="32"/>
        </w:rPr>
        <w:t>年预算公开表</w:t>
      </w:r>
    </w:p>
    <w:p w14:paraId="2E619BCD">
      <w:pPr>
        <w:keepNext w:val="0"/>
        <w:keepLines w:val="0"/>
        <w:pageBreakBefore w:val="0"/>
        <w:widowControl w:val="0"/>
        <w:kinsoku/>
        <w:wordWrap/>
        <w:overflowPunct/>
        <w:topLinePunct w:val="0"/>
        <w:autoSpaceDE/>
        <w:autoSpaceDN/>
        <w:bidi w:val="0"/>
        <w:adjustRightInd w:val="0"/>
        <w:snapToGrid w:val="0"/>
        <w:spacing w:line="640" w:lineRule="exact"/>
        <w:ind w:left="1796" w:leftChars="767" w:hanging="185" w:hangingChars="58"/>
        <w:contextualSpacing/>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2.</w:t>
      </w:r>
      <w:r>
        <w:rPr>
          <w:rFonts w:hint="default" w:ascii="Times New Roman" w:hAnsi="Times New Roman" w:eastAsia="仿宋_GB2312" w:cs="Times New Roman"/>
          <w:kern w:val="0"/>
          <w:sz w:val="32"/>
          <w:szCs w:val="32"/>
          <w:lang w:eastAsia="zh-CN"/>
        </w:rPr>
        <w:t>华池农业农村局</w:t>
      </w:r>
      <w:r>
        <w:rPr>
          <w:rFonts w:hint="default" w:ascii="Times New Roman" w:hAnsi="Times New Roman" w:eastAsia="仿宋_GB2312" w:cs="Times New Roman"/>
          <w:kern w:val="0"/>
          <w:sz w:val="32"/>
          <w:szCs w:val="32"/>
        </w:rPr>
        <w:t>202</w:t>
      </w:r>
      <w:r>
        <w:rPr>
          <w:rFonts w:hint="eastAsia" w:ascii="Times New Roman" w:hAnsi="Times New Roman" w:eastAsia="仿宋_GB2312" w:cs="Times New Roman"/>
          <w:kern w:val="0"/>
          <w:sz w:val="32"/>
          <w:szCs w:val="32"/>
          <w:lang w:val="en-US" w:eastAsia="zh-CN"/>
        </w:rPr>
        <w:t>6</w:t>
      </w:r>
      <w:r>
        <w:rPr>
          <w:rFonts w:hint="default" w:ascii="Times New Roman" w:hAnsi="Times New Roman" w:eastAsia="仿宋_GB2312" w:cs="Times New Roman"/>
          <w:kern w:val="0"/>
          <w:sz w:val="32"/>
          <w:szCs w:val="32"/>
        </w:rPr>
        <w:t>年</w:t>
      </w:r>
      <w:r>
        <w:rPr>
          <w:rFonts w:hint="default" w:ascii="Times New Roman" w:hAnsi="Times New Roman" w:eastAsia="仿宋_GB2312" w:cs="Times New Roman"/>
          <w:kern w:val="0"/>
          <w:sz w:val="32"/>
          <w:szCs w:val="32"/>
          <w:lang w:eastAsia="zh-CN"/>
        </w:rPr>
        <w:t>部门</w:t>
      </w:r>
      <w:r>
        <w:rPr>
          <w:rFonts w:hint="default" w:ascii="Times New Roman" w:hAnsi="Times New Roman" w:eastAsia="仿宋_GB2312" w:cs="Times New Roman"/>
          <w:kern w:val="0"/>
          <w:sz w:val="32"/>
          <w:szCs w:val="32"/>
        </w:rPr>
        <w:t>整体支出绩效目标及预算项目绩效目标表</w:t>
      </w:r>
    </w:p>
    <w:p w14:paraId="6659DCEF">
      <w:pPr>
        <w:keepNext w:val="0"/>
        <w:keepLines w:val="0"/>
        <w:pageBreakBefore w:val="0"/>
        <w:widowControl w:val="0"/>
        <w:tabs>
          <w:tab w:val="left" w:pos="1272"/>
        </w:tabs>
        <w:kinsoku/>
        <w:wordWrap/>
        <w:overflowPunct/>
        <w:topLinePunct w:val="0"/>
        <w:autoSpaceDE/>
        <w:autoSpaceDN/>
        <w:bidi w:val="0"/>
        <w:textAlignment w:val="auto"/>
        <w:rPr>
          <w:rFonts w:hint="default" w:ascii="Times New Roman" w:hAnsi="Times New Roman" w:cs="Times New Roman"/>
        </w:rPr>
      </w:pPr>
    </w:p>
    <w:p w14:paraId="04B2B9CE">
      <w:pPr>
        <w:tabs>
          <w:tab w:val="left" w:pos="1272"/>
        </w:tabs>
        <w:rPr>
          <w:rFonts w:hint="default" w:ascii="Times New Roman" w:hAnsi="Times New Roman" w:cs="Times New Roman"/>
        </w:rPr>
      </w:pPr>
    </w:p>
    <w:sectPr>
      <w:footerReference r:id="rId3"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Cambria">
    <w:altName w:val="Segoe Print"/>
    <w:panose1 w:val="02040503050406030204"/>
    <w:charset w:val="00"/>
    <w:family w:val="roman"/>
    <w:pitch w:val="default"/>
    <w:sig w:usb0="00000000" w:usb1="00000000" w:usb2="02000000" w:usb3="00000000" w:csb0="2000019F"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 w:name="KSOF29153A75">
    <w:panose1 w:val="020B0502040204020203"/>
    <w:charset w:val="00"/>
    <w:family w:val="auto"/>
    <w:pitch w:val="default"/>
    <w:sig w:usb0="00000001" w:usb1="00000000" w:usb2="00000000" w:usb3="00000000" w:csb0="00000001" w:csb1="00000000"/>
  </w:font>
  <w:font w:name="KSOF1D5EAB94">
    <w:panose1 w:val="020B0802040204020203"/>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E7A2D">
    <w:pPr>
      <w:pStyle w:val="6"/>
      <w:jc w:val="center"/>
    </w:pPr>
    <w:r>
      <w:fldChar w:fldCharType="begin"/>
    </w:r>
    <w:r>
      <w:instrText xml:space="preserve">PAGE   \* MERGEFORMAT</w:instrText>
    </w:r>
    <w:r>
      <w:fldChar w:fldCharType="separate"/>
    </w:r>
    <w:r>
      <w:rPr>
        <w:lang w:val="zh-CN"/>
      </w:rPr>
      <w:t>27</w:t>
    </w:r>
    <w:r>
      <w:fldChar w:fldCharType="end"/>
    </w:r>
  </w:p>
  <w:p w14:paraId="3641FC93">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D48DD2"/>
    <w:multiLevelType w:val="singleLevel"/>
    <w:tmpl w:val="E7D48DD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jNDcxNWMxNzA4MWQ4MjRlNWExMTQwYmYzY2EyYmI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27B"/>
    <w:rsid w:val="00AA55AF"/>
    <w:rsid w:val="00AB19A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2E03DF9"/>
    <w:rsid w:val="113741D2"/>
    <w:rsid w:val="18330BA7"/>
    <w:rsid w:val="1D34261E"/>
    <w:rsid w:val="211A2370"/>
    <w:rsid w:val="2D316434"/>
    <w:rsid w:val="42A05423"/>
    <w:rsid w:val="4C433C79"/>
    <w:rsid w:val="4CB47BB0"/>
    <w:rsid w:val="50D8409E"/>
    <w:rsid w:val="527E074E"/>
    <w:rsid w:val="56393C72"/>
    <w:rsid w:val="579503FF"/>
    <w:rsid w:val="57F029A2"/>
    <w:rsid w:val="60535296"/>
    <w:rsid w:val="6769748D"/>
    <w:rsid w:val="70973F13"/>
    <w:rsid w:val="72FD2525"/>
    <w:rsid w:val="78106856"/>
    <w:rsid w:val="7E343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99"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18"/>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next w:val="1"/>
    <w:qFormat/>
    <w:uiPriority w:val="99"/>
    <w:pPr>
      <w:spacing w:after="120" w:line="480" w:lineRule="auto"/>
      <w:ind w:left="420" w:leftChars="200"/>
    </w:pPr>
    <w:rPr>
      <w:szCs w:val="24"/>
    </w:rPr>
  </w:style>
  <w:style w:type="paragraph" w:styleId="4">
    <w:name w:val="annotation text"/>
    <w:basedOn w:val="1"/>
    <w:link w:val="20"/>
    <w:qFormat/>
    <w:uiPriority w:val="0"/>
    <w:pPr>
      <w:jc w:val="left"/>
    </w:pPr>
  </w:style>
  <w:style w:type="paragraph" w:styleId="5">
    <w:name w:val="Balloon Text"/>
    <w:basedOn w:val="1"/>
    <w:link w:val="17"/>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9">
    <w:name w:val="annotation subject"/>
    <w:basedOn w:val="4"/>
    <w:next w:val="4"/>
    <w:link w:val="21"/>
    <w:qFormat/>
    <w:uiPriority w:val="0"/>
    <w:rPr>
      <w:b/>
      <w:bCs/>
    </w:rPr>
  </w:style>
  <w:style w:type="character" w:styleId="12">
    <w:name w:val="line number"/>
    <w:qFormat/>
    <w:uiPriority w:val="0"/>
  </w:style>
  <w:style w:type="character" w:styleId="13">
    <w:name w:val="annotation reference"/>
    <w:qFormat/>
    <w:uiPriority w:val="0"/>
    <w:rPr>
      <w:sz w:val="21"/>
      <w:szCs w:val="21"/>
    </w:rPr>
  </w:style>
  <w:style w:type="character" w:customStyle="1" w:styleId="14">
    <w:name w:val="页脚 Char"/>
    <w:link w:val="6"/>
    <w:qFormat/>
    <w:uiPriority w:val="0"/>
    <w:rPr>
      <w:sz w:val="18"/>
      <w:szCs w:val="18"/>
    </w:rPr>
  </w:style>
  <w:style w:type="character" w:customStyle="1" w:styleId="15">
    <w:name w:val="页眉 Char"/>
    <w:link w:val="7"/>
    <w:qFormat/>
    <w:uiPriority w:val="0"/>
    <w:rPr>
      <w:sz w:val="18"/>
      <w:szCs w:val="18"/>
    </w:rPr>
  </w:style>
  <w:style w:type="paragraph" w:styleId="16">
    <w:name w:val="List Paragraph"/>
    <w:basedOn w:val="1"/>
    <w:qFormat/>
    <w:uiPriority w:val="0"/>
    <w:pPr>
      <w:ind w:firstLine="420" w:firstLineChars="200"/>
    </w:pPr>
  </w:style>
  <w:style w:type="character" w:customStyle="1" w:styleId="17">
    <w:name w:val="批注框文本 Char"/>
    <w:link w:val="5"/>
    <w:qFormat/>
    <w:uiPriority w:val="0"/>
    <w:rPr>
      <w:kern w:val="2"/>
      <w:sz w:val="18"/>
      <w:szCs w:val="18"/>
    </w:rPr>
  </w:style>
  <w:style w:type="character" w:customStyle="1" w:styleId="18">
    <w:name w:val="标题 1 Char"/>
    <w:link w:val="3"/>
    <w:qFormat/>
    <w:uiPriority w:val="0"/>
    <w:rPr>
      <w:rFonts w:ascii="Times New Roman" w:hAnsi="Times New Roman"/>
      <w:b/>
      <w:bCs/>
      <w:kern w:val="44"/>
      <w:sz w:val="44"/>
      <w:szCs w:val="44"/>
    </w:rPr>
  </w:style>
  <w:style w:type="paragraph" w:customStyle="1" w:styleId="19">
    <w:name w:val="TOC Heading"/>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20">
    <w:name w:val="批注文字 Char"/>
    <w:link w:val="4"/>
    <w:qFormat/>
    <w:uiPriority w:val="0"/>
    <w:rPr>
      <w:kern w:val="2"/>
      <w:sz w:val="21"/>
      <w:szCs w:val="22"/>
    </w:rPr>
  </w:style>
  <w:style w:type="character" w:customStyle="1" w:styleId="21">
    <w:name w:val="批注主题 Char"/>
    <w:link w:val="9"/>
    <w:qFormat/>
    <w:uiPriority w:val="0"/>
    <w:rPr>
      <w:b/>
      <w:bCs/>
      <w:kern w:val="2"/>
      <w:sz w:val="21"/>
      <w:szCs w:val="22"/>
    </w:rPr>
  </w:style>
  <w:style w:type="character" w:customStyle="1" w:styleId="22">
    <w:name w:val="fontstyle01"/>
    <w:qFormat/>
    <w:uiPriority w:val="0"/>
    <w:rPr>
      <w:rFonts w:hint="eastAsia" w:ascii="仿宋_GB2312" w:eastAsia="仿宋_GB2312"/>
      <w:color w:val="000000"/>
      <w:sz w:val="32"/>
      <w:szCs w:val="32"/>
    </w:rPr>
  </w:style>
  <w:style w:type="character" w:customStyle="1" w:styleId="23">
    <w:name w:val="fontstyle21"/>
    <w:qFormat/>
    <w:uiPriority w:val="0"/>
    <w:rPr>
      <w:rFonts w:hint="default" w:ascii="TimesNewRomanPSMT" w:hAnsi="TimesNewRomanPSMT"/>
      <w:color w:val="000000"/>
      <w:sz w:val="32"/>
      <w:szCs w:val="32"/>
    </w:rPr>
  </w:style>
  <w:style w:type="character" w:customStyle="1" w:styleId="24">
    <w:name w:val="fontstyle11"/>
    <w:qFormat/>
    <w:uiPriority w:val="0"/>
    <w:rPr>
      <w:rFonts w:hint="eastAsia" w:ascii="仿宋_GB2312" w:eastAsia="仿宋_GB2312"/>
      <w:color w:val="000000"/>
      <w:sz w:val="32"/>
      <w:szCs w:val="32"/>
    </w:rPr>
  </w:style>
  <w:style w:type="character" w:customStyle="1" w:styleId="25">
    <w:name w:val="fontstyle31"/>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beijing</Company>
  <Pages>14</Pages>
  <Words>5968</Words>
  <Characters>6329</Characters>
  <Lines>68</Lines>
  <Paragraphs>19</Paragraphs>
  <TotalTime>10</TotalTime>
  <ScaleCrop>false</ScaleCrop>
  <LinksUpToDate>false</LinksUpToDate>
  <CharactersWithSpaces>6365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2024-01-30T09:03:00Z</dcterms:created>
  <dc:creator>home</dc:creator>
  <cp:lastModifiedBy>浅笑、淡然</cp:lastModifiedBy>
  <cp:lastPrinted>2026-03-16T01:16:00Z</cp:lastPrinted>
  <dcterms:modified xsi:type="dcterms:W3CDTF">2026-03-17T09:34:53Z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3BF216D21B9042549D3D1778E886734A_13</vt:lpwstr>
  </property>
  <property fmtid="{D5CDD505-2E9C-101B-9397-08002B2CF9AE}" pid="4" name="KSOTemplateDocerSaveRecord">
    <vt:lpwstr>eyJoZGlkIjoiZmI5Yjg5MGI5ZTE0MTZhNjVkOGZiMTEyZDY5NWJhNzAiLCJ1c2VySWQiOiI1MTAxNDQxMzMifQ==</vt:lpwstr>
  </property>
</Properties>
</file>