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D8B6B5">
      <w:pPr>
        <w:spacing w:line="660" w:lineRule="exact"/>
        <w:jc w:val="center"/>
        <w:rPr>
          <w:rFonts w:ascii="宋体" w:hAnsi="宋体" w:cs="宋体"/>
          <w:b/>
          <w:bCs/>
          <w:kern w:val="0"/>
          <w:sz w:val="44"/>
          <w:szCs w:val="44"/>
        </w:rPr>
      </w:pPr>
    </w:p>
    <w:p w14:paraId="0065D364">
      <w:pPr>
        <w:spacing w:line="660" w:lineRule="exact"/>
        <w:jc w:val="center"/>
        <w:rPr>
          <w:rFonts w:ascii="宋体" w:hAnsi="宋体" w:cs="宋体"/>
          <w:b/>
          <w:bCs/>
          <w:kern w:val="0"/>
          <w:sz w:val="44"/>
          <w:szCs w:val="44"/>
        </w:rPr>
      </w:pPr>
    </w:p>
    <w:p w14:paraId="5AF7918B">
      <w:pPr>
        <w:spacing w:line="660" w:lineRule="exact"/>
        <w:jc w:val="center"/>
        <w:rPr>
          <w:rFonts w:ascii="宋体" w:hAnsi="宋体" w:cs="宋体"/>
          <w:b/>
          <w:bCs/>
          <w:kern w:val="0"/>
          <w:sz w:val="44"/>
          <w:szCs w:val="44"/>
        </w:rPr>
      </w:pPr>
    </w:p>
    <w:p w14:paraId="170BE9BE">
      <w:pPr>
        <w:spacing w:line="660" w:lineRule="exact"/>
        <w:jc w:val="center"/>
        <w:rPr>
          <w:rFonts w:ascii="宋体" w:hAnsi="宋体" w:cs="宋体"/>
          <w:b/>
          <w:bCs/>
          <w:kern w:val="0"/>
          <w:sz w:val="44"/>
          <w:szCs w:val="44"/>
        </w:rPr>
      </w:pPr>
      <w:r>
        <w:rPr>
          <w:rFonts w:hint="eastAsia" w:ascii="宋体" w:hAnsi="宋体" w:cs="宋体"/>
          <w:b/>
          <w:bCs/>
          <w:kern w:val="0"/>
          <w:sz w:val="44"/>
          <w:szCs w:val="44"/>
        </w:rPr>
        <w:t>华池县元城初级中学</w:t>
      </w:r>
    </w:p>
    <w:p w14:paraId="67ACC143">
      <w:pPr>
        <w:spacing w:line="660" w:lineRule="exact"/>
        <w:jc w:val="center"/>
        <w:rPr>
          <w:rFonts w:ascii="宋体" w:hAnsi="宋体" w:cs="宋体"/>
          <w:b/>
          <w:bCs/>
          <w:kern w:val="0"/>
          <w:sz w:val="44"/>
          <w:szCs w:val="44"/>
        </w:rPr>
        <w:sectPr>
          <w:footerReference r:id="rId3" w:type="default"/>
          <w:pgSz w:w="11906" w:h="16838"/>
          <w:pgMar w:top="1134" w:right="1134" w:bottom="1440" w:left="1276" w:header="851" w:footer="992" w:gutter="0"/>
          <w:cols w:space="720" w:num="1"/>
          <w:docGrid w:type="lines" w:linePitch="312" w:charSpace="0"/>
        </w:sectPr>
      </w:pPr>
      <w:r>
        <w:rPr>
          <w:rFonts w:hint="eastAsia" w:ascii="宋体" w:hAnsi="宋体" w:cs="宋体"/>
          <w:b/>
          <w:bCs/>
          <w:kern w:val="0"/>
          <w:sz w:val="44"/>
          <w:szCs w:val="44"/>
        </w:rPr>
        <w:t>202</w:t>
      </w:r>
      <w:r>
        <w:rPr>
          <w:rFonts w:ascii="宋体" w:hAnsi="宋体" w:cs="宋体"/>
          <w:b/>
          <w:bCs/>
          <w:kern w:val="0"/>
          <w:sz w:val="44"/>
          <w:szCs w:val="44"/>
        </w:rPr>
        <w:t>6</w:t>
      </w:r>
      <w:r>
        <w:rPr>
          <w:rFonts w:hint="eastAsia" w:ascii="宋体" w:hAnsi="宋体" w:cs="宋体"/>
          <w:b/>
          <w:bCs/>
          <w:kern w:val="0"/>
          <w:sz w:val="44"/>
          <w:szCs w:val="44"/>
        </w:rPr>
        <w:t xml:space="preserve">年部门/单位预算公开情况说明 </w:t>
      </w:r>
    </w:p>
    <w:p w14:paraId="23298934">
      <w:pPr>
        <w:spacing w:line="660" w:lineRule="exact"/>
        <w:jc w:val="center"/>
        <w:rPr>
          <w:rFonts w:ascii="宋体" w:hAnsi="宋体" w:cs="宋体"/>
          <w:b/>
          <w:bCs/>
          <w:kern w:val="0"/>
          <w:sz w:val="44"/>
          <w:szCs w:val="44"/>
        </w:rPr>
      </w:pPr>
      <w:r>
        <w:rPr>
          <w:rFonts w:hint="eastAsia" w:ascii="宋体" w:hAnsi="宋体" w:cs="宋体"/>
          <w:b/>
          <w:bCs/>
          <w:kern w:val="0"/>
          <w:sz w:val="44"/>
          <w:szCs w:val="44"/>
        </w:rPr>
        <w:t>目  录</w:t>
      </w:r>
    </w:p>
    <w:p w14:paraId="404A4908">
      <w:pPr>
        <w:spacing w:line="660" w:lineRule="exact"/>
        <w:jc w:val="center"/>
        <w:rPr>
          <w:rFonts w:ascii="宋体" w:hAnsi="宋体" w:cs="宋体"/>
          <w:b/>
          <w:bCs/>
          <w:kern w:val="0"/>
          <w:sz w:val="44"/>
          <w:szCs w:val="44"/>
        </w:rPr>
      </w:pPr>
    </w:p>
    <w:p w14:paraId="581C7286">
      <w:pPr>
        <w:spacing w:line="30" w:lineRule="exact"/>
        <w:jc w:val="center"/>
        <w:rPr>
          <w:rFonts w:ascii="黑体" w:eastAsia="黑体"/>
          <w:color w:val="000000"/>
          <w:sz w:val="18"/>
          <w:szCs w:val="18"/>
        </w:rPr>
      </w:pPr>
    </w:p>
    <w:p w14:paraId="53002029">
      <w:pPr>
        <w:spacing w:line="560" w:lineRule="exact"/>
        <w:ind w:firstLine="602" w:firstLineChars="200"/>
        <w:jc w:val="left"/>
        <w:rPr>
          <w:rFonts w:ascii="仿宋_GB2312" w:hAnsi="仿宋" w:eastAsia="仿宋_GB2312"/>
          <w:b/>
          <w:color w:val="000000"/>
          <w:sz w:val="30"/>
          <w:szCs w:val="30"/>
        </w:rPr>
      </w:pPr>
      <w:r>
        <w:rPr>
          <w:rFonts w:hint="eastAsia" w:ascii="仿宋_GB2312" w:hAnsi="仿宋" w:eastAsia="仿宋_GB2312"/>
          <w:b/>
          <w:color w:val="000000"/>
          <w:sz w:val="30"/>
          <w:szCs w:val="30"/>
        </w:rPr>
        <w:t>第一部分 部门/单位基本概况</w:t>
      </w:r>
    </w:p>
    <w:p w14:paraId="70C024E0">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一、部门/单位职责</w:t>
      </w:r>
    </w:p>
    <w:p w14:paraId="4D83AF2B">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二、机构设置情况</w:t>
      </w:r>
    </w:p>
    <w:p w14:paraId="433351F8">
      <w:pPr>
        <w:spacing w:line="560" w:lineRule="exact"/>
        <w:ind w:firstLine="602" w:firstLineChars="200"/>
        <w:jc w:val="left"/>
        <w:rPr>
          <w:rFonts w:ascii="仿宋_GB2312" w:hAnsi="仿宋" w:eastAsia="仿宋_GB2312"/>
          <w:b/>
          <w:color w:val="000000"/>
          <w:sz w:val="30"/>
          <w:szCs w:val="30"/>
        </w:rPr>
      </w:pPr>
      <w:r>
        <w:rPr>
          <w:rFonts w:hint="eastAsia" w:ascii="仿宋_GB2312" w:hAnsi="仿宋" w:eastAsia="仿宋_GB2312"/>
          <w:b/>
          <w:color w:val="000000"/>
          <w:sz w:val="30"/>
          <w:szCs w:val="30"/>
        </w:rPr>
        <w:t>第二部分 202</w:t>
      </w:r>
      <w:r>
        <w:rPr>
          <w:rFonts w:ascii="仿宋_GB2312" w:hAnsi="仿宋" w:eastAsia="仿宋_GB2312"/>
          <w:b/>
          <w:color w:val="000000"/>
          <w:sz w:val="30"/>
          <w:szCs w:val="30"/>
        </w:rPr>
        <w:t>6</w:t>
      </w:r>
      <w:r>
        <w:rPr>
          <w:rFonts w:hint="eastAsia" w:ascii="仿宋_GB2312" w:hAnsi="仿宋" w:eastAsia="仿宋_GB2312"/>
          <w:b/>
          <w:color w:val="000000"/>
          <w:sz w:val="30"/>
          <w:szCs w:val="30"/>
        </w:rPr>
        <w:t>年部门/单位预算情况说明</w:t>
      </w:r>
    </w:p>
    <w:p w14:paraId="44EBD670">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三、收支总体情况</w:t>
      </w:r>
    </w:p>
    <w:p w14:paraId="0BB73FF5">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四、一般公共预算情况</w:t>
      </w:r>
    </w:p>
    <w:p w14:paraId="4A12B8CB">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五、一般公共预算财政拨款“三公”经费、培训费、会议费等情况</w:t>
      </w:r>
    </w:p>
    <w:p w14:paraId="435BC81C">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六、一般公共预算财政拨款机关运行经费情况</w:t>
      </w:r>
    </w:p>
    <w:p w14:paraId="2F88CE30">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七、政府采购安排情况</w:t>
      </w:r>
    </w:p>
    <w:p w14:paraId="5046C445">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八、国有资产占用情况</w:t>
      </w:r>
    </w:p>
    <w:p w14:paraId="6D55E2E0">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九、其他重要事项情况说明</w:t>
      </w:r>
    </w:p>
    <w:p w14:paraId="171C4917">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十、预算绩效管理情况</w:t>
      </w:r>
    </w:p>
    <w:p w14:paraId="7042C3D9">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十一、名词解释</w:t>
      </w:r>
    </w:p>
    <w:p w14:paraId="734FD345">
      <w:pPr>
        <w:spacing w:line="560" w:lineRule="exact"/>
        <w:ind w:firstLine="602" w:firstLineChars="200"/>
        <w:jc w:val="left"/>
        <w:rPr>
          <w:rFonts w:ascii="仿宋_GB2312" w:hAnsi="仿宋" w:eastAsia="仿宋_GB2312"/>
          <w:b/>
          <w:color w:val="000000"/>
          <w:sz w:val="30"/>
          <w:szCs w:val="30"/>
        </w:rPr>
      </w:pPr>
      <w:r>
        <w:rPr>
          <w:rFonts w:hint="eastAsia" w:ascii="仿宋_GB2312" w:hAnsi="仿宋" w:eastAsia="仿宋_GB2312"/>
          <w:b/>
          <w:color w:val="000000"/>
          <w:sz w:val="30"/>
          <w:szCs w:val="30"/>
        </w:rPr>
        <w:t>第三部分 202</w:t>
      </w:r>
      <w:r>
        <w:rPr>
          <w:rFonts w:ascii="仿宋_GB2312" w:hAnsi="仿宋" w:eastAsia="仿宋_GB2312"/>
          <w:b/>
          <w:color w:val="000000"/>
          <w:sz w:val="30"/>
          <w:szCs w:val="30"/>
        </w:rPr>
        <w:t>6</w:t>
      </w:r>
      <w:r>
        <w:rPr>
          <w:rFonts w:hint="eastAsia" w:ascii="仿宋_GB2312" w:hAnsi="仿宋" w:eastAsia="仿宋_GB2312"/>
          <w:b/>
          <w:color w:val="000000"/>
          <w:sz w:val="30"/>
          <w:szCs w:val="30"/>
        </w:rPr>
        <w:t>年部门（单位）预算公开表</w:t>
      </w:r>
    </w:p>
    <w:p w14:paraId="3FD2078A">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一、部门/单位收支总体情况表</w:t>
      </w:r>
    </w:p>
    <w:p w14:paraId="72142C80">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二、部门/单位收入总体情况表</w:t>
      </w:r>
    </w:p>
    <w:p w14:paraId="45966E8E">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三、部门/单位支出总体情况表</w:t>
      </w:r>
    </w:p>
    <w:p w14:paraId="675B8204">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四、财政拨款收支总体情况表</w:t>
      </w:r>
    </w:p>
    <w:p w14:paraId="7622165F">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五、财政拨款支出表</w:t>
      </w:r>
    </w:p>
    <w:p w14:paraId="6361183A">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六、一般公共预算支出情况表</w:t>
      </w:r>
    </w:p>
    <w:p w14:paraId="600E5294">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七、一般公共预算基本支出情况表</w:t>
      </w:r>
    </w:p>
    <w:p w14:paraId="5189B486">
      <w:pPr>
        <w:spacing w:line="560" w:lineRule="exact"/>
        <w:ind w:firstLine="600" w:firstLineChars="200"/>
        <w:jc w:val="left"/>
        <w:rPr>
          <w:rFonts w:ascii="仿宋_GB2312" w:hAnsi="仿宋" w:eastAsia="仿宋_GB2312"/>
          <w:color w:val="000000"/>
          <w:spacing w:val="-20"/>
          <w:sz w:val="30"/>
          <w:szCs w:val="30"/>
        </w:rPr>
      </w:pPr>
      <w:r>
        <w:rPr>
          <w:rFonts w:hint="eastAsia" w:ascii="仿宋_GB2312" w:hAnsi="仿宋" w:eastAsia="仿宋_GB2312"/>
          <w:color w:val="000000"/>
          <w:sz w:val="30"/>
          <w:szCs w:val="30"/>
        </w:rPr>
        <w:t>八、</w:t>
      </w:r>
      <w:r>
        <w:rPr>
          <w:rFonts w:hint="eastAsia" w:ascii="仿宋_GB2312" w:hAnsi="仿宋" w:eastAsia="仿宋_GB2312"/>
          <w:color w:val="000000"/>
          <w:spacing w:val="-20"/>
          <w:sz w:val="30"/>
          <w:szCs w:val="30"/>
        </w:rPr>
        <w:t>一般公共预算财政拨款“三公”经费、会议费、培训费支出情况表</w:t>
      </w:r>
    </w:p>
    <w:p w14:paraId="4B121EFE">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九、一般公共预算财政拨款机关运行经费表</w:t>
      </w:r>
    </w:p>
    <w:p w14:paraId="031FDB5A">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十、政府性基金预算支出情况表</w:t>
      </w:r>
    </w:p>
    <w:p w14:paraId="5FFFCFAF">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十一、部门管理转移支付表</w:t>
      </w:r>
    </w:p>
    <w:p w14:paraId="505BB7C1">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十二、国有资本经营预算支出情况表</w:t>
      </w:r>
    </w:p>
    <w:p w14:paraId="4129F3F1">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十三、部门/单位整体支出绩效目标表和项目支出绩效目标表</w:t>
      </w:r>
    </w:p>
    <w:p w14:paraId="7F85859C">
      <w:pPr>
        <w:spacing w:line="660" w:lineRule="exact"/>
        <w:jc w:val="center"/>
        <w:rPr>
          <w:rFonts w:ascii="仿宋_GB2312" w:hAnsi="宋体" w:eastAsia="仿宋_GB2312" w:cs="宋体"/>
          <w:b/>
          <w:bCs/>
          <w:kern w:val="0"/>
          <w:sz w:val="44"/>
          <w:szCs w:val="44"/>
        </w:rPr>
      </w:pPr>
    </w:p>
    <w:p w14:paraId="6DBFCF8A">
      <w:pPr>
        <w:spacing w:line="600" w:lineRule="exact"/>
        <w:ind w:firstLine="562" w:firstLineChars="200"/>
        <w:rPr>
          <w:rFonts w:ascii="仿宋_GB2312" w:hAnsi="仿宋" w:eastAsia="仿宋_GB2312" w:cs="宋体"/>
          <w:b/>
          <w:kern w:val="0"/>
          <w:sz w:val="28"/>
          <w:szCs w:val="28"/>
        </w:rPr>
        <w:sectPr>
          <w:footerReference r:id="rId4" w:type="default"/>
          <w:pgSz w:w="11906" w:h="16838"/>
          <w:pgMar w:top="1134" w:right="1134" w:bottom="1440" w:left="1276" w:header="851" w:footer="992" w:gutter="0"/>
          <w:pgNumType w:start="1"/>
          <w:cols w:space="720" w:num="1"/>
          <w:docGrid w:type="lines" w:linePitch="312" w:charSpace="0"/>
        </w:sectPr>
      </w:pPr>
    </w:p>
    <w:p w14:paraId="42E458F6">
      <w:pPr>
        <w:spacing w:line="600" w:lineRule="exact"/>
        <w:ind w:firstLine="643" w:firstLineChars="200"/>
        <w:rPr>
          <w:rFonts w:ascii="仿宋_GB2312" w:hAnsi="黑体" w:eastAsia="仿宋_GB2312" w:cs="宋体"/>
          <w:b/>
          <w:kern w:val="0"/>
          <w:sz w:val="32"/>
          <w:szCs w:val="32"/>
        </w:rPr>
      </w:pPr>
      <w:r>
        <w:rPr>
          <w:rFonts w:hint="eastAsia" w:ascii="仿宋_GB2312" w:hAnsi="黑体" w:eastAsia="仿宋_GB2312" w:cs="宋体"/>
          <w:b/>
          <w:kern w:val="0"/>
          <w:sz w:val="32"/>
          <w:szCs w:val="32"/>
        </w:rPr>
        <w:t>前言</w:t>
      </w:r>
    </w:p>
    <w:p w14:paraId="0AD557B8">
      <w:pPr>
        <w:spacing w:line="600" w:lineRule="exact"/>
        <w:ind w:firstLine="640" w:firstLineChars="200"/>
        <w:rPr>
          <w:rFonts w:ascii="仿宋_GB2312" w:hAnsi="仿宋" w:eastAsia="仿宋_GB2312" w:cs="宋体"/>
          <w:kern w:val="0"/>
          <w:sz w:val="32"/>
          <w:szCs w:val="32"/>
        </w:rPr>
      </w:pPr>
      <w:r>
        <w:rPr>
          <w:rFonts w:hint="eastAsia" w:ascii="仿宋_GB2312" w:hAnsi="仿宋" w:eastAsia="仿宋_GB2312" w:cs="宋体"/>
          <w:kern w:val="0"/>
          <w:sz w:val="32"/>
          <w:szCs w:val="32"/>
        </w:rPr>
        <w:t>按照《中华人民共和国预算法》《中华人民共和国预算法实施条例》以及</w:t>
      </w:r>
      <w:r>
        <w:rPr>
          <w:rFonts w:ascii="仿宋_GB2312" w:hAnsi="仿宋" w:eastAsia="仿宋_GB2312" w:cs="宋体"/>
          <w:kern w:val="0"/>
          <w:sz w:val="32"/>
          <w:szCs w:val="32"/>
        </w:rPr>
        <w:t>财政部</w:t>
      </w:r>
      <w:r>
        <w:rPr>
          <w:rFonts w:hint="eastAsia" w:ascii="仿宋_GB2312" w:hAnsi="仿宋" w:eastAsia="仿宋_GB2312" w:cs="宋体"/>
          <w:kern w:val="0"/>
          <w:sz w:val="32"/>
          <w:szCs w:val="32"/>
        </w:rPr>
        <w:t>《地方预决算公开操作规程》《关于推进部门所属单位预算公开的指导意见》和《中共甘肃省委办公厅 甘肃省人民政府办公厅关于进一步推进预算公开工作的实施方案》要求，现将202</w:t>
      </w:r>
      <w:r>
        <w:rPr>
          <w:rFonts w:ascii="仿宋_GB2312" w:hAnsi="仿宋" w:eastAsia="仿宋_GB2312" w:cs="宋体"/>
          <w:kern w:val="0"/>
          <w:sz w:val="32"/>
          <w:szCs w:val="32"/>
        </w:rPr>
        <w:t>6</w:t>
      </w:r>
      <w:r>
        <w:rPr>
          <w:rFonts w:hint="eastAsia" w:ascii="仿宋_GB2312" w:hAnsi="仿宋" w:eastAsia="仿宋_GB2312" w:cs="宋体"/>
          <w:kern w:val="0"/>
          <w:sz w:val="32"/>
          <w:szCs w:val="32"/>
        </w:rPr>
        <w:t>年部门预算公开如下：</w:t>
      </w:r>
    </w:p>
    <w:p w14:paraId="1BFDDEEA">
      <w:pPr>
        <w:spacing w:line="600" w:lineRule="exact"/>
        <w:ind w:firstLine="640" w:firstLineChars="200"/>
        <w:rPr>
          <w:rFonts w:ascii="黑体" w:hAnsi="黑体" w:eastAsia="黑体" w:cs="宋体"/>
          <w:kern w:val="0"/>
          <w:sz w:val="32"/>
          <w:szCs w:val="32"/>
        </w:rPr>
      </w:pPr>
      <w:r>
        <w:rPr>
          <w:rFonts w:hint="eastAsia" w:ascii="黑体" w:hAnsi="黑体" w:eastAsia="黑体" w:cs="宋体"/>
          <w:kern w:val="0"/>
          <w:sz w:val="32"/>
          <w:szCs w:val="32"/>
        </w:rPr>
        <w:t>一、部门/单位职责</w:t>
      </w:r>
    </w:p>
    <w:p w14:paraId="6BDAC1A1">
      <w:pPr>
        <w:spacing w:line="600" w:lineRule="exact"/>
        <w:ind w:firstLine="640" w:firstLineChars="200"/>
        <w:rPr>
          <w:rFonts w:ascii="仿宋_GB2312" w:hAnsi="仿宋" w:eastAsia="仿宋_GB2312" w:cs="宋体"/>
          <w:kern w:val="0"/>
          <w:sz w:val="32"/>
          <w:szCs w:val="32"/>
        </w:rPr>
      </w:pPr>
      <w:r>
        <w:rPr>
          <w:rFonts w:hint="eastAsia" w:ascii="仿宋_GB2312" w:hAnsi="仿宋" w:eastAsia="仿宋_GB2312" w:cs="宋体"/>
          <w:kern w:val="0"/>
          <w:sz w:val="32"/>
          <w:szCs w:val="32"/>
        </w:rPr>
        <w:t>华池县元城初级中学属全额拨款事业单位，隶属于华池县教育局，主要职责是负责普及本辖区内及周边附近乡村适龄少年初中义务教育工作。</w:t>
      </w:r>
    </w:p>
    <w:p w14:paraId="720E48B4">
      <w:pPr>
        <w:spacing w:line="600" w:lineRule="exact"/>
        <w:ind w:firstLine="640" w:firstLineChars="200"/>
        <w:rPr>
          <w:rFonts w:ascii="黑体" w:hAnsi="黑体" w:eastAsia="黑体" w:cs="宋体"/>
          <w:kern w:val="0"/>
          <w:sz w:val="32"/>
          <w:szCs w:val="32"/>
        </w:rPr>
      </w:pPr>
      <w:r>
        <w:rPr>
          <w:rFonts w:hint="eastAsia" w:ascii="黑体" w:hAnsi="黑体" w:eastAsia="黑体" w:cs="宋体"/>
          <w:kern w:val="0"/>
          <w:sz w:val="32"/>
          <w:szCs w:val="32"/>
        </w:rPr>
        <w:t>二、机构设置情况</w:t>
      </w:r>
    </w:p>
    <w:p w14:paraId="77BC1A87">
      <w:pPr>
        <w:spacing w:line="600" w:lineRule="exact"/>
        <w:ind w:firstLine="643" w:firstLineChars="200"/>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（一）机关内设机构</w:t>
      </w:r>
    </w:p>
    <w:p w14:paraId="24E9553E">
      <w:pPr>
        <w:spacing w:line="600" w:lineRule="exact"/>
        <w:ind w:firstLine="640" w:firstLineChars="200"/>
        <w:rPr>
          <w:rFonts w:ascii="仿宋_GB2312" w:hAnsi="仿宋" w:eastAsia="仿宋_GB2312" w:cs="宋体"/>
          <w:kern w:val="0"/>
          <w:sz w:val="32"/>
          <w:szCs w:val="32"/>
        </w:rPr>
      </w:pPr>
      <w:r>
        <w:rPr>
          <w:rFonts w:hint="eastAsia" w:ascii="仿宋_GB2312" w:hAnsi="仿宋" w:eastAsia="仿宋_GB2312" w:cs="宋体"/>
          <w:kern w:val="0"/>
          <w:sz w:val="32"/>
          <w:szCs w:val="32"/>
        </w:rPr>
        <w:t>内设机构3个处室（教务处、政教处、总务处），教务处主要负责学校全盘教学工作，教学安排、学情检测等；政教处主要负责学校的德育及学生管理工作；总务处主要负责教师学生餐饮、教学后勤保障等工作。</w:t>
      </w:r>
    </w:p>
    <w:p w14:paraId="316EA88B">
      <w:pPr>
        <w:spacing w:line="600" w:lineRule="exact"/>
        <w:ind w:firstLine="643" w:firstLineChars="200"/>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（二）参照公务员法管理单位</w:t>
      </w:r>
    </w:p>
    <w:p w14:paraId="76DB884D">
      <w:pPr>
        <w:spacing w:line="600" w:lineRule="exact"/>
        <w:ind w:firstLine="640" w:firstLineChars="200"/>
        <w:rPr>
          <w:rFonts w:ascii="仿宋_GB2312" w:hAnsi="仿宋" w:eastAsia="仿宋_GB2312" w:cs="宋体"/>
          <w:kern w:val="0"/>
          <w:sz w:val="32"/>
          <w:szCs w:val="32"/>
        </w:rPr>
      </w:pPr>
      <w:r>
        <w:rPr>
          <w:rFonts w:hint="eastAsia" w:ascii="仿宋_GB2312" w:hAnsi="仿宋" w:eastAsia="仿宋_GB2312" w:cs="宋体"/>
          <w:kern w:val="0"/>
          <w:sz w:val="32"/>
          <w:szCs w:val="32"/>
        </w:rPr>
        <w:t>无</w:t>
      </w:r>
    </w:p>
    <w:p w14:paraId="1A18BC42">
      <w:pPr>
        <w:spacing w:line="600" w:lineRule="exact"/>
        <w:ind w:firstLine="643" w:firstLineChars="200"/>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（三）直属事业单位</w:t>
      </w:r>
    </w:p>
    <w:p w14:paraId="23091B34">
      <w:pPr>
        <w:spacing w:line="600" w:lineRule="exact"/>
        <w:ind w:firstLine="640" w:firstLineChars="200"/>
        <w:rPr>
          <w:rFonts w:ascii="仿宋_GB2312" w:hAnsi="仿宋" w:eastAsia="仿宋_GB2312" w:cs="宋体"/>
          <w:kern w:val="0"/>
          <w:sz w:val="32"/>
          <w:szCs w:val="32"/>
        </w:rPr>
      </w:pPr>
      <w:r>
        <w:rPr>
          <w:rFonts w:hint="eastAsia" w:ascii="仿宋_GB2312" w:hAnsi="仿宋" w:eastAsia="仿宋_GB2312" w:cs="宋体"/>
          <w:kern w:val="0"/>
          <w:sz w:val="32"/>
          <w:szCs w:val="32"/>
        </w:rPr>
        <w:t>无</w:t>
      </w:r>
    </w:p>
    <w:p w14:paraId="154D8898">
      <w:pPr>
        <w:spacing w:line="600" w:lineRule="exact"/>
        <w:ind w:firstLine="640" w:firstLineChars="200"/>
        <w:rPr>
          <w:rFonts w:ascii="黑体" w:hAnsi="黑体" w:eastAsia="黑体" w:cs="宋体"/>
          <w:kern w:val="0"/>
          <w:sz w:val="32"/>
          <w:szCs w:val="32"/>
        </w:rPr>
      </w:pPr>
      <w:r>
        <w:rPr>
          <w:rFonts w:hint="eastAsia" w:ascii="黑体" w:hAnsi="黑体" w:eastAsia="黑体" w:cs="宋体"/>
          <w:kern w:val="0"/>
          <w:sz w:val="32"/>
          <w:szCs w:val="32"/>
        </w:rPr>
        <w:t>三、部门/单位收支总体情况</w:t>
      </w:r>
    </w:p>
    <w:p w14:paraId="10AF1836">
      <w:pPr>
        <w:spacing w:line="600" w:lineRule="exact"/>
        <w:ind w:firstLine="640" w:firstLineChars="200"/>
        <w:rPr>
          <w:rFonts w:ascii="仿宋_GB2312" w:hAnsi="仿宋" w:eastAsia="仿宋_GB2312" w:cs="宋体"/>
          <w:kern w:val="0"/>
          <w:sz w:val="32"/>
          <w:szCs w:val="32"/>
        </w:rPr>
      </w:pPr>
      <w:r>
        <w:rPr>
          <w:rFonts w:hint="eastAsia" w:ascii="仿宋_GB2312" w:hAnsi="仿宋" w:eastAsia="仿宋_GB2312" w:cs="宋体"/>
          <w:kern w:val="0"/>
          <w:sz w:val="32"/>
          <w:szCs w:val="32"/>
        </w:rPr>
        <w:t>按照预算管理有关规定，202</w:t>
      </w:r>
      <w:r>
        <w:rPr>
          <w:rFonts w:ascii="仿宋_GB2312" w:hAnsi="仿宋" w:eastAsia="仿宋_GB2312" w:cs="宋体"/>
          <w:kern w:val="0"/>
          <w:sz w:val="32"/>
          <w:szCs w:val="32"/>
        </w:rPr>
        <w:t>6</w:t>
      </w:r>
      <w:r>
        <w:rPr>
          <w:rFonts w:hint="eastAsia" w:ascii="仿宋_GB2312" w:hAnsi="仿宋" w:eastAsia="仿宋_GB2312" w:cs="宋体"/>
          <w:kern w:val="0"/>
          <w:sz w:val="32"/>
          <w:szCs w:val="32"/>
        </w:rPr>
        <w:t>年部门（单位）收支包括机关预算和直属单位预算在内的汇总情况。</w:t>
      </w:r>
    </w:p>
    <w:p w14:paraId="02D85CDC">
      <w:pPr>
        <w:spacing w:line="600" w:lineRule="exact"/>
        <w:ind w:firstLine="640" w:firstLineChars="200"/>
        <w:rPr>
          <w:rFonts w:ascii="仿宋_GB2312" w:hAnsi="仿宋" w:eastAsia="仿宋_GB2312" w:cs="宋体"/>
          <w:kern w:val="0"/>
          <w:sz w:val="32"/>
          <w:szCs w:val="32"/>
        </w:rPr>
      </w:pPr>
      <w:r>
        <w:rPr>
          <w:rFonts w:hint="eastAsia" w:ascii="仿宋_GB2312" w:hAnsi="仿宋" w:eastAsia="仿宋_GB2312" w:cs="宋体"/>
          <w:kern w:val="0"/>
          <w:sz w:val="32"/>
          <w:szCs w:val="32"/>
        </w:rPr>
        <w:t>202</w:t>
      </w:r>
      <w:r>
        <w:rPr>
          <w:rFonts w:ascii="仿宋_GB2312" w:hAnsi="仿宋" w:eastAsia="仿宋_GB2312" w:cs="宋体"/>
          <w:kern w:val="0"/>
          <w:sz w:val="32"/>
          <w:szCs w:val="32"/>
        </w:rPr>
        <w:t>6</w:t>
      </w:r>
      <w:r>
        <w:rPr>
          <w:rFonts w:hint="eastAsia" w:ascii="仿宋_GB2312" w:hAnsi="仿宋" w:eastAsia="仿宋_GB2312" w:cs="宋体"/>
          <w:kern w:val="0"/>
          <w:sz w:val="32"/>
          <w:szCs w:val="32"/>
        </w:rPr>
        <w:t>年部门收支总预算</w:t>
      </w:r>
      <w:r>
        <w:rPr>
          <w:rFonts w:ascii="仿宋_GB2312" w:hAnsi="仿宋" w:eastAsia="仿宋_GB2312" w:cs="宋体"/>
          <w:kern w:val="0"/>
          <w:sz w:val="32"/>
          <w:szCs w:val="32"/>
        </w:rPr>
        <w:t>484.07</w:t>
      </w:r>
      <w:r>
        <w:rPr>
          <w:rFonts w:hint="eastAsia" w:ascii="仿宋_GB2312" w:hAnsi="仿宋" w:eastAsia="仿宋_GB2312" w:cs="宋体"/>
          <w:kern w:val="0"/>
          <w:sz w:val="32"/>
          <w:szCs w:val="32"/>
        </w:rPr>
        <w:t>万元。按照综合预算的原则，部门（单位）所有收入和支出均纳入部门预算管理。收入包括：一般公共预算拨款收入、政府性基金预算拨款收入、事业收入、事业单位经营收入、其他收入、使用非财政拨款结余、上年结转；支出包括：一般公共服务支出、公共安全支出、教育支出、科学技术支出、社会保障和就业支出、卫生健康支出、交通运输支出、住房保障支出、其他支出。</w:t>
      </w:r>
    </w:p>
    <w:p w14:paraId="78846D78">
      <w:pPr>
        <w:spacing w:line="600" w:lineRule="exact"/>
        <w:ind w:firstLine="643" w:firstLineChars="200"/>
        <w:rPr>
          <w:rFonts w:ascii="楷体_GB2312" w:hAnsi="楷体" w:eastAsia="楷体_GB2312"/>
          <w:sz w:val="32"/>
          <w:szCs w:val="32"/>
        </w:rPr>
      </w:pPr>
      <w:r>
        <w:rPr>
          <w:rFonts w:hint="eastAsia" w:ascii="楷体_GB2312" w:hAnsi="楷体" w:eastAsia="楷体_GB2312" w:cs="宋体"/>
          <w:b/>
          <w:bCs/>
          <w:kern w:val="0"/>
          <w:sz w:val="32"/>
          <w:szCs w:val="32"/>
        </w:rPr>
        <w:t>（一）收入预算</w:t>
      </w:r>
    </w:p>
    <w:p w14:paraId="7E3AB6EB">
      <w:pPr>
        <w:widowControl/>
        <w:spacing w:line="560" w:lineRule="exact"/>
        <w:ind w:firstLine="640" w:firstLineChars="200"/>
        <w:jc w:val="left"/>
        <w:rPr>
          <w:rFonts w:ascii="仿宋_GB2312" w:hAnsi="仿宋" w:eastAsia="仿宋_GB2312"/>
          <w:sz w:val="32"/>
          <w:szCs w:val="32"/>
        </w:rPr>
      </w:pPr>
      <w:r>
        <w:rPr>
          <w:rFonts w:hint="eastAsia" w:ascii="仿宋_GB2312" w:hAnsi="仿宋" w:eastAsia="仿宋_GB2312"/>
          <w:sz w:val="32"/>
          <w:szCs w:val="32"/>
        </w:rPr>
        <w:t>202</w:t>
      </w:r>
      <w:r>
        <w:rPr>
          <w:rFonts w:ascii="仿宋_GB2312" w:hAnsi="仿宋" w:eastAsia="仿宋_GB2312"/>
          <w:sz w:val="32"/>
          <w:szCs w:val="32"/>
        </w:rPr>
        <w:t>6</w:t>
      </w:r>
      <w:r>
        <w:rPr>
          <w:rFonts w:hint="eastAsia" w:ascii="仿宋_GB2312" w:hAnsi="仿宋" w:eastAsia="仿宋_GB2312"/>
          <w:sz w:val="32"/>
          <w:szCs w:val="32"/>
        </w:rPr>
        <w:t>年收入预算</w:t>
      </w:r>
      <w:r>
        <w:rPr>
          <w:rFonts w:ascii="仿宋_GB2312" w:hAnsi="仿宋" w:eastAsia="仿宋_GB2312"/>
          <w:sz w:val="32"/>
          <w:szCs w:val="32"/>
        </w:rPr>
        <w:t>484.07</w:t>
      </w:r>
      <w:r>
        <w:rPr>
          <w:rFonts w:hint="eastAsia" w:ascii="仿宋_GB2312" w:hAnsi="仿宋" w:eastAsia="仿宋_GB2312"/>
          <w:sz w:val="32"/>
          <w:szCs w:val="32"/>
        </w:rPr>
        <w:t>万元（详见部门/单位预算公开表1,2）。包括：</w:t>
      </w:r>
    </w:p>
    <w:p w14:paraId="14E911E5">
      <w:pPr>
        <w:widowControl/>
        <w:spacing w:line="560" w:lineRule="exact"/>
        <w:ind w:firstLine="640" w:firstLineChars="200"/>
        <w:jc w:val="left"/>
        <w:rPr>
          <w:rFonts w:ascii="仿宋_GB2312" w:hAnsi="仿宋" w:eastAsia="仿宋_GB2312"/>
          <w:sz w:val="32"/>
          <w:szCs w:val="32"/>
        </w:rPr>
      </w:pPr>
      <w:r>
        <w:rPr>
          <w:rFonts w:hint="eastAsia" w:ascii="仿宋_GB2312" w:hAnsi="仿宋" w:eastAsia="仿宋_GB2312"/>
          <w:sz w:val="32"/>
          <w:szCs w:val="32"/>
        </w:rPr>
        <w:t>一般公共预算收入</w:t>
      </w:r>
      <w:r>
        <w:rPr>
          <w:rFonts w:ascii="仿宋_GB2312" w:hAnsi="仿宋" w:eastAsia="仿宋_GB2312"/>
          <w:sz w:val="32"/>
          <w:szCs w:val="32"/>
        </w:rPr>
        <w:t>484.07</w:t>
      </w:r>
      <w:r>
        <w:rPr>
          <w:rFonts w:hint="eastAsia" w:ascii="仿宋_GB2312" w:hAnsi="仿宋" w:eastAsia="仿宋_GB2312"/>
          <w:sz w:val="32"/>
          <w:szCs w:val="32"/>
        </w:rPr>
        <w:t>万元，占</w:t>
      </w:r>
      <w:r>
        <w:rPr>
          <w:rFonts w:ascii="仿宋_GB2312" w:hAnsi="仿宋" w:eastAsia="仿宋_GB2312"/>
          <w:sz w:val="32"/>
          <w:szCs w:val="32"/>
        </w:rPr>
        <w:t>100</w:t>
      </w:r>
      <w:r>
        <w:rPr>
          <w:rFonts w:hint="eastAsia" w:ascii="仿宋_GB2312" w:hAnsi="仿宋" w:eastAsia="仿宋_GB2312"/>
          <w:sz w:val="32"/>
          <w:szCs w:val="32"/>
        </w:rPr>
        <w:t>%；</w:t>
      </w:r>
    </w:p>
    <w:p w14:paraId="6DC38958">
      <w:pPr>
        <w:widowControl/>
        <w:spacing w:line="560" w:lineRule="exact"/>
        <w:ind w:firstLine="640" w:firstLineChars="200"/>
        <w:jc w:val="left"/>
        <w:rPr>
          <w:rFonts w:ascii="仿宋_GB2312" w:hAnsi="仿宋" w:eastAsia="仿宋_GB2312"/>
          <w:sz w:val="32"/>
          <w:szCs w:val="32"/>
        </w:rPr>
      </w:pPr>
      <w:r>
        <w:rPr>
          <w:rFonts w:hint="eastAsia" w:ascii="仿宋_GB2312" w:hAnsi="仿宋" w:eastAsia="仿宋_GB2312"/>
          <w:sz w:val="32"/>
          <w:szCs w:val="32"/>
        </w:rPr>
        <w:t xml:space="preserve">政府性基金预算收入 </w:t>
      </w:r>
      <w:r>
        <w:rPr>
          <w:rFonts w:ascii="仿宋_GB2312" w:hAnsi="仿宋" w:eastAsia="仿宋_GB2312"/>
          <w:sz w:val="32"/>
          <w:szCs w:val="32"/>
        </w:rPr>
        <w:t>0</w:t>
      </w:r>
      <w:r>
        <w:rPr>
          <w:rFonts w:hint="eastAsia" w:ascii="仿宋_GB2312" w:hAnsi="仿宋" w:eastAsia="仿宋_GB2312"/>
          <w:sz w:val="32"/>
          <w:szCs w:val="32"/>
        </w:rPr>
        <w:t>万元，占</w:t>
      </w:r>
      <w:r>
        <w:rPr>
          <w:rFonts w:ascii="仿宋_GB2312" w:hAnsi="仿宋" w:eastAsia="仿宋_GB2312"/>
          <w:sz w:val="32"/>
          <w:szCs w:val="32"/>
        </w:rPr>
        <w:t>0.00</w:t>
      </w:r>
      <w:r>
        <w:rPr>
          <w:rFonts w:hint="eastAsia" w:ascii="仿宋_GB2312" w:hAnsi="仿宋" w:eastAsia="仿宋_GB2312"/>
          <w:sz w:val="32"/>
          <w:szCs w:val="32"/>
        </w:rPr>
        <w:t>%；</w:t>
      </w:r>
    </w:p>
    <w:p w14:paraId="7ABC9C50">
      <w:pPr>
        <w:widowControl/>
        <w:spacing w:line="560" w:lineRule="exact"/>
        <w:ind w:firstLine="640" w:firstLineChars="200"/>
        <w:jc w:val="left"/>
        <w:rPr>
          <w:rFonts w:ascii="仿宋_GB2312" w:hAnsi="仿宋" w:eastAsia="仿宋_GB2312"/>
          <w:sz w:val="32"/>
          <w:szCs w:val="32"/>
        </w:rPr>
      </w:pPr>
      <w:r>
        <w:rPr>
          <w:rFonts w:hint="eastAsia" w:ascii="仿宋_GB2312" w:hAnsi="仿宋" w:eastAsia="仿宋_GB2312"/>
          <w:sz w:val="32"/>
          <w:szCs w:val="32"/>
        </w:rPr>
        <w:t xml:space="preserve">上年结转收入 </w:t>
      </w:r>
      <w:r>
        <w:rPr>
          <w:rFonts w:ascii="仿宋_GB2312" w:hAnsi="仿宋" w:eastAsia="仿宋_GB2312"/>
          <w:sz w:val="32"/>
          <w:szCs w:val="32"/>
        </w:rPr>
        <w:t>0</w:t>
      </w:r>
      <w:r>
        <w:rPr>
          <w:rFonts w:hint="eastAsia" w:ascii="仿宋_GB2312" w:hAnsi="仿宋" w:eastAsia="仿宋_GB2312"/>
          <w:sz w:val="32"/>
          <w:szCs w:val="32"/>
        </w:rPr>
        <w:t>万元，占</w:t>
      </w:r>
      <w:r>
        <w:rPr>
          <w:rFonts w:ascii="仿宋_GB2312" w:hAnsi="仿宋" w:eastAsia="仿宋_GB2312"/>
          <w:sz w:val="32"/>
          <w:szCs w:val="32"/>
        </w:rPr>
        <w:t>0.00</w:t>
      </w:r>
      <w:r>
        <w:rPr>
          <w:rFonts w:hint="eastAsia" w:ascii="仿宋_GB2312" w:hAnsi="仿宋" w:eastAsia="仿宋_GB2312"/>
          <w:sz w:val="32"/>
          <w:szCs w:val="32"/>
        </w:rPr>
        <w:t>%；</w:t>
      </w:r>
    </w:p>
    <w:p w14:paraId="745038EB">
      <w:pPr>
        <w:widowControl/>
        <w:spacing w:line="560" w:lineRule="exact"/>
        <w:ind w:firstLine="640" w:firstLineChars="200"/>
        <w:jc w:val="left"/>
        <w:rPr>
          <w:rFonts w:hint="eastAsia" w:ascii="仿宋_GB2312" w:hAnsi="仿宋" w:eastAsia="仿宋_GB2312"/>
          <w:sz w:val="32"/>
          <w:szCs w:val="32"/>
        </w:rPr>
      </w:pPr>
      <w:r>
        <w:rPr>
          <w:rFonts w:hint="eastAsia" w:ascii="仿宋_GB2312" w:hAnsi="仿宋" w:eastAsia="仿宋_GB2312"/>
          <w:sz w:val="32"/>
          <w:szCs w:val="32"/>
        </w:rPr>
        <w:t xml:space="preserve">其他收入 </w:t>
      </w:r>
      <w:r>
        <w:rPr>
          <w:rFonts w:ascii="仿宋_GB2312" w:hAnsi="仿宋" w:eastAsia="仿宋_GB2312"/>
          <w:sz w:val="32"/>
          <w:szCs w:val="32"/>
        </w:rPr>
        <w:t>0</w:t>
      </w:r>
      <w:r>
        <w:rPr>
          <w:rFonts w:hint="eastAsia" w:ascii="仿宋_GB2312" w:hAnsi="仿宋" w:eastAsia="仿宋_GB2312"/>
          <w:sz w:val="32"/>
          <w:szCs w:val="32"/>
        </w:rPr>
        <w:t>万元，占</w:t>
      </w:r>
      <w:r>
        <w:rPr>
          <w:rFonts w:ascii="仿宋_GB2312" w:hAnsi="仿宋" w:eastAsia="仿宋_GB2312"/>
          <w:sz w:val="32"/>
          <w:szCs w:val="32"/>
        </w:rPr>
        <w:t>0.00</w:t>
      </w:r>
      <w:r>
        <w:rPr>
          <w:rFonts w:hint="eastAsia" w:ascii="仿宋_GB2312" w:hAnsi="仿宋" w:eastAsia="仿宋_GB2312"/>
          <w:sz w:val="32"/>
          <w:szCs w:val="32"/>
        </w:rPr>
        <w:t>%。</w:t>
      </w:r>
    </w:p>
    <w:p w14:paraId="2217B580">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（二）支出预算</w:t>
      </w:r>
    </w:p>
    <w:p w14:paraId="356FC486">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202</w:t>
      </w:r>
      <w:r>
        <w:rPr>
          <w:rFonts w:ascii="仿宋_GB2312" w:hAnsi="仿宋" w:eastAsia="仿宋_GB2312"/>
          <w:sz w:val="32"/>
          <w:szCs w:val="32"/>
        </w:rPr>
        <w:t>6</w:t>
      </w:r>
      <w:r>
        <w:rPr>
          <w:rFonts w:hint="eastAsia" w:ascii="仿宋_GB2312" w:hAnsi="仿宋" w:eastAsia="仿宋_GB2312"/>
          <w:sz w:val="32"/>
          <w:szCs w:val="32"/>
        </w:rPr>
        <w:t>年支出预算</w:t>
      </w:r>
      <w:r>
        <w:rPr>
          <w:rFonts w:ascii="仿宋_GB2312" w:hAnsi="仿宋" w:eastAsia="仿宋_GB2312"/>
          <w:sz w:val="32"/>
          <w:szCs w:val="32"/>
        </w:rPr>
        <w:t>484.07</w:t>
      </w:r>
      <w:r>
        <w:rPr>
          <w:rFonts w:hint="eastAsia" w:ascii="仿宋_GB2312" w:hAnsi="仿宋" w:eastAsia="仿宋_GB2312"/>
          <w:sz w:val="32"/>
          <w:szCs w:val="32"/>
        </w:rPr>
        <w:t>万元（详见部门/单位预算公开表3）。</w:t>
      </w:r>
      <w:r>
        <w:rPr>
          <w:rStyle w:val="20"/>
          <w:rFonts w:hint="default" w:hAnsi="仿宋"/>
        </w:rPr>
        <w:t>其中：基本支出</w:t>
      </w:r>
      <w:r>
        <w:rPr>
          <w:rStyle w:val="21"/>
          <w:rFonts w:hint="eastAsia" w:ascii="仿宋_GB2312" w:hAnsi="仿宋" w:eastAsia="仿宋_GB2312"/>
        </w:rPr>
        <w:t xml:space="preserve"> </w:t>
      </w:r>
      <w:r>
        <w:rPr>
          <w:rStyle w:val="21"/>
          <w:rFonts w:ascii="仿宋_GB2312" w:hAnsi="仿宋" w:eastAsia="仿宋_GB2312"/>
        </w:rPr>
        <w:t>484.07</w:t>
      </w:r>
      <w:r>
        <w:rPr>
          <w:rStyle w:val="20"/>
          <w:rFonts w:hint="default" w:hAnsi="仿宋"/>
        </w:rPr>
        <w:t>万元， 占</w:t>
      </w:r>
      <w:r>
        <w:rPr>
          <w:rStyle w:val="21"/>
          <w:rFonts w:ascii="仿宋_GB2312" w:hAnsi="仿宋" w:eastAsia="仿宋_GB2312"/>
        </w:rPr>
        <w:t>100</w:t>
      </w:r>
      <w:r>
        <w:rPr>
          <w:rStyle w:val="21"/>
          <w:rFonts w:hint="eastAsia" w:ascii="仿宋_GB2312" w:hAnsi="仿宋" w:eastAsia="仿宋_GB2312"/>
        </w:rPr>
        <w:t xml:space="preserve"> %</w:t>
      </w:r>
      <w:r>
        <w:rPr>
          <w:rStyle w:val="20"/>
          <w:rFonts w:hint="default" w:hAnsi="仿宋"/>
        </w:rPr>
        <w:t>； 项目支出0万元，占</w:t>
      </w:r>
      <w:r>
        <w:rPr>
          <w:rStyle w:val="21"/>
          <w:rFonts w:ascii="仿宋_GB2312" w:hAnsi="仿宋" w:eastAsia="仿宋_GB2312"/>
        </w:rPr>
        <w:t>0.00</w:t>
      </w:r>
      <w:r>
        <w:rPr>
          <w:rStyle w:val="21"/>
          <w:rFonts w:hint="eastAsia" w:ascii="仿宋_GB2312" w:hAnsi="仿宋" w:eastAsia="仿宋_GB2312"/>
        </w:rPr>
        <w:t>%</w:t>
      </w:r>
      <w:r>
        <w:rPr>
          <w:rStyle w:val="20"/>
          <w:rFonts w:hint="default" w:hAnsi="仿宋"/>
        </w:rPr>
        <w:t>； 上年结转</w:t>
      </w:r>
      <w:r>
        <w:rPr>
          <w:rStyle w:val="21"/>
          <w:rFonts w:hint="eastAsia" w:ascii="仿宋_GB2312" w:hAnsi="仿宋" w:eastAsia="仿宋_GB2312"/>
        </w:rPr>
        <w:t xml:space="preserve"> </w:t>
      </w:r>
      <w:r>
        <w:rPr>
          <w:rStyle w:val="21"/>
          <w:rFonts w:ascii="仿宋_GB2312" w:hAnsi="仿宋" w:eastAsia="仿宋_GB2312"/>
        </w:rPr>
        <w:t>0</w:t>
      </w:r>
      <w:r>
        <w:rPr>
          <w:rStyle w:val="20"/>
          <w:rFonts w:hint="default" w:hAnsi="仿宋"/>
        </w:rPr>
        <w:t>万元， 占</w:t>
      </w:r>
      <w:r>
        <w:rPr>
          <w:rStyle w:val="21"/>
          <w:rFonts w:ascii="仿宋_GB2312" w:hAnsi="仿宋" w:eastAsia="仿宋_GB2312"/>
        </w:rPr>
        <w:t>0.00</w:t>
      </w:r>
      <w:r>
        <w:rPr>
          <w:rStyle w:val="21"/>
          <w:rFonts w:hint="eastAsia" w:ascii="仿宋_GB2312" w:hAnsi="仿宋" w:eastAsia="仿宋_GB2312"/>
        </w:rPr>
        <w:t>%</w:t>
      </w:r>
      <w:r>
        <w:rPr>
          <w:rStyle w:val="20"/>
          <w:rFonts w:hint="default" w:hAnsi="仿宋"/>
        </w:rPr>
        <w:t>。</w:t>
      </w:r>
    </w:p>
    <w:p w14:paraId="7D7ADD50">
      <w:pPr>
        <w:adjustRightInd w:val="0"/>
        <w:snapToGrid w:val="0"/>
        <w:spacing w:line="640" w:lineRule="exact"/>
        <w:ind w:firstLine="640" w:firstLineChars="200"/>
        <w:contextualSpacing/>
        <w:rPr>
          <w:rFonts w:ascii="黑体" w:hAnsi="黑体" w:eastAsia="黑体" w:cs="宋体"/>
          <w:kern w:val="0"/>
          <w:sz w:val="32"/>
          <w:szCs w:val="32"/>
        </w:rPr>
      </w:pPr>
      <w:r>
        <w:rPr>
          <w:rFonts w:hint="eastAsia" w:ascii="黑体" w:hAnsi="黑体" w:eastAsia="黑体" w:cs="宋体"/>
          <w:kern w:val="0"/>
          <w:sz w:val="32"/>
          <w:szCs w:val="32"/>
        </w:rPr>
        <w:t>四、一般公共预算情况</w:t>
      </w:r>
    </w:p>
    <w:p w14:paraId="0F3C656B">
      <w:pPr>
        <w:widowControl/>
        <w:adjustRightInd w:val="0"/>
        <w:snapToGrid w:val="0"/>
        <w:spacing w:line="640" w:lineRule="exact"/>
        <w:ind w:firstLine="640" w:firstLineChars="200"/>
        <w:contextualSpacing/>
        <w:jc w:val="left"/>
        <w:rPr>
          <w:rFonts w:ascii="仿宋_GB2312" w:hAnsi="仿宋" w:eastAsia="仿宋_GB2312"/>
          <w:sz w:val="32"/>
          <w:szCs w:val="32"/>
        </w:rPr>
      </w:pPr>
      <w:r>
        <w:rPr>
          <w:rStyle w:val="21"/>
          <w:rFonts w:hint="eastAsia" w:ascii="仿宋_GB2312" w:hAnsi="仿宋" w:eastAsia="仿宋_GB2312"/>
        </w:rPr>
        <w:t>202</w:t>
      </w:r>
      <w:r>
        <w:rPr>
          <w:rStyle w:val="21"/>
          <w:rFonts w:ascii="仿宋_GB2312" w:hAnsi="仿宋" w:eastAsia="仿宋_GB2312"/>
        </w:rPr>
        <w:t>6</w:t>
      </w:r>
      <w:r>
        <w:rPr>
          <w:rStyle w:val="20"/>
          <w:rFonts w:hint="default" w:hAnsi="仿宋"/>
        </w:rPr>
        <w:t>年一般公共预算当年支出</w:t>
      </w:r>
      <w:r>
        <w:rPr>
          <w:rStyle w:val="21"/>
          <w:rFonts w:ascii="仿宋_GB2312" w:hAnsi="仿宋" w:eastAsia="仿宋_GB2312"/>
        </w:rPr>
        <w:t>484.07</w:t>
      </w:r>
      <w:r>
        <w:rPr>
          <w:rStyle w:val="20"/>
          <w:rFonts w:hint="default" w:hAnsi="仿宋"/>
        </w:rPr>
        <w:t>万元，包括：一般公共服务支出</w:t>
      </w:r>
      <w:r>
        <w:rPr>
          <w:rStyle w:val="21"/>
          <w:rFonts w:hint="eastAsia" w:ascii="仿宋_GB2312" w:hAnsi="仿宋" w:eastAsia="仿宋_GB2312"/>
        </w:rPr>
        <w:t xml:space="preserve"> </w:t>
      </w:r>
      <w:r>
        <w:rPr>
          <w:rStyle w:val="21"/>
          <w:rFonts w:ascii="仿宋_GB2312" w:hAnsi="仿宋" w:eastAsia="仿宋_GB2312"/>
        </w:rPr>
        <w:t>0</w:t>
      </w:r>
      <w:r>
        <w:rPr>
          <w:rStyle w:val="20"/>
          <w:rFonts w:hint="default" w:hAnsi="仿宋"/>
        </w:rPr>
        <w:t>万元、公共安全支出</w:t>
      </w:r>
      <w:r>
        <w:rPr>
          <w:rStyle w:val="21"/>
          <w:rFonts w:ascii="仿宋_GB2312" w:hAnsi="仿宋" w:eastAsia="仿宋_GB2312"/>
        </w:rPr>
        <w:t>0</w:t>
      </w:r>
      <w:r>
        <w:rPr>
          <w:rStyle w:val="20"/>
          <w:rFonts w:hint="default" w:hAnsi="仿宋"/>
        </w:rPr>
        <w:t>万元、教育支出</w:t>
      </w:r>
      <w:r>
        <w:rPr>
          <w:rStyle w:val="21"/>
          <w:rFonts w:hint="eastAsia" w:ascii="仿宋_GB2312" w:hAnsi="仿宋" w:eastAsia="仿宋_GB2312"/>
          <w:lang w:val="en-US" w:eastAsia="zh-CN"/>
        </w:rPr>
        <w:t>350.51</w:t>
      </w:r>
      <w:r>
        <w:rPr>
          <w:rStyle w:val="20"/>
          <w:rFonts w:hint="default" w:hAnsi="仿宋"/>
        </w:rPr>
        <w:t>万元、科学技术支出</w:t>
      </w:r>
      <w:r>
        <w:rPr>
          <w:rStyle w:val="21"/>
          <w:rFonts w:hint="eastAsia" w:ascii="仿宋_GB2312" w:hAnsi="仿宋" w:eastAsia="仿宋_GB2312"/>
        </w:rPr>
        <w:t xml:space="preserve"> </w:t>
      </w:r>
      <w:r>
        <w:rPr>
          <w:rStyle w:val="21"/>
          <w:rFonts w:ascii="仿宋_GB2312" w:hAnsi="仿宋" w:eastAsia="仿宋_GB2312"/>
        </w:rPr>
        <w:t>0</w:t>
      </w:r>
      <w:r>
        <w:rPr>
          <w:rStyle w:val="20"/>
          <w:rFonts w:hint="default" w:hAnsi="仿宋"/>
        </w:rPr>
        <w:t>万元、社会保障和就业支出</w:t>
      </w:r>
      <w:r>
        <w:rPr>
          <w:rStyle w:val="21"/>
          <w:rFonts w:hint="eastAsia" w:ascii="仿宋_GB2312" w:hAnsi="仿宋" w:eastAsia="仿宋_GB2312"/>
          <w:lang w:val="en-US" w:eastAsia="zh-CN"/>
        </w:rPr>
        <w:t>133.56</w:t>
      </w:r>
      <w:r>
        <w:rPr>
          <w:rStyle w:val="20"/>
          <w:rFonts w:hint="default" w:hAnsi="仿宋"/>
        </w:rPr>
        <w:t>万元、其他支出</w:t>
      </w:r>
      <w:r>
        <w:rPr>
          <w:rStyle w:val="21"/>
          <w:rFonts w:hint="eastAsia" w:ascii="仿宋_GB2312" w:hAnsi="仿宋" w:eastAsia="仿宋_GB2312"/>
        </w:rPr>
        <w:t xml:space="preserve"> </w:t>
      </w:r>
      <w:r>
        <w:rPr>
          <w:rStyle w:val="21"/>
          <w:rFonts w:ascii="仿宋_GB2312" w:hAnsi="仿宋" w:eastAsia="仿宋_GB2312"/>
        </w:rPr>
        <w:t>0</w:t>
      </w:r>
      <w:r>
        <w:rPr>
          <w:rStyle w:val="20"/>
          <w:rFonts w:hint="default" w:hAnsi="仿宋"/>
        </w:rPr>
        <w:t>万元。</w:t>
      </w:r>
      <w:r>
        <w:rPr>
          <w:rFonts w:hint="eastAsia" w:ascii="仿宋_GB2312" w:hAnsi="仿宋" w:eastAsia="仿宋_GB2312"/>
          <w:sz w:val="32"/>
          <w:szCs w:val="32"/>
        </w:rPr>
        <w:t>具体安排情况如下</w:t>
      </w:r>
      <w:r>
        <w:rPr>
          <w:rFonts w:hint="eastAsia" w:ascii="仿宋_GB2312" w:hAnsi="微软雅黑" w:eastAsia="仿宋_GB2312"/>
          <w:sz w:val="32"/>
          <w:szCs w:val="32"/>
        </w:rPr>
        <w:t>（详见部门（单位）预算公开表4,5,6,7）</w:t>
      </w:r>
      <w:r>
        <w:rPr>
          <w:rFonts w:hint="eastAsia" w:ascii="仿宋_GB2312" w:hAnsi="仿宋" w:eastAsia="仿宋_GB2312"/>
          <w:sz w:val="32"/>
          <w:szCs w:val="32"/>
        </w:rPr>
        <w:t>：</w:t>
      </w:r>
    </w:p>
    <w:p w14:paraId="59725234">
      <w:pPr>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（一）基本支出</w:t>
      </w:r>
    </w:p>
    <w:p w14:paraId="36F18A45">
      <w:pPr>
        <w:widowControl/>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202</w:t>
      </w:r>
      <w:r>
        <w:rPr>
          <w:rFonts w:ascii="仿宋_GB2312" w:hAnsi="仿宋" w:eastAsia="仿宋_GB2312"/>
          <w:sz w:val="32"/>
          <w:szCs w:val="32"/>
        </w:rPr>
        <w:t>6</w:t>
      </w:r>
      <w:r>
        <w:rPr>
          <w:rFonts w:hint="eastAsia" w:ascii="仿宋_GB2312" w:hAnsi="仿宋" w:eastAsia="仿宋_GB2312"/>
          <w:sz w:val="32"/>
          <w:szCs w:val="32"/>
        </w:rPr>
        <w:t>年基本支出</w:t>
      </w:r>
      <w:r>
        <w:rPr>
          <w:rFonts w:ascii="仿宋_GB2312" w:hAnsi="仿宋" w:eastAsia="仿宋_GB2312"/>
          <w:sz w:val="32"/>
          <w:szCs w:val="32"/>
        </w:rPr>
        <w:t>484.07</w:t>
      </w:r>
      <w:r>
        <w:rPr>
          <w:rFonts w:hint="eastAsia" w:ascii="仿宋_GB2312" w:hAnsi="仿宋" w:eastAsia="仿宋_GB2312"/>
          <w:sz w:val="32"/>
          <w:szCs w:val="32"/>
        </w:rPr>
        <w:t>万元，比202</w:t>
      </w:r>
      <w:r>
        <w:rPr>
          <w:rFonts w:ascii="仿宋_GB2312" w:hAnsi="仿宋" w:eastAsia="仿宋_GB2312"/>
          <w:sz w:val="32"/>
          <w:szCs w:val="32"/>
        </w:rPr>
        <w:t>5</w:t>
      </w:r>
      <w:r>
        <w:rPr>
          <w:rFonts w:hint="eastAsia" w:ascii="仿宋_GB2312" w:hAnsi="仿宋" w:eastAsia="仿宋_GB2312"/>
          <w:sz w:val="32"/>
          <w:szCs w:val="32"/>
        </w:rPr>
        <w:t>年预算减少</w:t>
      </w:r>
      <w:r>
        <w:rPr>
          <w:rFonts w:ascii="仿宋_GB2312" w:hAnsi="仿宋" w:eastAsia="仿宋_GB2312"/>
          <w:sz w:val="32"/>
          <w:szCs w:val="32"/>
        </w:rPr>
        <w:t>7.65</w:t>
      </w:r>
      <w:r>
        <w:rPr>
          <w:rFonts w:hint="eastAsia" w:ascii="仿宋_GB2312" w:hAnsi="仿宋" w:eastAsia="仿宋_GB2312"/>
          <w:sz w:val="32"/>
          <w:szCs w:val="32"/>
        </w:rPr>
        <w:t>万元，下降1</w:t>
      </w:r>
      <w:r>
        <w:rPr>
          <w:rFonts w:ascii="仿宋_GB2312" w:hAnsi="仿宋" w:eastAsia="仿宋_GB2312"/>
          <w:sz w:val="32"/>
          <w:szCs w:val="32"/>
        </w:rPr>
        <w:t>.55</w:t>
      </w:r>
      <w:r>
        <w:rPr>
          <w:rFonts w:hint="eastAsia" w:ascii="仿宋_GB2312" w:hAnsi="仿宋" w:eastAsia="仿宋_GB2312"/>
          <w:sz w:val="32"/>
          <w:szCs w:val="32"/>
        </w:rPr>
        <w:t xml:space="preserve"> %，下降的主要原因是在职人员数量减少导致工资福利支出预算减少。</w:t>
      </w:r>
    </w:p>
    <w:p w14:paraId="70883497">
      <w:pPr>
        <w:widowControl/>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其中：人员经费支出</w:t>
      </w:r>
      <w:r>
        <w:rPr>
          <w:rFonts w:ascii="仿宋_GB2312" w:hAnsi="仿宋" w:eastAsia="仿宋_GB2312"/>
          <w:sz w:val="32"/>
          <w:szCs w:val="32"/>
        </w:rPr>
        <w:t>478.45</w:t>
      </w:r>
      <w:r>
        <w:rPr>
          <w:rFonts w:hint="eastAsia" w:ascii="仿宋_GB2312" w:hAnsi="仿宋" w:eastAsia="仿宋_GB2312"/>
          <w:sz w:val="32"/>
          <w:szCs w:val="32"/>
        </w:rPr>
        <w:t>万元，主要包括：基本工资、津贴补贴、奖金、伙食补助费、绩效工资、机关事业单位基本养老保险缴费、职业年金缴费、职工基本医疗保险缴费、公务员医疗补助缴费、其他社会保障缴费、住房公积金、医疗费、其他工资福利支出、离休费、退休费、退职（役）费、抚恤金、生活补助、救济费、医疗费补助、助学金、奖励金、个人农业生产补贴、代缴社会保险费 、其他对个人和家庭的补助等。</w:t>
      </w:r>
    </w:p>
    <w:p w14:paraId="5167C9CF">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公用经费支出</w:t>
      </w:r>
      <w:r>
        <w:rPr>
          <w:rFonts w:ascii="仿宋_GB2312" w:hAnsi="仿宋" w:eastAsia="仿宋_GB2312"/>
          <w:sz w:val="32"/>
          <w:szCs w:val="32"/>
        </w:rPr>
        <w:t>5.62</w:t>
      </w:r>
      <w:r>
        <w:rPr>
          <w:rFonts w:hint="eastAsia" w:ascii="仿宋_GB2312" w:hAnsi="仿宋" w:eastAsia="仿宋_GB2312"/>
          <w:sz w:val="32"/>
          <w:szCs w:val="32"/>
        </w:rPr>
        <w:t>万元，主要包括：办公费、印刷费、咨询费、手续费、水费、电费、邮电费、取暖费、物业管理费、差旅费、因公出国（境）费、维修（护）费、租赁费、会议费、培训费、公务接待费、专用材料费、被装购置费、专用燃料费、劳务费、委托业务费、工会经费、福利费、公务用车运行维护费、其他交通费用、税金及附加费用、其他商品和服务支出、办公设备购置、专用设备购置等。</w:t>
      </w:r>
    </w:p>
    <w:p w14:paraId="47B79818">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（二）项目支出</w:t>
      </w:r>
    </w:p>
    <w:p w14:paraId="3CF723DC">
      <w:pPr>
        <w:adjustRightInd w:val="0"/>
        <w:snapToGrid w:val="0"/>
        <w:spacing w:line="640" w:lineRule="exact"/>
        <w:ind w:firstLine="640" w:firstLineChars="200"/>
        <w:contextualSpacing/>
        <w:rPr>
          <w:rFonts w:hint="eastAsia" w:ascii="仿宋_GB2312" w:hAnsi="仿宋" w:eastAsia="仿宋_GB2312"/>
          <w:sz w:val="32"/>
          <w:szCs w:val="32"/>
        </w:rPr>
      </w:pPr>
      <w:r>
        <w:rPr>
          <w:rFonts w:hint="eastAsia" w:ascii="仿宋_GB2312" w:hAnsi="仿宋" w:eastAsia="仿宋_GB2312"/>
          <w:sz w:val="32"/>
          <w:szCs w:val="32"/>
        </w:rPr>
        <w:t>2026年一般公共预算财政拨款项目支出预算0.00万元，比2025年预算增加（减少）0.00万元，增长（减少）0.00%。</w:t>
      </w:r>
    </w:p>
    <w:p w14:paraId="70278FF4">
      <w:pPr>
        <w:adjustRightInd w:val="0"/>
        <w:snapToGrid w:val="0"/>
        <w:spacing w:line="640" w:lineRule="exact"/>
        <w:ind w:firstLine="640" w:firstLineChars="200"/>
        <w:contextualSpacing/>
        <w:rPr>
          <w:rFonts w:hint="eastAsia" w:ascii="仿宋_GB2312" w:hAnsi="仿宋" w:eastAsia="仿宋_GB2312"/>
          <w:sz w:val="32"/>
          <w:szCs w:val="32"/>
        </w:rPr>
      </w:pPr>
      <w:r>
        <w:rPr>
          <w:rFonts w:hint="eastAsia" w:ascii="仿宋_GB2312" w:hAnsi="仿宋" w:eastAsia="仿宋_GB2312"/>
          <w:sz w:val="32"/>
          <w:szCs w:val="32"/>
        </w:rPr>
        <w:t>刚性支出项目0个。</w:t>
      </w:r>
    </w:p>
    <w:p w14:paraId="47BB9AA2">
      <w:pPr>
        <w:adjustRightInd w:val="0"/>
        <w:snapToGrid w:val="0"/>
        <w:spacing w:line="640" w:lineRule="exact"/>
        <w:ind w:firstLine="640" w:firstLineChars="200"/>
        <w:contextualSpacing/>
        <w:rPr>
          <w:rFonts w:ascii="仿宋_GB2312" w:hAnsi="仿宋" w:eastAsia="仿宋_GB2312"/>
          <w:sz w:val="32"/>
          <w:szCs w:val="32"/>
        </w:rPr>
      </w:pPr>
      <w:r>
        <w:rPr>
          <w:rFonts w:hint="eastAsia" w:ascii="仿宋_GB2312" w:hAnsi="仿宋" w:eastAsia="仿宋_GB2312"/>
          <w:sz w:val="32"/>
          <w:szCs w:val="32"/>
        </w:rPr>
        <w:t>部门专项0个。</w:t>
      </w:r>
    </w:p>
    <w:p w14:paraId="2CA5B858">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（三）支出功能分类说明</w:t>
      </w:r>
    </w:p>
    <w:p w14:paraId="578B324E">
      <w:pPr>
        <w:adjustRightInd w:val="0"/>
        <w:snapToGrid w:val="0"/>
        <w:spacing w:line="640" w:lineRule="exact"/>
        <w:ind w:firstLine="640" w:firstLineChars="200"/>
        <w:contextualSpacing/>
        <w:rPr>
          <w:rFonts w:hint="eastAsia" w:ascii="仿宋_GB2312" w:hAnsi="TimesNewRomanPS-BoldMT" w:eastAsia="仿宋_GB2312"/>
          <w:bCs/>
          <w:color w:val="000000"/>
          <w:sz w:val="32"/>
          <w:szCs w:val="32"/>
        </w:rPr>
      </w:pPr>
      <w:r>
        <w:rPr>
          <w:rFonts w:hint="eastAsia" w:ascii="仿宋_GB2312" w:hAnsi="TimesNewRomanPS-BoldMT" w:eastAsia="仿宋_GB2312"/>
          <w:bCs/>
          <w:color w:val="000000"/>
          <w:sz w:val="32"/>
          <w:szCs w:val="32"/>
        </w:rPr>
        <w:t>1.教育支出（ 类）普通教育（ 款） 初中教育（ 项）202</w:t>
      </w:r>
      <w:r>
        <w:rPr>
          <w:rFonts w:ascii="仿宋_GB2312" w:hAnsi="TimesNewRomanPS-BoldMT" w:eastAsia="仿宋_GB2312"/>
          <w:bCs/>
          <w:color w:val="000000"/>
          <w:sz w:val="32"/>
          <w:szCs w:val="32"/>
        </w:rPr>
        <w:t>6</w:t>
      </w:r>
      <w:r>
        <w:rPr>
          <w:rFonts w:hint="eastAsia" w:ascii="仿宋_GB2312" w:hAnsi="TimesNewRomanPS-BoldMT" w:eastAsia="仿宋_GB2312"/>
          <w:bCs/>
          <w:color w:val="000000"/>
          <w:sz w:val="32"/>
          <w:szCs w:val="32"/>
        </w:rPr>
        <w:t>年预算数为</w:t>
      </w:r>
      <w:r>
        <w:rPr>
          <w:rFonts w:ascii="仿宋_GB2312" w:hAnsi="TimesNewRomanPS-BoldMT" w:eastAsia="仿宋_GB2312"/>
          <w:bCs/>
          <w:color w:val="000000"/>
          <w:sz w:val="32"/>
          <w:szCs w:val="32"/>
        </w:rPr>
        <w:t>35</w:t>
      </w:r>
      <w:r>
        <w:rPr>
          <w:rFonts w:hint="eastAsia" w:ascii="仿宋_GB2312" w:hAnsi="TimesNewRomanPS-BoldMT" w:eastAsia="仿宋_GB2312"/>
          <w:bCs/>
          <w:color w:val="000000"/>
          <w:sz w:val="32"/>
          <w:szCs w:val="32"/>
          <w:lang w:val="en-US" w:eastAsia="zh-CN"/>
        </w:rPr>
        <w:t>0</w:t>
      </w:r>
      <w:r>
        <w:rPr>
          <w:rFonts w:ascii="仿宋_GB2312" w:hAnsi="TimesNewRomanPS-BoldMT" w:eastAsia="仿宋_GB2312"/>
          <w:bCs/>
          <w:color w:val="000000"/>
          <w:sz w:val="32"/>
          <w:szCs w:val="32"/>
        </w:rPr>
        <w:t>.</w:t>
      </w:r>
      <w:r>
        <w:rPr>
          <w:rFonts w:hint="eastAsia" w:ascii="仿宋_GB2312" w:hAnsi="TimesNewRomanPS-BoldMT" w:eastAsia="仿宋_GB2312"/>
          <w:bCs/>
          <w:color w:val="000000"/>
          <w:sz w:val="32"/>
          <w:szCs w:val="32"/>
          <w:lang w:val="en-US" w:eastAsia="zh-CN"/>
        </w:rPr>
        <w:t>51</w:t>
      </w:r>
      <w:r>
        <w:rPr>
          <w:rFonts w:hint="eastAsia" w:ascii="仿宋_GB2312" w:hAnsi="TimesNewRomanPS-BoldMT" w:eastAsia="仿宋_GB2312"/>
          <w:bCs/>
          <w:color w:val="000000"/>
          <w:sz w:val="32"/>
          <w:szCs w:val="32"/>
        </w:rPr>
        <w:t>万元，比 202</w:t>
      </w:r>
      <w:r>
        <w:rPr>
          <w:rFonts w:ascii="仿宋_GB2312" w:hAnsi="TimesNewRomanPS-BoldMT" w:eastAsia="仿宋_GB2312"/>
          <w:bCs/>
          <w:color w:val="000000"/>
          <w:sz w:val="32"/>
          <w:szCs w:val="32"/>
        </w:rPr>
        <w:t>5</w:t>
      </w:r>
      <w:r>
        <w:rPr>
          <w:rFonts w:hint="eastAsia" w:ascii="仿宋_GB2312" w:hAnsi="TimesNewRomanPS-BoldMT" w:eastAsia="仿宋_GB2312"/>
          <w:bCs/>
          <w:color w:val="000000"/>
          <w:sz w:val="32"/>
          <w:szCs w:val="32"/>
        </w:rPr>
        <w:t>年预算减少</w:t>
      </w:r>
      <w:r>
        <w:rPr>
          <w:rFonts w:hint="eastAsia" w:ascii="仿宋_GB2312" w:hAnsi="TimesNewRomanPS-BoldMT" w:eastAsia="仿宋_GB2312"/>
          <w:bCs/>
          <w:color w:val="000000"/>
          <w:sz w:val="32"/>
          <w:szCs w:val="32"/>
          <w:lang w:val="en-US" w:eastAsia="zh-CN"/>
        </w:rPr>
        <w:t>8.05</w:t>
      </w:r>
      <w:r>
        <w:rPr>
          <w:rFonts w:hint="eastAsia" w:ascii="仿宋_GB2312" w:hAnsi="TimesNewRomanPS-BoldMT" w:eastAsia="仿宋_GB2312"/>
          <w:bCs/>
          <w:color w:val="000000"/>
          <w:sz w:val="32"/>
          <w:szCs w:val="32"/>
        </w:rPr>
        <w:t>万元，下降</w:t>
      </w:r>
      <w:r>
        <w:rPr>
          <w:rFonts w:hint="eastAsia" w:ascii="仿宋_GB2312" w:hAnsi="TimesNewRomanPS-BoldMT" w:eastAsia="仿宋_GB2312"/>
          <w:bCs/>
          <w:color w:val="000000"/>
          <w:sz w:val="32"/>
          <w:szCs w:val="32"/>
          <w:lang w:val="en-US" w:eastAsia="zh-CN"/>
        </w:rPr>
        <w:t>2.24</w:t>
      </w:r>
      <w:r>
        <w:rPr>
          <w:rFonts w:hint="eastAsia" w:ascii="仿宋_GB2312" w:hAnsi="TimesNewRomanPS-BoldMT" w:eastAsia="仿宋_GB2312"/>
          <w:bCs/>
          <w:color w:val="000000"/>
          <w:sz w:val="32"/>
          <w:szCs w:val="32"/>
        </w:rPr>
        <w:t>%， 主要原因在职人员数量减少导致工资福利支出预算减少。</w:t>
      </w:r>
    </w:p>
    <w:p w14:paraId="1215CC28">
      <w:pPr>
        <w:adjustRightInd w:val="0"/>
        <w:snapToGrid w:val="0"/>
        <w:spacing w:line="640" w:lineRule="exact"/>
        <w:ind w:firstLine="640" w:firstLineChars="200"/>
        <w:contextualSpacing/>
        <w:rPr>
          <w:rFonts w:hint="eastAsia" w:ascii="仿宋_GB2312" w:hAnsi="TimesNewRomanPS-BoldMT" w:eastAsia="仿宋_GB2312"/>
          <w:bCs/>
          <w:color w:val="000000"/>
          <w:sz w:val="32"/>
          <w:szCs w:val="32"/>
          <w:lang w:eastAsia="zh-CN"/>
        </w:rPr>
      </w:pPr>
      <w:r>
        <w:rPr>
          <w:rFonts w:hint="eastAsia" w:ascii="仿宋_GB2312" w:hAnsi="TimesNewRomanPS-BoldMT" w:eastAsia="仿宋_GB2312"/>
          <w:bCs/>
          <w:color w:val="000000"/>
          <w:sz w:val="32"/>
          <w:szCs w:val="32"/>
        </w:rPr>
        <w:t>2.社会保障和就业支出（ 类）行政事业单位养老支出（ 款）机关事业单位基本养老保险缴费支出、机关事业单位职业年金缴费支出（ 项）202</w:t>
      </w:r>
      <w:r>
        <w:rPr>
          <w:rFonts w:ascii="仿宋_GB2312" w:hAnsi="TimesNewRomanPS-BoldMT" w:eastAsia="仿宋_GB2312"/>
          <w:bCs/>
          <w:color w:val="000000"/>
          <w:sz w:val="32"/>
          <w:szCs w:val="32"/>
        </w:rPr>
        <w:t>6</w:t>
      </w:r>
      <w:r>
        <w:rPr>
          <w:rFonts w:hint="eastAsia" w:ascii="仿宋_GB2312" w:hAnsi="TimesNewRomanPS-BoldMT" w:eastAsia="仿宋_GB2312"/>
          <w:bCs/>
          <w:color w:val="000000"/>
          <w:sz w:val="32"/>
          <w:szCs w:val="32"/>
        </w:rPr>
        <w:t xml:space="preserve"> 年预算数为</w:t>
      </w:r>
      <w:r>
        <w:rPr>
          <w:rFonts w:ascii="仿宋_GB2312" w:hAnsi="TimesNewRomanPS-BoldMT" w:eastAsia="仿宋_GB2312"/>
          <w:bCs/>
          <w:color w:val="000000"/>
          <w:sz w:val="32"/>
          <w:szCs w:val="32"/>
        </w:rPr>
        <w:t>7</w:t>
      </w:r>
      <w:r>
        <w:rPr>
          <w:rFonts w:hint="eastAsia" w:ascii="仿宋_GB2312" w:hAnsi="TimesNewRomanPS-BoldMT" w:eastAsia="仿宋_GB2312"/>
          <w:bCs/>
          <w:color w:val="000000"/>
          <w:sz w:val="32"/>
          <w:szCs w:val="32"/>
          <w:lang w:val="en-US" w:eastAsia="zh-CN"/>
        </w:rPr>
        <w:t>4</w:t>
      </w:r>
      <w:r>
        <w:rPr>
          <w:rFonts w:ascii="仿宋_GB2312" w:hAnsi="TimesNewRomanPS-BoldMT" w:eastAsia="仿宋_GB2312"/>
          <w:bCs/>
          <w:color w:val="000000"/>
          <w:sz w:val="32"/>
          <w:szCs w:val="32"/>
        </w:rPr>
        <w:t>.</w:t>
      </w:r>
      <w:r>
        <w:rPr>
          <w:rFonts w:hint="eastAsia" w:ascii="仿宋_GB2312" w:hAnsi="TimesNewRomanPS-BoldMT" w:eastAsia="仿宋_GB2312"/>
          <w:bCs/>
          <w:color w:val="000000"/>
          <w:sz w:val="32"/>
          <w:szCs w:val="32"/>
          <w:lang w:val="en-US" w:eastAsia="zh-CN"/>
        </w:rPr>
        <w:t>44</w:t>
      </w:r>
      <w:r>
        <w:rPr>
          <w:rFonts w:hint="eastAsia" w:ascii="仿宋_GB2312" w:hAnsi="TimesNewRomanPS-BoldMT" w:eastAsia="仿宋_GB2312"/>
          <w:bCs/>
          <w:color w:val="000000"/>
          <w:sz w:val="32"/>
          <w:szCs w:val="32"/>
        </w:rPr>
        <w:t>万元，比 202</w:t>
      </w:r>
      <w:r>
        <w:rPr>
          <w:rFonts w:ascii="仿宋_GB2312" w:hAnsi="TimesNewRomanPS-BoldMT" w:eastAsia="仿宋_GB2312"/>
          <w:bCs/>
          <w:color w:val="000000"/>
          <w:sz w:val="32"/>
          <w:szCs w:val="32"/>
        </w:rPr>
        <w:t>5</w:t>
      </w:r>
      <w:r>
        <w:rPr>
          <w:rFonts w:hint="eastAsia" w:ascii="仿宋_GB2312" w:hAnsi="TimesNewRomanPS-BoldMT" w:eastAsia="仿宋_GB2312"/>
          <w:bCs/>
          <w:color w:val="000000"/>
          <w:sz w:val="32"/>
          <w:szCs w:val="32"/>
        </w:rPr>
        <w:t>年预算</w:t>
      </w:r>
      <w:r>
        <w:rPr>
          <w:rFonts w:hint="eastAsia" w:ascii="仿宋_GB2312" w:hAnsi="TimesNewRomanPS-BoldMT" w:eastAsia="仿宋_GB2312"/>
          <w:bCs/>
          <w:color w:val="000000"/>
          <w:sz w:val="32"/>
          <w:szCs w:val="32"/>
          <w:lang w:eastAsia="zh-CN"/>
        </w:rPr>
        <w:t>增加</w:t>
      </w:r>
      <w:r>
        <w:rPr>
          <w:rFonts w:hint="eastAsia" w:ascii="仿宋_GB2312" w:hAnsi="TimesNewRomanPS-BoldMT" w:eastAsia="仿宋_GB2312"/>
          <w:bCs/>
          <w:color w:val="000000"/>
          <w:sz w:val="32"/>
          <w:szCs w:val="32"/>
          <w:lang w:val="en-US" w:eastAsia="zh-CN"/>
        </w:rPr>
        <w:t>0.24</w:t>
      </w:r>
      <w:r>
        <w:rPr>
          <w:rFonts w:hint="eastAsia" w:ascii="仿宋_GB2312" w:hAnsi="TimesNewRomanPS-BoldMT" w:eastAsia="仿宋_GB2312"/>
          <w:bCs/>
          <w:color w:val="000000"/>
          <w:sz w:val="32"/>
          <w:szCs w:val="32"/>
        </w:rPr>
        <w:t xml:space="preserve">万元， </w:t>
      </w:r>
      <w:r>
        <w:rPr>
          <w:rFonts w:hint="eastAsia" w:ascii="仿宋_GB2312" w:hAnsi="TimesNewRomanPS-BoldMT" w:eastAsia="仿宋_GB2312"/>
          <w:bCs/>
          <w:color w:val="000000"/>
          <w:sz w:val="32"/>
          <w:szCs w:val="32"/>
          <w:lang w:eastAsia="zh-CN"/>
        </w:rPr>
        <w:t>增加</w:t>
      </w:r>
      <w:r>
        <w:rPr>
          <w:rFonts w:hint="eastAsia" w:ascii="仿宋_GB2312" w:hAnsi="TimesNewRomanPS-BoldMT" w:eastAsia="仿宋_GB2312"/>
          <w:bCs/>
          <w:color w:val="000000"/>
          <w:sz w:val="32"/>
          <w:szCs w:val="32"/>
          <w:lang w:val="en-US" w:eastAsia="zh-CN"/>
        </w:rPr>
        <w:t>0.32</w:t>
      </w:r>
      <w:r>
        <w:rPr>
          <w:rFonts w:hint="eastAsia" w:ascii="仿宋_GB2312" w:hAnsi="TimesNewRomanPS-BoldMT" w:eastAsia="仿宋_GB2312"/>
          <w:bCs/>
          <w:color w:val="000000"/>
          <w:sz w:val="32"/>
          <w:szCs w:val="32"/>
        </w:rPr>
        <w:t>%，主要原因是2026年在职人员工资基数上调</w:t>
      </w:r>
      <w:r>
        <w:rPr>
          <w:rFonts w:hint="eastAsia" w:ascii="仿宋_GB2312" w:hAnsi="TimesNewRomanPS-BoldMT" w:eastAsia="仿宋_GB2312"/>
          <w:bCs/>
          <w:color w:val="000000"/>
          <w:sz w:val="32"/>
          <w:szCs w:val="32"/>
          <w:lang w:eastAsia="zh-CN"/>
        </w:rPr>
        <w:t>。</w:t>
      </w:r>
      <w:bookmarkStart w:id="0" w:name="_GoBack"/>
      <w:bookmarkEnd w:id="0"/>
    </w:p>
    <w:p w14:paraId="6945CAA2">
      <w:pPr>
        <w:adjustRightInd w:val="0"/>
        <w:snapToGrid w:val="0"/>
        <w:spacing w:line="640" w:lineRule="exact"/>
        <w:ind w:firstLine="640" w:firstLineChars="200"/>
        <w:contextualSpacing/>
        <w:rPr>
          <w:rFonts w:hint="eastAsia" w:ascii="仿宋_GB2312" w:hAnsi="TimesNewRomanPS-BoldMT" w:eastAsia="仿宋_GB2312"/>
          <w:bCs/>
          <w:color w:val="000000"/>
          <w:sz w:val="32"/>
          <w:szCs w:val="32"/>
        </w:rPr>
      </w:pPr>
      <w:r>
        <w:rPr>
          <w:rFonts w:hint="eastAsia" w:ascii="仿宋_GB2312" w:hAnsi="TimesNewRomanPS-BoldMT" w:eastAsia="仿宋_GB2312"/>
          <w:bCs/>
          <w:color w:val="000000"/>
          <w:sz w:val="32"/>
          <w:szCs w:val="32"/>
        </w:rPr>
        <w:t>3.卫生健康支出（ 类）行政事业单位医疗（ 款）事业单位医疗（ 项）202</w:t>
      </w:r>
      <w:r>
        <w:rPr>
          <w:rFonts w:ascii="仿宋_GB2312" w:hAnsi="TimesNewRomanPS-BoldMT" w:eastAsia="仿宋_GB2312"/>
          <w:bCs/>
          <w:color w:val="000000"/>
          <w:sz w:val="32"/>
          <w:szCs w:val="32"/>
        </w:rPr>
        <w:t>6</w:t>
      </w:r>
      <w:r>
        <w:rPr>
          <w:rFonts w:hint="eastAsia" w:ascii="仿宋_GB2312" w:hAnsi="TimesNewRomanPS-BoldMT" w:eastAsia="仿宋_GB2312"/>
          <w:bCs/>
          <w:color w:val="000000"/>
          <w:sz w:val="32"/>
          <w:szCs w:val="32"/>
        </w:rPr>
        <w:t>年预算数为</w:t>
      </w:r>
      <w:r>
        <w:rPr>
          <w:rFonts w:ascii="仿宋_GB2312" w:hAnsi="TimesNewRomanPS-BoldMT" w:eastAsia="仿宋_GB2312"/>
          <w:bCs/>
          <w:color w:val="000000"/>
          <w:sz w:val="32"/>
          <w:szCs w:val="32"/>
        </w:rPr>
        <w:t>24.52</w:t>
      </w:r>
      <w:r>
        <w:rPr>
          <w:rFonts w:hint="eastAsia" w:ascii="仿宋_GB2312" w:hAnsi="TimesNewRomanPS-BoldMT" w:eastAsia="仿宋_GB2312"/>
          <w:bCs/>
          <w:color w:val="000000"/>
          <w:sz w:val="32"/>
          <w:szCs w:val="32"/>
        </w:rPr>
        <w:t>元，比 202</w:t>
      </w:r>
      <w:r>
        <w:rPr>
          <w:rFonts w:ascii="仿宋_GB2312" w:hAnsi="TimesNewRomanPS-BoldMT" w:eastAsia="仿宋_GB2312"/>
          <w:bCs/>
          <w:color w:val="000000"/>
          <w:sz w:val="32"/>
          <w:szCs w:val="32"/>
        </w:rPr>
        <w:t>5</w:t>
      </w:r>
      <w:r>
        <w:rPr>
          <w:rFonts w:hint="eastAsia" w:ascii="仿宋_GB2312" w:hAnsi="TimesNewRomanPS-BoldMT" w:eastAsia="仿宋_GB2312"/>
          <w:bCs/>
          <w:color w:val="000000"/>
          <w:sz w:val="32"/>
          <w:szCs w:val="32"/>
        </w:rPr>
        <w:t xml:space="preserve"> 年预算增加</w:t>
      </w:r>
      <w:r>
        <w:rPr>
          <w:rFonts w:ascii="仿宋_GB2312" w:hAnsi="TimesNewRomanPS-BoldMT" w:eastAsia="仿宋_GB2312"/>
          <w:bCs/>
          <w:color w:val="000000"/>
          <w:sz w:val="32"/>
          <w:szCs w:val="32"/>
        </w:rPr>
        <w:t>0.3</w:t>
      </w:r>
      <w:r>
        <w:rPr>
          <w:rFonts w:hint="eastAsia" w:ascii="仿宋_GB2312" w:hAnsi="TimesNewRomanPS-BoldMT" w:eastAsia="仿宋_GB2312"/>
          <w:bCs/>
          <w:color w:val="000000"/>
          <w:sz w:val="32"/>
          <w:szCs w:val="32"/>
        </w:rPr>
        <w:t>万元，增加</w:t>
      </w:r>
      <w:r>
        <w:rPr>
          <w:rFonts w:ascii="仿宋_GB2312" w:hAnsi="TimesNewRomanPS-BoldMT" w:eastAsia="仿宋_GB2312"/>
          <w:bCs/>
          <w:color w:val="000000"/>
          <w:sz w:val="32"/>
          <w:szCs w:val="32"/>
        </w:rPr>
        <w:t>1.24</w:t>
      </w:r>
      <w:r>
        <w:rPr>
          <w:rFonts w:hint="eastAsia" w:ascii="仿宋_GB2312" w:hAnsi="TimesNewRomanPS-BoldMT" w:eastAsia="仿宋_GB2312"/>
          <w:bCs/>
          <w:color w:val="000000"/>
          <w:sz w:val="32"/>
          <w:szCs w:val="32"/>
        </w:rPr>
        <w:t>%， 主要原因是</w:t>
      </w:r>
      <w:r>
        <w:rPr>
          <w:rFonts w:ascii="仿宋_GB2312" w:hAnsi="TimesNewRomanPS-BoldMT" w:eastAsia="仿宋_GB2312"/>
          <w:bCs/>
          <w:color w:val="000000"/>
          <w:sz w:val="32"/>
          <w:szCs w:val="32"/>
        </w:rPr>
        <w:t>2026年在职人员工资基数上调导致医保缴费基数提高</w:t>
      </w:r>
      <w:r>
        <w:rPr>
          <w:rFonts w:hint="eastAsia" w:ascii="仿宋_GB2312" w:hAnsi="TimesNewRomanPS-BoldMT" w:eastAsia="仿宋_GB2312"/>
          <w:bCs/>
          <w:color w:val="000000"/>
          <w:sz w:val="32"/>
          <w:szCs w:val="32"/>
        </w:rPr>
        <w:t>。</w:t>
      </w:r>
    </w:p>
    <w:p w14:paraId="3F689286">
      <w:pPr>
        <w:adjustRightInd w:val="0"/>
        <w:snapToGrid w:val="0"/>
        <w:spacing w:line="640" w:lineRule="exact"/>
        <w:ind w:firstLine="640" w:firstLineChars="200"/>
        <w:contextualSpacing/>
        <w:rPr>
          <w:rFonts w:ascii="仿宋_GB2312" w:hAnsi="TimesNewRomanPS-BoldMT" w:eastAsia="仿宋_GB2312"/>
          <w:bCs/>
          <w:color w:val="000000"/>
          <w:sz w:val="32"/>
          <w:szCs w:val="32"/>
        </w:rPr>
      </w:pPr>
      <w:r>
        <w:rPr>
          <w:rFonts w:hint="eastAsia" w:ascii="仿宋_GB2312" w:hAnsi="TimesNewRomanPS-BoldMT" w:eastAsia="仿宋_GB2312"/>
          <w:bCs/>
          <w:color w:val="000000"/>
          <w:sz w:val="32"/>
          <w:szCs w:val="32"/>
        </w:rPr>
        <w:t>4.住房保障支出（ 类）住房改革支出（ 款）住房公积金（ 项）202</w:t>
      </w:r>
      <w:r>
        <w:rPr>
          <w:rFonts w:ascii="仿宋_GB2312" w:hAnsi="TimesNewRomanPS-BoldMT" w:eastAsia="仿宋_GB2312"/>
          <w:bCs/>
          <w:color w:val="000000"/>
          <w:sz w:val="32"/>
          <w:szCs w:val="32"/>
        </w:rPr>
        <w:t>6</w:t>
      </w:r>
      <w:r>
        <w:rPr>
          <w:rFonts w:hint="eastAsia" w:ascii="仿宋_GB2312" w:hAnsi="TimesNewRomanPS-BoldMT" w:eastAsia="仿宋_GB2312"/>
          <w:bCs/>
          <w:color w:val="000000"/>
          <w:sz w:val="32"/>
          <w:szCs w:val="32"/>
        </w:rPr>
        <w:t xml:space="preserve"> 年预算数为</w:t>
      </w:r>
      <w:r>
        <w:rPr>
          <w:rFonts w:ascii="仿宋_GB2312" w:hAnsi="TimesNewRomanPS-BoldMT" w:eastAsia="仿宋_GB2312"/>
          <w:bCs/>
          <w:color w:val="000000"/>
          <w:sz w:val="32"/>
          <w:szCs w:val="32"/>
        </w:rPr>
        <w:t>34.6</w:t>
      </w:r>
      <w:r>
        <w:rPr>
          <w:rFonts w:hint="eastAsia" w:ascii="仿宋_GB2312" w:hAnsi="TimesNewRomanPS-BoldMT" w:eastAsia="仿宋_GB2312"/>
          <w:bCs/>
          <w:color w:val="000000"/>
          <w:sz w:val="32"/>
          <w:szCs w:val="32"/>
        </w:rPr>
        <w:t>万元，比 202</w:t>
      </w:r>
      <w:r>
        <w:rPr>
          <w:rFonts w:ascii="仿宋_GB2312" w:hAnsi="TimesNewRomanPS-BoldMT" w:eastAsia="仿宋_GB2312"/>
          <w:bCs/>
          <w:color w:val="000000"/>
          <w:sz w:val="32"/>
          <w:szCs w:val="32"/>
        </w:rPr>
        <w:t>5</w:t>
      </w:r>
      <w:r>
        <w:rPr>
          <w:rFonts w:hint="eastAsia" w:ascii="仿宋_GB2312" w:hAnsi="TimesNewRomanPS-BoldMT" w:eastAsia="仿宋_GB2312"/>
          <w:bCs/>
          <w:color w:val="000000"/>
          <w:sz w:val="32"/>
          <w:szCs w:val="32"/>
        </w:rPr>
        <w:t>年预算减少</w:t>
      </w:r>
      <w:r>
        <w:rPr>
          <w:rFonts w:ascii="仿宋_GB2312" w:hAnsi="TimesNewRomanPS-BoldMT" w:eastAsia="仿宋_GB2312"/>
          <w:bCs/>
          <w:color w:val="000000"/>
          <w:sz w:val="32"/>
          <w:szCs w:val="32"/>
        </w:rPr>
        <w:t>0.14</w:t>
      </w:r>
      <w:r>
        <w:rPr>
          <w:rFonts w:hint="eastAsia" w:ascii="仿宋_GB2312" w:hAnsi="TimesNewRomanPS-BoldMT" w:eastAsia="仿宋_GB2312"/>
          <w:bCs/>
          <w:color w:val="000000"/>
          <w:sz w:val="32"/>
          <w:szCs w:val="32"/>
        </w:rPr>
        <w:t>万元，下降</w:t>
      </w:r>
      <w:r>
        <w:rPr>
          <w:rFonts w:ascii="仿宋_GB2312" w:hAnsi="TimesNewRomanPS-BoldMT" w:eastAsia="仿宋_GB2312"/>
          <w:bCs/>
          <w:color w:val="000000"/>
          <w:sz w:val="32"/>
          <w:szCs w:val="32"/>
        </w:rPr>
        <w:t>0.4</w:t>
      </w:r>
      <w:r>
        <w:rPr>
          <w:rFonts w:hint="eastAsia" w:ascii="仿宋_GB2312" w:hAnsi="TimesNewRomanPS-BoldMT" w:eastAsia="仿宋_GB2312"/>
          <w:bCs/>
          <w:color w:val="000000"/>
          <w:sz w:val="32"/>
          <w:szCs w:val="32"/>
        </w:rPr>
        <w:t>%， 主要原因是人员减少。</w:t>
      </w:r>
    </w:p>
    <w:p w14:paraId="0A65071F">
      <w:pPr>
        <w:adjustRightInd w:val="0"/>
        <w:snapToGrid w:val="0"/>
        <w:spacing w:line="640" w:lineRule="exact"/>
        <w:ind w:firstLine="640" w:firstLineChars="200"/>
        <w:contextualSpacing/>
        <w:rPr>
          <w:rFonts w:ascii="黑体" w:hAnsi="黑体" w:eastAsia="黑体" w:cs="宋体"/>
          <w:kern w:val="0"/>
          <w:sz w:val="32"/>
          <w:szCs w:val="32"/>
        </w:rPr>
      </w:pPr>
      <w:r>
        <w:rPr>
          <w:rFonts w:hint="eastAsia" w:ascii="黑体" w:hAnsi="黑体" w:eastAsia="黑体" w:cs="宋体"/>
          <w:kern w:val="0"/>
          <w:sz w:val="32"/>
          <w:szCs w:val="32"/>
        </w:rPr>
        <w:t>五、部门（单位）一般公共预算财政拨款“三公”经费、培训费、会议费等情况</w:t>
      </w:r>
    </w:p>
    <w:p w14:paraId="1A1EA64C">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（一）“三公”经费情况说明</w:t>
      </w:r>
    </w:p>
    <w:p w14:paraId="587B5AFB">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本单位无“三公”经费预算。</w:t>
      </w:r>
    </w:p>
    <w:p w14:paraId="3C18502F">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（二）培训费预算情况说明</w:t>
      </w:r>
    </w:p>
    <w:p w14:paraId="2D9A3759">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本单位无培训费预算。</w:t>
      </w:r>
    </w:p>
    <w:p w14:paraId="27BFF129">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（三）会议费预算情况说明</w:t>
      </w:r>
    </w:p>
    <w:p w14:paraId="07759386">
      <w:pPr>
        <w:adjustRightInd w:val="0"/>
        <w:snapToGrid w:val="0"/>
        <w:spacing w:line="640" w:lineRule="exact"/>
        <w:ind w:firstLine="640" w:firstLineChars="200"/>
        <w:contextualSpacing/>
        <w:rPr>
          <w:rFonts w:ascii="仿宋_GB2312" w:hAnsi="仿宋" w:eastAsia="仿宋_GB2312"/>
          <w:sz w:val="32"/>
          <w:szCs w:val="32"/>
        </w:rPr>
      </w:pPr>
      <w:r>
        <w:rPr>
          <w:rFonts w:hint="eastAsia" w:ascii="仿宋_GB2312" w:hAnsi="仿宋" w:eastAsia="仿宋_GB2312"/>
          <w:sz w:val="32"/>
          <w:szCs w:val="32"/>
        </w:rPr>
        <w:t>本单位无会议费预算。</w:t>
      </w:r>
    </w:p>
    <w:p w14:paraId="7D35BB7E">
      <w:pPr>
        <w:adjustRightInd w:val="0"/>
        <w:snapToGrid w:val="0"/>
        <w:spacing w:line="640" w:lineRule="exact"/>
        <w:ind w:firstLine="640" w:firstLineChars="200"/>
        <w:contextualSpacing/>
        <w:rPr>
          <w:rFonts w:ascii="黑体" w:hAnsi="黑体" w:eastAsia="黑体" w:cs="宋体"/>
          <w:kern w:val="0"/>
          <w:sz w:val="32"/>
          <w:szCs w:val="32"/>
        </w:rPr>
      </w:pPr>
      <w:r>
        <w:rPr>
          <w:rFonts w:hint="eastAsia" w:ascii="黑体" w:hAnsi="黑体" w:eastAsia="黑体" w:cs="宋体"/>
          <w:kern w:val="0"/>
          <w:sz w:val="32"/>
          <w:szCs w:val="32"/>
        </w:rPr>
        <w:t>六、一般公共预算财政拨款机关运行经费情况</w:t>
      </w:r>
    </w:p>
    <w:p w14:paraId="2994226E">
      <w:pPr>
        <w:adjustRightInd w:val="0"/>
        <w:snapToGrid w:val="0"/>
        <w:spacing w:line="640" w:lineRule="exact"/>
        <w:ind w:firstLine="640" w:firstLineChars="200"/>
        <w:contextualSpacing/>
        <w:rPr>
          <w:rFonts w:ascii="仿宋_GB2312" w:hAnsi="仿宋" w:eastAsia="仿宋_GB2312"/>
          <w:sz w:val="32"/>
          <w:szCs w:val="32"/>
        </w:rPr>
      </w:pPr>
      <w:r>
        <w:rPr>
          <w:rFonts w:hint="eastAsia" w:ascii="仿宋_GB2312" w:hAnsi="仿宋" w:eastAsia="仿宋_GB2312"/>
          <w:sz w:val="32"/>
          <w:szCs w:val="32"/>
        </w:rPr>
        <w:t>本单位无机关运行经费。</w:t>
      </w:r>
    </w:p>
    <w:p w14:paraId="57B4FFAE">
      <w:pPr>
        <w:adjustRightInd w:val="0"/>
        <w:snapToGrid w:val="0"/>
        <w:spacing w:line="640" w:lineRule="exact"/>
        <w:ind w:firstLine="640" w:firstLineChars="200"/>
        <w:contextualSpacing/>
        <w:rPr>
          <w:rFonts w:ascii="黑体" w:hAnsi="黑体" w:eastAsia="黑体" w:cs="宋体"/>
          <w:kern w:val="0"/>
          <w:sz w:val="32"/>
          <w:szCs w:val="32"/>
        </w:rPr>
      </w:pPr>
      <w:r>
        <w:rPr>
          <w:rFonts w:hint="eastAsia" w:ascii="黑体" w:hAnsi="黑体" w:eastAsia="黑体" w:cs="宋体"/>
          <w:kern w:val="0"/>
          <w:sz w:val="32"/>
          <w:szCs w:val="32"/>
        </w:rPr>
        <w:t>七、政府采购安排情况</w:t>
      </w:r>
    </w:p>
    <w:p w14:paraId="73FD1C8A">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2026年，部门（单位）政府采购预算总额</w:t>
      </w:r>
      <w:r>
        <w:rPr>
          <w:rFonts w:ascii="仿宋_GB2312" w:hAnsi="仿宋" w:eastAsia="仿宋_GB2312"/>
          <w:sz w:val="32"/>
          <w:szCs w:val="32"/>
        </w:rPr>
        <w:t>0.66</w:t>
      </w:r>
      <w:r>
        <w:rPr>
          <w:rFonts w:hint="eastAsia" w:ascii="仿宋_GB2312" w:hAnsi="仿宋" w:eastAsia="仿宋_GB2312"/>
          <w:sz w:val="32"/>
          <w:szCs w:val="32"/>
        </w:rPr>
        <w:t>万元，其中：政府采购货物预算</w:t>
      </w:r>
      <w:r>
        <w:rPr>
          <w:rFonts w:ascii="仿宋_GB2312" w:hAnsi="仿宋" w:eastAsia="仿宋_GB2312"/>
          <w:sz w:val="32"/>
          <w:szCs w:val="32"/>
        </w:rPr>
        <w:t>0.66</w:t>
      </w:r>
      <w:r>
        <w:rPr>
          <w:rFonts w:hint="eastAsia" w:ascii="仿宋_GB2312" w:hAnsi="仿宋" w:eastAsia="仿宋_GB2312"/>
          <w:sz w:val="32"/>
          <w:szCs w:val="32"/>
        </w:rPr>
        <w:t xml:space="preserve">万元，政府采购工程预算 </w:t>
      </w:r>
      <w:r>
        <w:rPr>
          <w:rFonts w:ascii="仿宋_GB2312" w:hAnsi="仿宋" w:eastAsia="仿宋_GB2312"/>
          <w:sz w:val="32"/>
          <w:szCs w:val="32"/>
        </w:rPr>
        <w:t>0</w:t>
      </w:r>
      <w:r>
        <w:rPr>
          <w:rFonts w:hint="eastAsia" w:ascii="仿宋_GB2312" w:hAnsi="仿宋" w:eastAsia="仿宋_GB2312"/>
          <w:sz w:val="32"/>
          <w:szCs w:val="32"/>
        </w:rPr>
        <w:t>万元，政府采购服务预算</w:t>
      </w:r>
      <w:r>
        <w:rPr>
          <w:rFonts w:ascii="仿宋_GB2312" w:hAnsi="仿宋" w:eastAsia="仿宋_GB2312"/>
          <w:sz w:val="32"/>
          <w:szCs w:val="32"/>
        </w:rPr>
        <w:t>0</w:t>
      </w:r>
      <w:r>
        <w:rPr>
          <w:rFonts w:hint="eastAsia" w:ascii="仿宋_GB2312" w:hAnsi="仿宋" w:eastAsia="仿宋_GB2312"/>
          <w:sz w:val="32"/>
          <w:szCs w:val="32"/>
        </w:rPr>
        <w:t>万元。</w:t>
      </w:r>
    </w:p>
    <w:p w14:paraId="51697EF6">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 xml:space="preserve">2026年，部门（单位）面向中小企业预留政府采购项目预算金额  </w:t>
      </w:r>
      <w:r>
        <w:rPr>
          <w:rFonts w:ascii="仿宋_GB2312" w:hAnsi="仿宋" w:eastAsia="仿宋_GB2312"/>
          <w:sz w:val="32"/>
          <w:szCs w:val="32"/>
        </w:rPr>
        <w:t>0</w:t>
      </w:r>
      <w:r>
        <w:rPr>
          <w:rFonts w:hint="eastAsia" w:ascii="仿宋_GB2312" w:hAnsi="仿宋" w:eastAsia="仿宋_GB2312"/>
          <w:sz w:val="32"/>
          <w:szCs w:val="32"/>
        </w:rPr>
        <w:t>万元，小微企业预留政府采购项目预算金额</w:t>
      </w:r>
      <w:r>
        <w:rPr>
          <w:rFonts w:ascii="仿宋_GB2312" w:hAnsi="仿宋" w:eastAsia="仿宋_GB2312"/>
          <w:sz w:val="32"/>
          <w:szCs w:val="32"/>
        </w:rPr>
        <w:t>0.66</w:t>
      </w:r>
      <w:r>
        <w:rPr>
          <w:rFonts w:hint="eastAsia" w:ascii="仿宋_GB2312" w:hAnsi="仿宋" w:eastAsia="仿宋_GB2312"/>
          <w:sz w:val="32"/>
          <w:szCs w:val="32"/>
        </w:rPr>
        <w:t>万元。</w:t>
      </w:r>
    </w:p>
    <w:p w14:paraId="6A193527">
      <w:pPr>
        <w:adjustRightInd w:val="0"/>
        <w:snapToGrid w:val="0"/>
        <w:spacing w:line="640" w:lineRule="exact"/>
        <w:ind w:firstLine="640" w:firstLineChars="200"/>
        <w:contextualSpacing/>
        <w:rPr>
          <w:rFonts w:ascii="黑体" w:hAnsi="黑体" w:eastAsia="黑体" w:cs="宋体"/>
          <w:kern w:val="0"/>
          <w:sz w:val="32"/>
          <w:szCs w:val="32"/>
        </w:rPr>
      </w:pPr>
      <w:r>
        <w:rPr>
          <w:rFonts w:hint="eastAsia" w:ascii="黑体" w:hAnsi="黑体" w:eastAsia="黑体" w:cs="宋体"/>
          <w:kern w:val="0"/>
          <w:sz w:val="32"/>
          <w:szCs w:val="32"/>
        </w:rPr>
        <w:t>八、国有资产占用情况</w:t>
      </w:r>
    </w:p>
    <w:p w14:paraId="7051FECE">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上年末固定资产金额为</w:t>
      </w:r>
      <w:r>
        <w:rPr>
          <w:rFonts w:ascii="仿宋_GB2312" w:hAnsi="仿宋" w:eastAsia="仿宋_GB2312"/>
          <w:sz w:val="32"/>
          <w:szCs w:val="32"/>
        </w:rPr>
        <w:t>1404.22</w:t>
      </w:r>
      <w:r>
        <w:rPr>
          <w:rFonts w:hint="eastAsia" w:ascii="仿宋_GB2312" w:hAnsi="仿宋" w:eastAsia="仿宋_GB2312"/>
          <w:sz w:val="32"/>
          <w:szCs w:val="32"/>
        </w:rPr>
        <w:t>万元。其中：办公用房</w:t>
      </w:r>
      <w:r>
        <w:rPr>
          <w:rFonts w:ascii="仿宋_GB2312" w:hAnsi="仿宋" w:eastAsia="仿宋_GB2312"/>
          <w:sz w:val="32"/>
          <w:szCs w:val="32"/>
        </w:rPr>
        <w:t>7578.91</w:t>
      </w:r>
      <w:r>
        <w:rPr>
          <w:rFonts w:hint="eastAsia" w:ascii="仿宋_GB2312" w:hAnsi="仿宋" w:eastAsia="仿宋_GB2312"/>
          <w:sz w:val="32"/>
          <w:szCs w:val="32"/>
        </w:rPr>
        <w:t>平方米，价值</w:t>
      </w:r>
      <w:r>
        <w:rPr>
          <w:rFonts w:ascii="仿宋_GB2312" w:hAnsi="仿宋" w:eastAsia="仿宋_GB2312"/>
          <w:sz w:val="32"/>
          <w:szCs w:val="32"/>
        </w:rPr>
        <w:t>1043.01</w:t>
      </w:r>
      <w:r>
        <w:rPr>
          <w:rFonts w:hint="eastAsia" w:ascii="仿宋_GB2312" w:hAnsi="仿宋" w:eastAsia="仿宋_GB2312"/>
          <w:sz w:val="32"/>
          <w:szCs w:val="32"/>
        </w:rPr>
        <w:t xml:space="preserve">万元。预算部门（单位）共有公务用车 </w:t>
      </w:r>
      <w:r>
        <w:rPr>
          <w:rFonts w:ascii="仿宋_GB2312" w:hAnsi="仿宋" w:eastAsia="仿宋_GB2312"/>
          <w:sz w:val="32"/>
          <w:szCs w:val="32"/>
        </w:rPr>
        <w:t>0</w:t>
      </w:r>
      <w:r>
        <w:rPr>
          <w:rFonts w:hint="eastAsia" w:ascii="仿宋_GB2312" w:hAnsi="仿宋" w:eastAsia="仿宋_GB2312"/>
          <w:sz w:val="32"/>
          <w:szCs w:val="32"/>
        </w:rPr>
        <w:t xml:space="preserve"> 辆，价值 </w:t>
      </w:r>
      <w:r>
        <w:rPr>
          <w:rFonts w:ascii="仿宋_GB2312" w:hAnsi="仿宋" w:eastAsia="仿宋_GB2312"/>
          <w:sz w:val="32"/>
          <w:szCs w:val="32"/>
        </w:rPr>
        <w:t>0</w:t>
      </w:r>
      <w:r>
        <w:rPr>
          <w:rFonts w:hint="eastAsia" w:ascii="仿宋_GB2312" w:hAnsi="仿宋" w:eastAsia="仿宋_GB2312"/>
          <w:sz w:val="32"/>
          <w:szCs w:val="32"/>
        </w:rPr>
        <w:t xml:space="preserve"> 万元。单价20万元以上的设备价值 </w:t>
      </w:r>
      <w:r>
        <w:rPr>
          <w:rFonts w:ascii="仿宋_GB2312" w:hAnsi="仿宋" w:eastAsia="仿宋_GB2312"/>
          <w:sz w:val="32"/>
          <w:szCs w:val="32"/>
        </w:rPr>
        <w:t>0</w:t>
      </w:r>
      <w:r>
        <w:rPr>
          <w:rFonts w:hint="eastAsia" w:ascii="仿宋_GB2312" w:hAnsi="仿宋" w:eastAsia="仿宋_GB2312"/>
          <w:sz w:val="32"/>
          <w:szCs w:val="32"/>
        </w:rPr>
        <w:t xml:space="preserve">万元。2026年拟采购固定资产约 </w:t>
      </w:r>
      <w:r>
        <w:rPr>
          <w:rFonts w:ascii="仿宋_GB2312" w:hAnsi="仿宋" w:eastAsia="仿宋_GB2312"/>
          <w:sz w:val="32"/>
          <w:szCs w:val="32"/>
        </w:rPr>
        <w:t>0</w:t>
      </w:r>
      <w:r>
        <w:rPr>
          <w:rFonts w:hint="eastAsia" w:ascii="仿宋_GB2312" w:hAnsi="仿宋" w:eastAsia="仿宋_GB2312"/>
          <w:sz w:val="32"/>
          <w:szCs w:val="32"/>
        </w:rPr>
        <w:t>万元。</w:t>
      </w:r>
    </w:p>
    <w:p w14:paraId="4AAB33A2">
      <w:pPr>
        <w:adjustRightInd w:val="0"/>
        <w:snapToGrid w:val="0"/>
        <w:spacing w:line="640" w:lineRule="exact"/>
        <w:ind w:firstLine="640" w:firstLineChars="200"/>
        <w:contextualSpacing/>
        <w:rPr>
          <w:rFonts w:ascii="黑体" w:hAnsi="黑体" w:eastAsia="黑体" w:cs="宋体"/>
          <w:kern w:val="0"/>
          <w:sz w:val="32"/>
          <w:szCs w:val="32"/>
        </w:rPr>
      </w:pPr>
      <w:r>
        <w:rPr>
          <w:rFonts w:hint="eastAsia" w:ascii="黑体" w:hAnsi="黑体" w:eastAsia="黑体" w:cs="宋体"/>
          <w:kern w:val="0"/>
          <w:sz w:val="32"/>
          <w:szCs w:val="32"/>
        </w:rPr>
        <w:t>九、其他重要事项情况说明</w:t>
      </w:r>
    </w:p>
    <w:p w14:paraId="4B4945E4">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（一）政府性基金预算支出情况</w:t>
      </w:r>
    </w:p>
    <w:p w14:paraId="10B3A9DF">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未安排预算，政府性基金预算支出情况表为空表。</w:t>
      </w:r>
    </w:p>
    <w:p w14:paraId="792B6F08">
      <w:pPr>
        <w:widowControl/>
        <w:adjustRightInd w:val="0"/>
        <w:snapToGrid w:val="0"/>
        <w:spacing w:line="640" w:lineRule="exact"/>
        <w:ind w:firstLine="643" w:firstLineChars="200"/>
        <w:contextualSpacing/>
        <w:jc w:val="left"/>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（二）非税收入情况</w:t>
      </w:r>
    </w:p>
    <w:p w14:paraId="0C54ABC8">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本单位2026年</w:t>
      </w:r>
      <w:r>
        <w:rPr>
          <w:rFonts w:ascii="仿宋_GB2312" w:hAnsi="仿宋" w:eastAsia="仿宋_GB2312"/>
          <w:sz w:val="32"/>
          <w:szCs w:val="32"/>
        </w:rPr>
        <w:t>无非税收入</w:t>
      </w:r>
      <w:r>
        <w:rPr>
          <w:rFonts w:hint="eastAsia" w:ascii="仿宋_GB2312" w:hAnsi="仿宋" w:eastAsia="仿宋_GB2312"/>
          <w:sz w:val="32"/>
          <w:szCs w:val="32"/>
        </w:rPr>
        <w:t>。</w:t>
      </w:r>
    </w:p>
    <w:p w14:paraId="09CA2645">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（三）重点项目情况</w:t>
      </w:r>
    </w:p>
    <w:p w14:paraId="4703C47F">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本单位年初预算未安排项目支出，无重点项目说明。</w:t>
      </w:r>
    </w:p>
    <w:p w14:paraId="51BD7EBF">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（四）部门管理转移支付情况</w:t>
      </w:r>
    </w:p>
    <w:p w14:paraId="5F6CF6AA">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未安排预算，单位管理转移支付表为空表。</w:t>
      </w:r>
    </w:p>
    <w:p w14:paraId="57061121">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（五）国有资本经营预算支出情况</w:t>
      </w:r>
    </w:p>
    <w:p w14:paraId="1565C8AE">
      <w:pPr>
        <w:widowControl/>
        <w:adjustRightInd w:val="0"/>
        <w:snapToGrid w:val="0"/>
        <w:spacing w:line="640" w:lineRule="exact"/>
        <w:ind w:firstLine="640" w:firstLineChars="200"/>
        <w:contextualSpacing/>
        <w:jc w:val="left"/>
        <w:rPr>
          <w:rFonts w:ascii="仿宋_GB2312" w:hAnsi="楷体" w:eastAsia="仿宋_GB2312"/>
          <w:sz w:val="32"/>
          <w:szCs w:val="32"/>
        </w:rPr>
      </w:pPr>
      <w:r>
        <w:rPr>
          <w:rFonts w:hint="eastAsia" w:ascii="仿宋_GB2312" w:hAnsi="楷体" w:eastAsia="仿宋_GB2312"/>
          <w:sz w:val="32"/>
          <w:szCs w:val="32"/>
        </w:rPr>
        <w:t>未安排预算，国有资本经营预算支出情况表为空表。</w:t>
      </w:r>
    </w:p>
    <w:p w14:paraId="1ED9B130">
      <w:pPr>
        <w:adjustRightInd w:val="0"/>
        <w:snapToGrid w:val="0"/>
        <w:spacing w:line="640" w:lineRule="exact"/>
        <w:ind w:firstLine="640" w:firstLineChars="200"/>
        <w:contextualSpacing/>
        <w:rPr>
          <w:rFonts w:ascii="黑体" w:hAnsi="黑体" w:eastAsia="黑体" w:cs="宋体"/>
          <w:kern w:val="0"/>
          <w:sz w:val="32"/>
          <w:szCs w:val="32"/>
        </w:rPr>
      </w:pPr>
      <w:r>
        <w:rPr>
          <w:rFonts w:hint="eastAsia" w:ascii="黑体" w:hAnsi="黑体" w:eastAsia="黑体" w:cs="宋体"/>
          <w:kern w:val="0"/>
          <w:sz w:val="32"/>
          <w:szCs w:val="32"/>
        </w:rPr>
        <w:t>十、预算绩效管理情况</w:t>
      </w:r>
    </w:p>
    <w:p w14:paraId="77B48177">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（一）2025年预算绩效管理工作情况。</w:t>
      </w:r>
    </w:p>
    <w:p w14:paraId="62D798BB">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按照《中共中央 国务院关于全面实施预算绩效管理的意见》《中共甘肃省委 甘肃省人民政府关于全面实施预算绩效管理的实施意见》等相关要求，我们将绩效理念和方法融入预算编制、执行、决算和监督全过程认真开展各项工作。</w:t>
      </w:r>
    </w:p>
    <w:p w14:paraId="040B2A5C">
      <w:pPr>
        <w:widowControl/>
        <w:adjustRightInd w:val="0"/>
        <w:snapToGrid w:val="0"/>
        <w:spacing w:line="640" w:lineRule="exact"/>
        <w:ind w:firstLine="643" w:firstLineChars="200"/>
        <w:contextualSpacing/>
        <w:jc w:val="left"/>
        <w:rPr>
          <w:rFonts w:ascii="仿宋_GB2312" w:hAnsi="仿宋" w:eastAsia="仿宋_GB2312"/>
          <w:sz w:val="32"/>
          <w:szCs w:val="32"/>
        </w:rPr>
      </w:pPr>
      <w:r>
        <w:rPr>
          <w:rFonts w:hint="eastAsia" w:ascii="仿宋_GB2312" w:hAnsi="仿宋" w:eastAsia="仿宋_GB2312"/>
          <w:b/>
          <w:sz w:val="32"/>
          <w:szCs w:val="32"/>
        </w:rPr>
        <w:t>1.绩效目标管理情况。</w:t>
      </w:r>
      <w:r>
        <w:rPr>
          <w:rFonts w:hint="eastAsia" w:ascii="仿宋_GB2312" w:hAnsi="仿宋" w:eastAsia="仿宋_GB2312"/>
          <w:sz w:val="32"/>
          <w:szCs w:val="32"/>
        </w:rPr>
        <w:t>2025年度，按照“谁申请资金，谁设置目标”的原则，纳入部门预算管理的</w:t>
      </w:r>
      <w:r>
        <w:rPr>
          <w:rFonts w:hint="eastAsia" w:ascii="仿宋_GB2312" w:hAnsi="CIDFont+F6" w:eastAsia="仿宋_GB2312"/>
          <w:color w:val="000000"/>
          <w:sz w:val="32"/>
          <w:szCs w:val="32"/>
        </w:rPr>
        <w:t>部门/单位</w:t>
      </w:r>
      <w:r>
        <w:rPr>
          <w:rFonts w:hint="eastAsia" w:ascii="仿宋_GB2312" w:hAnsi="仿宋" w:eastAsia="仿宋_GB2312"/>
          <w:sz w:val="32"/>
          <w:szCs w:val="32"/>
        </w:rPr>
        <w:t>整体支出和项目绩效目标1个，按规定随年度预算一并公开项目1个，公开率为100%。</w:t>
      </w:r>
    </w:p>
    <w:p w14:paraId="3B64B888">
      <w:pPr>
        <w:widowControl/>
        <w:adjustRightInd w:val="0"/>
        <w:snapToGrid w:val="0"/>
        <w:spacing w:line="640" w:lineRule="exact"/>
        <w:ind w:firstLine="643" w:firstLineChars="200"/>
        <w:contextualSpacing/>
        <w:jc w:val="left"/>
        <w:rPr>
          <w:rFonts w:ascii="仿宋_GB2312" w:hAnsi="仿宋" w:eastAsia="仿宋_GB2312"/>
          <w:sz w:val="32"/>
          <w:szCs w:val="32"/>
        </w:rPr>
      </w:pPr>
      <w:r>
        <w:rPr>
          <w:rFonts w:hint="eastAsia" w:ascii="仿宋_GB2312" w:hAnsi="仿宋" w:eastAsia="仿宋_GB2312"/>
          <w:b/>
          <w:sz w:val="32"/>
          <w:szCs w:val="32"/>
        </w:rPr>
        <w:t>2.绩效运行监控情况。</w:t>
      </w:r>
      <w:r>
        <w:rPr>
          <w:rFonts w:hint="eastAsia" w:ascii="仿宋_GB2312" w:hAnsi="仿宋" w:eastAsia="仿宋_GB2312"/>
          <w:sz w:val="32"/>
          <w:szCs w:val="32"/>
        </w:rPr>
        <w:t>2025年7月，组织开展1-6月绩效运行监控项目</w:t>
      </w:r>
      <w:r>
        <w:rPr>
          <w:rFonts w:ascii="仿宋_GB2312" w:hAnsi="仿宋" w:eastAsia="仿宋_GB2312"/>
          <w:sz w:val="32"/>
          <w:szCs w:val="32"/>
        </w:rPr>
        <w:t>34</w:t>
      </w:r>
      <w:r>
        <w:rPr>
          <w:rFonts w:hint="eastAsia" w:ascii="仿宋_GB2312" w:hAnsi="仿宋" w:eastAsia="仿宋_GB2312"/>
          <w:sz w:val="32"/>
          <w:szCs w:val="32"/>
        </w:rPr>
        <w:t>个，占本</w:t>
      </w:r>
      <w:r>
        <w:rPr>
          <w:rFonts w:hint="eastAsia" w:ascii="仿宋_GB2312" w:hAnsi="CIDFont+F6" w:eastAsia="仿宋_GB2312"/>
          <w:color w:val="000000"/>
          <w:sz w:val="32"/>
          <w:szCs w:val="32"/>
        </w:rPr>
        <w:t>部门/单位</w:t>
      </w:r>
      <w:r>
        <w:rPr>
          <w:rFonts w:hint="eastAsia" w:ascii="仿宋_GB2312" w:hAnsi="仿宋" w:eastAsia="仿宋_GB2312"/>
          <w:sz w:val="32"/>
          <w:szCs w:val="32"/>
        </w:rPr>
        <w:t>项目的100 %。截至7月底，如期完成预算执行和绩效目标指标值的项目</w:t>
      </w:r>
      <w:r>
        <w:rPr>
          <w:rFonts w:ascii="仿宋_GB2312" w:hAnsi="仿宋" w:eastAsia="仿宋_GB2312"/>
          <w:sz w:val="32"/>
          <w:szCs w:val="32"/>
        </w:rPr>
        <w:t>34</w:t>
      </w:r>
      <w:r>
        <w:rPr>
          <w:rFonts w:hint="eastAsia" w:ascii="仿宋_GB2312" w:hAnsi="仿宋" w:eastAsia="仿宋_GB2312"/>
          <w:sz w:val="32"/>
          <w:szCs w:val="32"/>
        </w:rPr>
        <w:t>个，完成率为100 %。“双监控”发现存在的问题和主要原因是：资金支付率低。开展1-9月绩效运行监控项目</w:t>
      </w:r>
      <w:r>
        <w:rPr>
          <w:rFonts w:ascii="仿宋_GB2312" w:hAnsi="仿宋" w:eastAsia="仿宋_GB2312"/>
          <w:sz w:val="32"/>
          <w:szCs w:val="32"/>
        </w:rPr>
        <w:t>15</w:t>
      </w:r>
      <w:r>
        <w:rPr>
          <w:rFonts w:hint="eastAsia" w:ascii="仿宋_GB2312" w:hAnsi="仿宋" w:eastAsia="仿宋_GB2312"/>
          <w:sz w:val="32"/>
          <w:szCs w:val="32"/>
        </w:rPr>
        <w:t>个，占本部门（单位）项目的100%。截至10月底，如期完成预算执行和绩效目标指标值的项目</w:t>
      </w:r>
      <w:r>
        <w:rPr>
          <w:rFonts w:ascii="仿宋_GB2312" w:hAnsi="仿宋" w:eastAsia="仿宋_GB2312"/>
          <w:sz w:val="32"/>
          <w:szCs w:val="32"/>
        </w:rPr>
        <w:t>15</w:t>
      </w:r>
      <w:r>
        <w:rPr>
          <w:rFonts w:hint="eastAsia" w:ascii="仿宋_GB2312" w:hAnsi="仿宋" w:eastAsia="仿宋_GB2312"/>
          <w:sz w:val="32"/>
          <w:szCs w:val="32"/>
        </w:rPr>
        <w:t>个，完成率为100%。“双监控”发现存在的问题和主要原因是：无。绩效运行监控在部门内部通报整改情况：无。</w:t>
      </w:r>
    </w:p>
    <w:p w14:paraId="2207FA39">
      <w:pPr>
        <w:widowControl/>
        <w:adjustRightInd w:val="0"/>
        <w:snapToGrid w:val="0"/>
        <w:spacing w:line="640" w:lineRule="exact"/>
        <w:ind w:firstLine="643" w:firstLineChars="200"/>
        <w:contextualSpacing/>
        <w:jc w:val="left"/>
        <w:rPr>
          <w:rFonts w:ascii="仿宋_GB2312" w:hAnsi="仿宋" w:eastAsia="仿宋_GB2312"/>
          <w:sz w:val="32"/>
          <w:szCs w:val="32"/>
        </w:rPr>
      </w:pPr>
      <w:r>
        <w:rPr>
          <w:rFonts w:hint="eastAsia" w:ascii="仿宋_GB2312" w:hAnsi="仿宋" w:eastAsia="仿宋_GB2312"/>
          <w:b/>
          <w:sz w:val="32"/>
          <w:szCs w:val="32"/>
        </w:rPr>
        <w:t>3.绩效自评开展情况。</w:t>
      </w:r>
      <w:r>
        <w:rPr>
          <w:rFonts w:hint="eastAsia" w:ascii="仿宋_GB2312" w:hAnsi="仿宋" w:eastAsia="仿宋_GB2312"/>
          <w:sz w:val="32"/>
          <w:szCs w:val="32"/>
        </w:rPr>
        <w:t>2025年度，组织开展绩效自评项目共1个，其中，部门（单位）整体支出1个，项目支出0个，转移支付项目0个，绩效自评覆盖率为100%。绩效自评结果随部门决算报送财政和随决算公开情况：及时公开。</w:t>
      </w:r>
    </w:p>
    <w:p w14:paraId="271714C1">
      <w:pPr>
        <w:widowControl/>
        <w:adjustRightInd w:val="0"/>
        <w:snapToGrid w:val="0"/>
        <w:spacing w:line="640" w:lineRule="exact"/>
        <w:ind w:firstLine="643" w:firstLineChars="200"/>
        <w:contextualSpacing/>
        <w:jc w:val="left"/>
        <w:rPr>
          <w:rFonts w:ascii="仿宋_GB2312" w:hAnsi="仿宋" w:eastAsia="仿宋_GB2312"/>
          <w:sz w:val="32"/>
          <w:szCs w:val="32"/>
        </w:rPr>
      </w:pPr>
      <w:r>
        <w:rPr>
          <w:rFonts w:hint="eastAsia" w:ascii="仿宋_GB2312" w:hAnsi="仿宋" w:eastAsia="仿宋_GB2312"/>
          <w:b/>
          <w:sz w:val="32"/>
          <w:szCs w:val="32"/>
        </w:rPr>
        <w:t>4.绩效结果应用情况。</w:t>
      </w:r>
      <w:r>
        <w:rPr>
          <w:rFonts w:hint="eastAsia" w:ascii="仿宋_GB2312" w:hAnsi="仿宋" w:eastAsia="仿宋_GB2312"/>
          <w:sz w:val="32"/>
          <w:szCs w:val="32"/>
        </w:rPr>
        <w:t>根据2025年度绩效运行监控、绩效自评等情况，当年盘活财政资金0万元，2026年度增加（减少）部门预算项目0个，增长率/压减率0%。同时对政策和项目资金管理作出调整的   0个。</w:t>
      </w:r>
    </w:p>
    <w:p w14:paraId="3B8404DC">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（二）2026年绩效目标编制情况</w:t>
      </w:r>
    </w:p>
    <w:p w14:paraId="52BB301B">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2026年，纳入部门/单位预算绩效目标管理的项目1个。其中，部门整体支出绩效目标围绕部门管理、履职效果、能力建设三个维度，设置二级指标18个、三级指标36个。各项绩效目标内容指向明确、细化量化、合理可行，符合规定的格式要求。</w:t>
      </w:r>
    </w:p>
    <w:p w14:paraId="1B6BE290">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十一、名词解释</w:t>
      </w:r>
    </w:p>
    <w:p w14:paraId="476EBD1E">
      <w:pPr>
        <w:adjustRightInd w:val="0"/>
        <w:snapToGrid w:val="0"/>
        <w:spacing w:line="640" w:lineRule="exact"/>
        <w:ind w:firstLine="643" w:firstLineChars="200"/>
        <w:contextualSpacing/>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1、财政拨款:</w:t>
      </w:r>
      <w:r>
        <w:rPr>
          <w:rFonts w:hint="eastAsia" w:ascii="仿宋_GB2312" w:hAnsi="CIDFont+F6" w:eastAsia="仿宋_GB2312"/>
          <w:color w:val="000000"/>
          <w:sz w:val="32"/>
          <w:szCs w:val="32"/>
        </w:rPr>
        <w:t>指由一般公共预算、政府性基金预算、国有资本经营预算安排的财政拨款数。</w:t>
      </w:r>
    </w:p>
    <w:p w14:paraId="4CC6C57A">
      <w:pPr>
        <w:adjustRightInd w:val="0"/>
        <w:snapToGrid w:val="0"/>
        <w:spacing w:line="640" w:lineRule="exact"/>
        <w:ind w:firstLine="643" w:firstLineChars="200"/>
        <w:contextualSpacing/>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2、一般公共预算:</w:t>
      </w:r>
      <w:r>
        <w:rPr>
          <w:rFonts w:hint="eastAsia" w:ascii="仿宋_GB2312" w:hAnsi="CIDFont+F6" w:eastAsia="仿宋_GB2312"/>
          <w:color w:val="000000"/>
          <w:sz w:val="32"/>
          <w:szCs w:val="32"/>
        </w:rPr>
        <w:t>包括公共财政拨款（补助）资金、专项收入。</w:t>
      </w:r>
    </w:p>
    <w:p w14:paraId="7908A71B">
      <w:pPr>
        <w:adjustRightInd w:val="0"/>
        <w:snapToGrid w:val="0"/>
        <w:spacing w:line="640" w:lineRule="exact"/>
        <w:ind w:firstLine="643" w:firstLineChars="200"/>
        <w:contextualSpacing/>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3、财政专户管理资金:</w:t>
      </w:r>
      <w:r>
        <w:rPr>
          <w:rFonts w:hint="eastAsia" w:ascii="仿宋_GB2312" w:hAnsi="CIDFont+F6" w:eastAsia="仿宋_GB2312"/>
          <w:color w:val="000000"/>
          <w:sz w:val="32"/>
          <w:szCs w:val="32"/>
        </w:rPr>
        <w:t>包括专户管理行政事业性收费（主要是教育收费）、其他非税收入。</w:t>
      </w:r>
    </w:p>
    <w:p w14:paraId="4CE172D2">
      <w:pPr>
        <w:adjustRightInd w:val="0"/>
        <w:snapToGrid w:val="0"/>
        <w:spacing w:line="640" w:lineRule="exact"/>
        <w:ind w:firstLine="643" w:firstLineChars="200"/>
        <w:contextualSpacing/>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4、其他资金:</w:t>
      </w:r>
      <w:r>
        <w:rPr>
          <w:rFonts w:hint="eastAsia" w:ascii="仿宋_GB2312" w:hAnsi="CIDFont+F6" w:eastAsia="仿宋_GB2312"/>
          <w:color w:val="000000"/>
          <w:sz w:val="32"/>
          <w:szCs w:val="32"/>
        </w:rPr>
        <w:t>包括事业收入、事业经营收入、其他收入等。</w:t>
      </w:r>
    </w:p>
    <w:p w14:paraId="6D5803A7">
      <w:pPr>
        <w:adjustRightInd w:val="0"/>
        <w:snapToGrid w:val="0"/>
        <w:spacing w:line="640" w:lineRule="exact"/>
        <w:ind w:firstLine="643" w:firstLineChars="200"/>
        <w:contextualSpacing/>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5、基本支出:</w:t>
      </w:r>
      <w:r>
        <w:rPr>
          <w:rFonts w:hint="eastAsia" w:ascii="仿宋_GB2312" w:hAnsi="CIDFont+F6" w:eastAsia="仿宋_GB2312"/>
          <w:color w:val="000000"/>
          <w:sz w:val="32"/>
          <w:szCs w:val="32"/>
        </w:rPr>
        <w:t>包括人员经费、公用经费（定额）。其中，人员经费包括工资福利支出、对个人和家庭的补助。</w:t>
      </w:r>
    </w:p>
    <w:p w14:paraId="696C919E">
      <w:pPr>
        <w:adjustRightInd w:val="0"/>
        <w:snapToGrid w:val="0"/>
        <w:spacing w:line="640" w:lineRule="exact"/>
        <w:ind w:firstLine="643" w:firstLineChars="200"/>
        <w:contextualSpacing/>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6、项目支出:</w:t>
      </w:r>
      <w:r>
        <w:rPr>
          <w:rFonts w:hint="eastAsia" w:ascii="仿宋_GB2312" w:hAnsi="CIDFont+F6" w:eastAsia="仿宋_GB2312"/>
          <w:color w:val="000000"/>
          <w:sz w:val="32"/>
          <w:szCs w:val="32"/>
        </w:rPr>
        <w:t>部门（单位）支出预算的组成部分，是各部门（单位）为完成其特定的行政任务或事业发展目标，在基本支出预算之外编制的年度项目支出计划。</w:t>
      </w:r>
    </w:p>
    <w:p w14:paraId="3E4D9AA1">
      <w:pPr>
        <w:adjustRightInd w:val="0"/>
        <w:snapToGrid w:val="0"/>
        <w:spacing w:line="640" w:lineRule="exact"/>
        <w:ind w:firstLine="643" w:firstLineChars="200"/>
        <w:contextualSpacing/>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7、“三公”经费:</w:t>
      </w:r>
      <w:r>
        <w:rPr>
          <w:rFonts w:hint="eastAsia" w:ascii="仿宋_GB2312" w:hAnsi="CIDFont+F6" w:eastAsia="仿宋_GB2312"/>
          <w:color w:val="000000"/>
          <w:sz w:val="32"/>
          <w:szCs w:val="32"/>
        </w:rPr>
        <w:t>指因公出国（境）费、公务用车购置及运行维护费和公务接待费。其中，因公出国（境）费反映单位公务出国（境）的国际旅费、国外城市间交通费、住宿费、伙食费、培训费、公杂费等支出；公务用车运行维护费反映单位按规定保留的公务用车租用费、燃料费、维修费、过路过桥费、保险费、安全奖励费用等支出；公务接待费反映单位按规定开支的各类公务接待（含外宾接待）支出。</w:t>
      </w:r>
    </w:p>
    <w:p w14:paraId="4CA7FF0F">
      <w:pPr>
        <w:adjustRightInd w:val="0"/>
        <w:snapToGrid w:val="0"/>
        <w:spacing w:line="640" w:lineRule="exact"/>
        <w:ind w:firstLine="643" w:firstLineChars="200"/>
        <w:contextualSpacing/>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8、机关运行经费:</w:t>
      </w:r>
      <w:r>
        <w:rPr>
          <w:rFonts w:hint="eastAsia" w:ascii="仿宋_GB2312" w:hAnsi="CIDFont+F6" w:eastAsia="仿宋_GB2312"/>
          <w:color w:val="000000"/>
          <w:sz w:val="32"/>
          <w:szCs w:val="32"/>
        </w:rPr>
        <w:t>为保障行政单位（包括实行公务员管理的事业单位）运行用于购买货物和服务的各项资金，包括办公及印刷费、邮电费、差旅费、会议费、福利费、日常维修费、一般设备购置费、办公用房水电费、办公用房取暖费、办公用房物业管理费、公务用车运行维护费以及其他费用。</w:t>
      </w:r>
    </w:p>
    <w:p w14:paraId="453FCEBD">
      <w:pPr>
        <w:adjustRightInd w:val="0"/>
        <w:snapToGrid w:val="0"/>
        <w:spacing w:line="640" w:lineRule="exact"/>
        <w:contextualSpacing/>
        <w:jc w:val="right"/>
        <w:rPr>
          <w:rFonts w:hint="eastAsia" w:ascii="仿宋_GB2312" w:hAnsi="CIDFont+F6" w:eastAsia="仿宋_GB2312"/>
          <w:color w:val="000000"/>
          <w:sz w:val="32"/>
          <w:szCs w:val="32"/>
        </w:rPr>
      </w:pPr>
    </w:p>
    <w:p w14:paraId="7BF108C1">
      <w:pPr>
        <w:adjustRightInd w:val="0"/>
        <w:snapToGrid w:val="0"/>
        <w:spacing w:line="640" w:lineRule="exact"/>
        <w:ind w:right="960"/>
        <w:contextualSpacing/>
        <w:jc w:val="right"/>
        <w:rPr>
          <w:rFonts w:hint="eastAsia" w:ascii="仿宋_GB2312" w:hAnsi="CIDFont+F6" w:eastAsia="仿宋_GB2312"/>
          <w:color w:val="000000"/>
          <w:sz w:val="32"/>
          <w:szCs w:val="32"/>
        </w:rPr>
      </w:pPr>
      <w:r>
        <w:rPr>
          <w:rFonts w:hint="eastAsia" w:ascii="仿宋_GB2312" w:hAnsi="CIDFont+F6" w:eastAsia="仿宋_GB2312"/>
          <w:color w:val="000000"/>
          <w:sz w:val="32"/>
          <w:szCs w:val="32"/>
        </w:rPr>
        <w:t>华池县元城初级中学</w:t>
      </w:r>
    </w:p>
    <w:p w14:paraId="77E85168">
      <w:pPr>
        <w:adjustRightInd w:val="0"/>
        <w:snapToGrid w:val="0"/>
        <w:spacing w:line="640" w:lineRule="exact"/>
        <w:ind w:right="1120"/>
        <w:contextualSpacing/>
        <w:jc w:val="right"/>
        <w:rPr>
          <w:rFonts w:ascii="仿宋_GB2312" w:eastAsia="仿宋_GB2312"/>
          <w:sz w:val="32"/>
          <w:szCs w:val="32"/>
        </w:rPr>
      </w:pPr>
      <w:r>
        <w:rPr>
          <w:rFonts w:hint="eastAsia" w:ascii="仿宋_GB2312" w:hAnsi="CIDFont+F6" w:eastAsia="仿宋_GB2312"/>
          <w:color w:val="000000"/>
          <w:sz w:val="32"/>
          <w:szCs w:val="32"/>
        </w:rPr>
        <w:t>2</w:t>
      </w:r>
      <w:r>
        <w:rPr>
          <w:rFonts w:ascii="仿宋_GB2312" w:hAnsi="CIDFont+F6" w:eastAsia="仿宋_GB2312"/>
          <w:color w:val="000000"/>
          <w:sz w:val="32"/>
          <w:szCs w:val="32"/>
        </w:rPr>
        <w:t>026</w:t>
      </w:r>
      <w:r>
        <w:rPr>
          <w:rFonts w:hint="eastAsia" w:ascii="仿宋_GB2312" w:hAnsi="CIDFont+F6" w:eastAsia="仿宋_GB2312"/>
          <w:color w:val="000000"/>
          <w:sz w:val="32"/>
          <w:szCs w:val="32"/>
        </w:rPr>
        <w:t>年</w:t>
      </w:r>
      <w:r>
        <w:rPr>
          <w:rFonts w:ascii="仿宋_GB2312" w:hAnsi="CIDFont+F6" w:eastAsia="仿宋_GB2312"/>
          <w:color w:val="000000"/>
          <w:sz w:val="32"/>
          <w:szCs w:val="32"/>
        </w:rPr>
        <w:t>3</w:t>
      </w:r>
      <w:r>
        <w:rPr>
          <w:rFonts w:hint="eastAsia" w:ascii="仿宋_GB2312" w:hAnsi="CIDFont+F6" w:eastAsia="仿宋_GB2312"/>
          <w:color w:val="000000"/>
          <w:sz w:val="32"/>
          <w:szCs w:val="32"/>
        </w:rPr>
        <w:t>月</w:t>
      </w:r>
      <w:r>
        <w:rPr>
          <w:rFonts w:ascii="仿宋_GB2312" w:hAnsi="CIDFont+F6" w:eastAsia="仿宋_GB2312"/>
          <w:color w:val="000000"/>
          <w:sz w:val="32"/>
          <w:szCs w:val="32"/>
        </w:rPr>
        <w:t>13</w:t>
      </w:r>
      <w:r>
        <w:rPr>
          <w:rFonts w:hint="eastAsia" w:ascii="仿宋_GB2312" w:hAnsi="CIDFont+F6" w:eastAsia="仿宋_GB2312"/>
          <w:color w:val="000000"/>
          <w:sz w:val="32"/>
          <w:szCs w:val="32"/>
        </w:rPr>
        <w:t>日</w:t>
      </w:r>
    </w:p>
    <w:p w14:paraId="104DAE91">
      <w:pPr>
        <w:adjustRightInd w:val="0"/>
        <w:snapToGrid w:val="0"/>
        <w:spacing w:line="640" w:lineRule="exact"/>
        <w:ind w:firstLine="640" w:firstLineChars="200"/>
        <w:contextualSpacing/>
        <w:rPr>
          <w:rFonts w:ascii="仿宋_GB2312" w:hAnsi="宋体" w:eastAsia="仿宋_GB2312" w:cs="宋体"/>
          <w:kern w:val="0"/>
          <w:sz w:val="32"/>
          <w:szCs w:val="32"/>
        </w:rPr>
      </w:pPr>
    </w:p>
    <w:p w14:paraId="0358EE45">
      <w:pPr>
        <w:adjustRightInd w:val="0"/>
        <w:snapToGrid w:val="0"/>
        <w:spacing w:line="640" w:lineRule="exact"/>
        <w:ind w:firstLine="640" w:firstLineChars="200"/>
        <w:contextualSpacing/>
        <w:rPr>
          <w:rFonts w:ascii="仿宋_GB2312" w:hAnsi="宋体" w:eastAsia="仿宋_GB2312" w:cs="宋体"/>
          <w:spacing w:val="-20"/>
          <w:kern w:val="0"/>
          <w:sz w:val="32"/>
          <w:szCs w:val="32"/>
        </w:rPr>
      </w:pPr>
      <w:r>
        <w:rPr>
          <w:rFonts w:hint="eastAsia" w:ascii="仿宋_GB2312" w:hAnsi="宋体" w:eastAsia="仿宋_GB2312" w:cs="宋体"/>
          <w:kern w:val="0"/>
          <w:sz w:val="32"/>
          <w:szCs w:val="32"/>
        </w:rPr>
        <w:t>附件：</w:t>
      </w:r>
      <w:r>
        <w:rPr>
          <w:rFonts w:hint="eastAsia" w:ascii="仿宋_GB2312" w:hAnsi="宋体" w:eastAsia="仿宋_GB2312" w:cs="宋体"/>
          <w:spacing w:val="-20"/>
          <w:kern w:val="0"/>
          <w:sz w:val="32"/>
          <w:szCs w:val="32"/>
        </w:rPr>
        <w:t>1.华池县元城初级中学2026年</w:t>
      </w:r>
      <w:r>
        <w:rPr>
          <w:rFonts w:hint="eastAsia" w:ascii="仿宋_GB2312" w:hAnsi="CIDFont+F6" w:eastAsia="仿宋_GB2312"/>
          <w:color w:val="000000"/>
          <w:sz w:val="32"/>
          <w:szCs w:val="32"/>
        </w:rPr>
        <w:t>部门/单位</w:t>
      </w:r>
      <w:r>
        <w:rPr>
          <w:rFonts w:hint="eastAsia" w:ascii="仿宋_GB2312" w:hAnsi="宋体" w:eastAsia="仿宋_GB2312" w:cs="宋体"/>
          <w:spacing w:val="-20"/>
          <w:kern w:val="0"/>
          <w:sz w:val="32"/>
          <w:szCs w:val="32"/>
        </w:rPr>
        <w:t>预算公开表</w:t>
      </w:r>
    </w:p>
    <w:p w14:paraId="4E90257E">
      <w:pPr>
        <w:adjustRightInd w:val="0"/>
        <w:snapToGrid w:val="0"/>
        <w:spacing w:line="640" w:lineRule="exact"/>
        <w:ind w:left="1796" w:leftChars="767" w:hanging="185" w:hangingChars="58"/>
        <w:contextualSpacing/>
        <w:rPr>
          <w:rFonts w:ascii="仿宋_GB2312" w:hAnsi="宋体" w:eastAsia="仿宋_GB2312" w:cs="宋体"/>
          <w:kern w:val="0"/>
          <w:sz w:val="32"/>
          <w:szCs w:val="32"/>
        </w:rPr>
      </w:pPr>
      <w:r>
        <w:rPr>
          <w:rFonts w:hint="eastAsia" w:ascii="仿宋_GB2312" w:hAnsi="宋体" w:eastAsia="仿宋_GB2312" w:cs="宋体"/>
          <w:kern w:val="0"/>
          <w:sz w:val="32"/>
          <w:szCs w:val="32"/>
        </w:rPr>
        <w:t>2.</w:t>
      </w:r>
      <w:r>
        <w:rPr>
          <w:rFonts w:hint="eastAsia" w:ascii="仿宋_GB2312" w:hAnsi="宋体" w:eastAsia="仿宋_GB2312" w:cs="宋体"/>
          <w:spacing w:val="-20"/>
          <w:kern w:val="0"/>
          <w:sz w:val="32"/>
          <w:szCs w:val="32"/>
        </w:rPr>
        <w:t xml:space="preserve"> 华池县元城初级中学</w:t>
      </w:r>
      <w:r>
        <w:rPr>
          <w:rFonts w:hint="eastAsia" w:ascii="仿宋_GB2312" w:hAnsi="宋体" w:eastAsia="仿宋_GB2312" w:cs="宋体"/>
          <w:kern w:val="0"/>
          <w:sz w:val="32"/>
          <w:szCs w:val="32"/>
        </w:rPr>
        <w:t>2026年</w:t>
      </w:r>
      <w:r>
        <w:rPr>
          <w:rFonts w:hint="eastAsia" w:ascii="仿宋_GB2312" w:hAnsi="CIDFont+F6" w:eastAsia="仿宋_GB2312"/>
          <w:color w:val="000000"/>
          <w:sz w:val="32"/>
          <w:szCs w:val="32"/>
        </w:rPr>
        <w:t>部门/单位</w:t>
      </w:r>
      <w:r>
        <w:rPr>
          <w:rFonts w:hint="eastAsia" w:ascii="仿宋_GB2312" w:hAnsi="宋体" w:eastAsia="仿宋_GB2312" w:cs="宋体"/>
          <w:kern w:val="0"/>
          <w:sz w:val="32"/>
          <w:szCs w:val="32"/>
        </w:rPr>
        <w:t>整体支出绩效目标及预算项目绩效目标表</w:t>
      </w:r>
    </w:p>
    <w:p w14:paraId="22DB4760">
      <w:pPr>
        <w:tabs>
          <w:tab w:val="left" w:pos="1272"/>
        </w:tabs>
      </w:pPr>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TimesNewRomanPSMT">
    <w:altName w:val="Times New Roman"/>
    <w:panose1 w:val="00000000000000000000"/>
    <w:charset w:val="00"/>
    <w:family w:val="roman"/>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80F3C52" w:usb2="00000016" w:usb3="00000000" w:csb0="0004001F" w:csb1="00000000"/>
  </w:font>
  <w:font w:name="TimesNewRomanPS-BoldMT">
    <w:altName w:val="Segoe Print"/>
    <w:panose1 w:val="00000000000000000000"/>
    <w:charset w:val="00"/>
    <w:family w:val="roma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CIDFont+F6">
    <w:altName w:val="Segoe Print"/>
    <w:panose1 w:val="00000000000000000000"/>
    <w:charset w:val="00"/>
    <w:family w:val="roman"/>
    <w:pitch w:val="default"/>
    <w:sig w:usb0="00000000" w:usb1="00000000" w:usb2="00000000" w:usb3="00000000" w:csb0="00000000" w:csb1="00000000"/>
  </w:font>
  <w:font w:name="CIDFont+F4">
    <w:altName w:val="Segoe Print"/>
    <w:panose1 w:val="00000000000000000000"/>
    <w:charset w:val="00"/>
    <w:family w:val="roman"/>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EBF69E">
    <w:pPr>
      <w:pStyle w:val="5"/>
      <w:jc w:val="center"/>
    </w:pPr>
  </w:p>
  <w:p w14:paraId="18AFAB9B">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4C854A">
    <w:pPr>
      <w:pStyle w:val="5"/>
      <w:jc w:val="center"/>
    </w:pPr>
    <w:r>
      <w:fldChar w:fldCharType="begin"/>
    </w:r>
    <w:r>
      <w:instrText xml:space="preserve">PAGE   \* MERGEFORMAT</w:instrText>
    </w:r>
    <w:r>
      <w:fldChar w:fldCharType="separate"/>
    </w:r>
    <w:r>
      <w:rPr>
        <w:lang w:val="zh-CN"/>
      </w:rPr>
      <w:t>10</w:t>
    </w:r>
    <w:r>
      <w:fldChar w:fldCharType="end"/>
    </w:r>
  </w:p>
  <w:p w14:paraId="7F222DAC">
    <w:pPr>
      <w:pStyle w:val="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BjNDcxNWMxNzA4MWQ4MjRlNWExMTQwYmYzY2EyYmIifQ=="/>
  </w:docVars>
  <w:rsids>
    <w:rsidRoot w:val="00FB4362"/>
    <w:rsid w:val="00000C55"/>
    <w:rsid w:val="00001446"/>
    <w:rsid w:val="0001130C"/>
    <w:rsid w:val="00011F27"/>
    <w:rsid w:val="00012457"/>
    <w:rsid w:val="00021BBF"/>
    <w:rsid w:val="00030443"/>
    <w:rsid w:val="00030F4C"/>
    <w:rsid w:val="0003278A"/>
    <w:rsid w:val="000368FE"/>
    <w:rsid w:val="00042A06"/>
    <w:rsid w:val="00043601"/>
    <w:rsid w:val="000442B5"/>
    <w:rsid w:val="0004639D"/>
    <w:rsid w:val="000465E2"/>
    <w:rsid w:val="0005161F"/>
    <w:rsid w:val="000547D1"/>
    <w:rsid w:val="00055759"/>
    <w:rsid w:val="000612EE"/>
    <w:rsid w:val="00061BAF"/>
    <w:rsid w:val="0006337D"/>
    <w:rsid w:val="000645AA"/>
    <w:rsid w:val="00074626"/>
    <w:rsid w:val="00076B62"/>
    <w:rsid w:val="00082093"/>
    <w:rsid w:val="000861D5"/>
    <w:rsid w:val="0009273A"/>
    <w:rsid w:val="000A20A7"/>
    <w:rsid w:val="000A655B"/>
    <w:rsid w:val="000B54DD"/>
    <w:rsid w:val="000C2055"/>
    <w:rsid w:val="000C2B7F"/>
    <w:rsid w:val="000C37BE"/>
    <w:rsid w:val="000C4C50"/>
    <w:rsid w:val="000D0130"/>
    <w:rsid w:val="000D2EEE"/>
    <w:rsid w:val="000D2F19"/>
    <w:rsid w:val="000E0CEA"/>
    <w:rsid w:val="000F3CBF"/>
    <w:rsid w:val="000F3F42"/>
    <w:rsid w:val="000F473D"/>
    <w:rsid w:val="001017F3"/>
    <w:rsid w:val="0011297B"/>
    <w:rsid w:val="00123768"/>
    <w:rsid w:val="00126B08"/>
    <w:rsid w:val="001272E5"/>
    <w:rsid w:val="00127D01"/>
    <w:rsid w:val="00130F5F"/>
    <w:rsid w:val="001374F5"/>
    <w:rsid w:val="00152FDC"/>
    <w:rsid w:val="001561FD"/>
    <w:rsid w:val="0015647B"/>
    <w:rsid w:val="00156619"/>
    <w:rsid w:val="00156C8B"/>
    <w:rsid w:val="00160A8C"/>
    <w:rsid w:val="001700B4"/>
    <w:rsid w:val="00171070"/>
    <w:rsid w:val="001A416A"/>
    <w:rsid w:val="001A6118"/>
    <w:rsid w:val="001B0364"/>
    <w:rsid w:val="001B0B8E"/>
    <w:rsid w:val="001B342F"/>
    <w:rsid w:val="001C1259"/>
    <w:rsid w:val="001D1DA7"/>
    <w:rsid w:val="001E17E4"/>
    <w:rsid w:val="001E2410"/>
    <w:rsid w:val="001E347C"/>
    <w:rsid w:val="001E6110"/>
    <w:rsid w:val="001F3C4D"/>
    <w:rsid w:val="002033EA"/>
    <w:rsid w:val="00214046"/>
    <w:rsid w:val="0022561F"/>
    <w:rsid w:val="00232DBE"/>
    <w:rsid w:val="002355E7"/>
    <w:rsid w:val="00235F73"/>
    <w:rsid w:val="0023681E"/>
    <w:rsid w:val="00241FEC"/>
    <w:rsid w:val="00243562"/>
    <w:rsid w:val="0025164A"/>
    <w:rsid w:val="00265C3D"/>
    <w:rsid w:val="00266C2E"/>
    <w:rsid w:val="00270DF8"/>
    <w:rsid w:val="002754B3"/>
    <w:rsid w:val="0028392B"/>
    <w:rsid w:val="002934F2"/>
    <w:rsid w:val="002A3A19"/>
    <w:rsid w:val="002A3ED4"/>
    <w:rsid w:val="002A7274"/>
    <w:rsid w:val="002B2833"/>
    <w:rsid w:val="002B7BA1"/>
    <w:rsid w:val="002C01BB"/>
    <w:rsid w:val="002C3FA4"/>
    <w:rsid w:val="002E2161"/>
    <w:rsid w:val="002E30F2"/>
    <w:rsid w:val="002E4E72"/>
    <w:rsid w:val="002F0CE0"/>
    <w:rsid w:val="002F4ED9"/>
    <w:rsid w:val="002F75FE"/>
    <w:rsid w:val="002F7FA5"/>
    <w:rsid w:val="003017F4"/>
    <w:rsid w:val="00301AAB"/>
    <w:rsid w:val="00306B68"/>
    <w:rsid w:val="003129FE"/>
    <w:rsid w:val="003322AC"/>
    <w:rsid w:val="00335342"/>
    <w:rsid w:val="00343A8E"/>
    <w:rsid w:val="00345713"/>
    <w:rsid w:val="003566B9"/>
    <w:rsid w:val="00356C98"/>
    <w:rsid w:val="0036367B"/>
    <w:rsid w:val="0036496C"/>
    <w:rsid w:val="00365414"/>
    <w:rsid w:val="00372734"/>
    <w:rsid w:val="00372A33"/>
    <w:rsid w:val="0037374A"/>
    <w:rsid w:val="00377A88"/>
    <w:rsid w:val="0038504E"/>
    <w:rsid w:val="00392E2B"/>
    <w:rsid w:val="003A396F"/>
    <w:rsid w:val="003A68FD"/>
    <w:rsid w:val="003A7A18"/>
    <w:rsid w:val="003B3187"/>
    <w:rsid w:val="003B327A"/>
    <w:rsid w:val="003B4612"/>
    <w:rsid w:val="003B76D2"/>
    <w:rsid w:val="003D6D41"/>
    <w:rsid w:val="003E3B0A"/>
    <w:rsid w:val="0040581D"/>
    <w:rsid w:val="00417BF3"/>
    <w:rsid w:val="00425D21"/>
    <w:rsid w:val="00426463"/>
    <w:rsid w:val="00427875"/>
    <w:rsid w:val="004317A0"/>
    <w:rsid w:val="0043556D"/>
    <w:rsid w:val="0043739B"/>
    <w:rsid w:val="00441579"/>
    <w:rsid w:val="004418B5"/>
    <w:rsid w:val="00445789"/>
    <w:rsid w:val="00463FB8"/>
    <w:rsid w:val="00480A2F"/>
    <w:rsid w:val="00480B47"/>
    <w:rsid w:val="00481F19"/>
    <w:rsid w:val="00487BC0"/>
    <w:rsid w:val="00490FF8"/>
    <w:rsid w:val="004A1851"/>
    <w:rsid w:val="004B337A"/>
    <w:rsid w:val="004B5538"/>
    <w:rsid w:val="004C3127"/>
    <w:rsid w:val="004D27C3"/>
    <w:rsid w:val="004D44D2"/>
    <w:rsid w:val="004D491E"/>
    <w:rsid w:val="004E3E51"/>
    <w:rsid w:val="004E625A"/>
    <w:rsid w:val="004F73BD"/>
    <w:rsid w:val="00502474"/>
    <w:rsid w:val="00515110"/>
    <w:rsid w:val="00523062"/>
    <w:rsid w:val="00532434"/>
    <w:rsid w:val="00537019"/>
    <w:rsid w:val="0054271B"/>
    <w:rsid w:val="00545281"/>
    <w:rsid w:val="00551A39"/>
    <w:rsid w:val="00566585"/>
    <w:rsid w:val="00580A2F"/>
    <w:rsid w:val="005A2CB7"/>
    <w:rsid w:val="005B15C7"/>
    <w:rsid w:val="005B51EA"/>
    <w:rsid w:val="005C6B92"/>
    <w:rsid w:val="005F4CC9"/>
    <w:rsid w:val="0060056E"/>
    <w:rsid w:val="006039C9"/>
    <w:rsid w:val="00605602"/>
    <w:rsid w:val="00605D22"/>
    <w:rsid w:val="00620A03"/>
    <w:rsid w:val="00621126"/>
    <w:rsid w:val="0062145A"/>
    <w:rsid w:val="00633C60"/>
    <w:rsid w:val="00645C9F"/>
    <w:rsid w:val="00650775"/>
    <w:rsid w:val="0065388D"/>
    <w:rsid w:val="00655506"/>
    <w:rsid w:val="00674396"/>
    <w:rsid w:val="006849AD"/>
    <w:rsid w:val="006853A7"/>
    <w:rsid w:val="0069507F"/>
    <w:rsid w:val="006955DD"/>
    <w:rsid w:val="00697A98"/>
    <w:rsid w:val="006A0492"/>
    <w:rsid w:val="006A3DED"/>
    <w:rsid w:val="006A6E23"/>
    <w:rsid w:val="006B05FF"/>
    <w:rsid w:val="006C4D2E"/>
    <w:rsid w:val="006D3D60"/>
    <w:rsid w:val="006E1F9C"/>
    <w:rsid w:val="006E4A2C"/>
    <w:rsid w:val="006E721A"/>
    <w:rsid w:val="006F0E11"/>
    <w:rsid w:val="006F40C8"/>
    <w:rsid w:val="00700872"/>
    <w:rsid w:val="00706BB4"/>
    <w:rsid w:val="00714029"/>
    <w:rsid w:val="007203B6"/>
    <w:rsid w:val="007222C1"/>
    <w:rsid w:val="00725205"/>
    <w:rsid w:val="0074091B"/>
    <w:rsid w:val="00740927"/>
    <w:rsid w:val="00744302"/>
    <w:rsid w:val="00747C60"/>
    <w:rsid w:val="007732EA"/>
    <w:rsid w:val="00777EA3"/>
    <w:rsid w:val="007933F9"/>
    <w:rsid w:val="00793C7B"/>
    <w:rsid w:val="007954B6"/>
    <w:rsid w:val="007A5E22"/>
    <w:rsid w:val="007B3768"/>
    <w:rsid w:val="007B5395"/>
    <w:rsid w:val="007C38FB"/>
    <w:rsid w:val="007C6434"/>
    <w:rsid w:val="007D4E4C"/>
    <w:rsid w:val="007D5F13"/>
    <w:rsid w:val="007D69F8"/>
    <w:rsid w:val="007E4819"/>
    <w:rsid w:val="007E4E03"/>
    <w:rsid w:val="007E7289"/>
    <w:rsid w:val="00805F3F"/>
    <w:rsid w:val="00817A5D"/>
    <w:rsid w:val="00821209"/>
    <w:rsid w:val="00821491"/>
    <w:rsid w:val="00831411"/>
    <w:rsid w:val="00842536"/>
    <w:rsid w:val="00843692"/>
    <w:rsid w:val="0085135B"/>
    <w:rsid w:val="0085287C"/>
    <w:rsid w:val="008559B6"/>
    <w:rsid w:val="008559FD"/>
    <w:rsid w:val="00855E65"/>
    <w:rsid w:val="0085612E"/>
    <w:rsid w:val="00880868"/>
    <w:rsid w:val="00880D30"/>
    <w:rsid w:val="008811AD"/>
    <w:rsid w:val="008812FA"/>
    <w:rsid w:val="008B222B"/>
    <w:rsid w:val="008C138F"/>
    <w:rsid w:val="008C204C"/>
    <w:rsid w:val="008C2625"/>
    <w:rsid w:val="008C4FE2"/>
    <w:rsid w:val="008D4D6A"/>
    <w:rsid w:val="008F7014"/>
    <w:rsid w:val="009049E9"/>
    <w:rsid w:val="00907F9B"/>
    <w:rsid w:val="00911503"/>
    <w:rsid w:val="00917C2D"/>
    <w:rsid w:val="009209B6"/>
    <w:rsid w:val="00923CB4"/>
    <w:rsid w:val="009335E0"/>
    <w:rsid w:val="00941732"/>
    <w:rsid w:val="009510F3"/>
    <w:rsid w:val="00954018"/>
    <w:rsid w:val="00955590"/>
    <w:rsid w:val="00970435"/>
    <w:rsid w:val="009704EC"/>
    <w:rsid w:val="00971619"/>
    <w:rsid w:val="00982EAB"/>
    <w:rsid w:val="0098505E"/>
    <w:rsid w:val="00991480"/>
    <w:rsid w:val="009945A7"/>
    <w:rsid w:val="00995E63"/>
    <w:rsid w:val="0099643D"/>
    <w:rsid w:val="009969DC"/>
    <w:rsid w:val="00996BA5"/>
    <w:rsid w:val="009A0F79"/>
    <w:rsid w:val="009A3C75"/>
    <w:rsid w:val="009B03F2"/>
    <w:rsid w:val="009C4EE2"/>
    <w:rsid w:val="009D46B1"/>
    <w:rsid w:val="009E7F6E"/>
    <w:rsid w:val="009F2B6A"/>
    <w:rsid w:val="009F5541"/>
    <w:rsid w:val="00A01204"/>
    <w:rsid w:val="00A022BA"/>
    <w:rsid w:val="00A256AC"/>
    <w:rsid w:val="00A32BE3"/>
    <w:rsid w:val="00A4207A"/>
    <w:rsid w:val="00A5653E"/>
    <w:rsid w:val="00A63533"/>
    <w:rsid w:val="00A723C4"/>
    <w:rsid w:val="00A72D2B"/>
    <w:rsid w:val="00A820E9"/>
    <w:rsid w:val="00A82942"/>
    <w:rsid w:val="00A83E24"/>
    <w:rsid w:val="00AA20F8"/>
    <w:rsid w:val="00AA313A"/>
    <w:rsid w:val="00AA327B"/>
    <w:rsid w:val="00AA55AF"/>
    <w:rsid w:val="00AB19A5"/>
    <w:rsid w:val="00AC2FD6"/>
    <w:rsid w:val="00AC57A2"/>
    <w:rsid w:val="00AC78FC"/>
    <w:rsid w:val="00AD4CFE"/>
    <w:rsid w:val="00AE79BA"/>
    <w:rsid w:val="00AF350E"/>
    <w:rsid w:val="00AF3D8F"/>
    <w:rsid w:val="00AF5273"/>
    <w:rsid w:val="00AF5D3D"/>
    <w:rsid w:val="00B0671C"/>
    <w:rsid w:val="00B13495"/>
    <w:rsid w:val="00B262DD"/>
    <w:rsid w:val="00B278DE"/>
    <w:rsid w:val="00B30287"/>
    <w:rsid w:val="00B30EBD"/>
    <w:rsid w:val="00B351C3"/>
    <w:rsid w:val="00B36AC9"/>
    <w:rsid w:val="00B36E7A"/>
    <w:rsid w:val="00B542CD"/>
    <w:rsid w:val="00B6465B"/>
    <w:rsid w:val="00B772D7"/>
    <w:rsid w:val="00B85451"/>
    <w:rsid w:val="00B86006"/>
    <w:rsid w:val="00B86D86"/>
    <w:rsid w:val="00BA2A96"/>
    <w:rsid w:val="00BA5FE5"/>
    <w:rsid w:val="00BC1FD9"/>
    <w:rsid w:val="00BC30FF"/>
    <w:rsid w:val="00BC500D"/>
    <w:rsid w:val="00BD7FD7"/>
    <w:rsid w:val="00BF1606"/>
    <w:rsid w:val="00BF1647"/>
    <w:rsid w:val="00BF5A25"/>
    <w:rsid w:val="00C06428"/>
    <w:rsid w:val="00C11347"/>
    <w:rsid w:val="00C35018"/>
    <w:rsid w:val="00C40A34"/>
    <w:rsid w:val="00C4484E"/>
    <w:rsid w:val="00C46F7C"/>
    <w:rsid w:val="00C519B5"/>
    <w:rsid w:val="00C55EDB"/>
    <w:rsid w:val="00C573E9"/>
    <w:rsid w:val="00C729DA"/>
    <w:rsid w:val="00C764B7"/>
    <w:rsid w:val="00C90B56"/>
    <w:rsid w:val="00CA3F25"/>
    <w:rsid w:val="00CB5B9D"/>
    <w:rsid w:val="00CB6428"/>
    <w:rsid w:val="00CC01A5"/>
    <w:rsid w:val="00CC2134"/>
    <w:rsid w:val="00CD255A"/>
    <w:rsid w:val="00CE6F9F"/>
    <w:rsid w:val="00D126EC"/>
    <w:rsid w:val="00D14955"/>
    <w:rsid w:val="00D22E5C"/>
    <w:rsid w:val="00D24CD6"/>
    <w:rsid w:val="00D24FA6"/>
    <w:rsid w:val="00D544D2"/>
    <w:rsid w:val="00D660F8"/>
    <w:rsid w:val="00D744C5"/>
    <w:rsid w:val="00D827AF"/>
    <w:rsid w:val="00D8451F"/>
    <w:rsid w:val="00D8474D"/>
    <w:rsid w:val="00D84D5B"/>
    <w:rsid w:val="00D86771"/>
    <w:rsid w:val="00D90C73"/>
    <w:rsid w:val="00D90F17"/>
    <w:rsid w:val="00D9480E"/>
    <w:rsid w:val="00D94FFD"/>
    <w:rsid w:val="00DA7038"/>
    <w:rsid w:val="00DB4AF2"/>
    <w:rsid w:val="00DB572A"/>
    <w:rsid w:val="00DC14B3"/>
    <w:rsid w:val="00DC399C"/>
    <w:rsid w:val="00DC7D6D"/>
    <w:rsid w:val="00DD2999"/>
    <w:rsid w:val="00DD2B43"/>
    <w:rsid w:val="00DD2CF8"/>
    <w:rsid w:val="00DD5C58"/>
    <w:rsid w:val="00DE240B"/>
    <w:rsid w:val="00DE529C"/>
    <w:rsid w:val="00DE6D9E"/>
    <w:rsid w:val="00DF3482"/>
    <w:rsid w:val="00DF450F"/>
    <w:rsid w:val="00E04A58"/>
    <w:rsid w:val="00E07425"/>
    <w:rsid w:val="00E07A05"/>
    <w:rsid w:val="00E16025"/>
    <w:rsid w:val="00E167FD"/>
    <w:rsid w:val="00E16F50"/>
    <w:rsid w:val="00E24179"/>
    <w:rsid w:val="00E27695"/>
    <w:rsid w:val="00E31783"/>
    <w:rsid w:val="00E36636"/>
    <w:rsid w:val="00E43A34"/>
    <w:rsid w:val="00E44D37"/>
    <w:rsid w:val="00E52850"/>
    <w:rsid w:val="00E609A5"/>
    <w:rsid w:val="00E61928"/>
    <w:rsid w:val="00E656D2"/>
    <w:rsid w:val="00E7276C"/>
    <w:rsid w:val="00E84382"/>
    <w:rsid w:val="00E9180B"/>
    <w:rsid w:val="00EA0646"/>
    <w:rsid w:val="00EA2BA4"/>
    <w:rsid w:val="00EA3103"/>
    <w:rsid w:val="00EA59EE"/>
    <w:rsid w:val="00EB15C1"/>
    <w:rsid w:val="00EC325A"/>
    <w:rsid w:val="00EC3A8E"/>
    <w:rsid w:val="00EC57F0"/>
    <w:rsid w:val="00ED68AF"/>
    <w:rsid w:val="00EF2E7C"/>
    <w:rsid w:val="00F01A6E"/>
    <w:rsid w:val="00F11811"/>
    <w:rsid w:val="00F20178"/>
    <w:rsid w:val="00F23C6C"/>
    <w:rsid w:val="00F24BC8"/>
    <w:rsid w:val="00F25045"/>
    <w:rsid w:val="00F30F3E"/>
    <w:rsid w:val="00F32002"/>
    <w:rsid w:val="00F4605D"/>
    <w:rsid w:val="00F51EF5"/>
    <w:rsid w:val="00F74928"/>
    <w:rsid w:val="00F8197E"/>
    <w:rsid w:val="00F833B1"/>
    <w:rsid w:val="00F87D90"/>
    <w:rsid w:val="00F90495"/>
    <w:rsid w:val="00FA4179"/>
    <w:rsid w:val="00FB4362"/>
    <w:rsid w:val="00FB53A1"/>
    <w:rsid w:val="00FD30CF"/>
    <w:rsid w:val="00FE0E46"/>
    <w:rsid w:val="00FF0AEC"/>
    <w:rsid w:val="00FF1DF4"/>
    <w:rsid w:val="00FF4165"/>
    <w:rsid w:val="02E03DF9"/>
    <w:rsid w:val="113741D2"/>
    <w:rsid w:val="17BE08EA"/>
    <w:rsid w:val="18330BA7"/>
    <w:rsid w:val="1D34261E"/>
    <w:rsid w:val="42A05423"/>
    <w:rsid w:val="4C433C79"/>
    <w:rsid w:val="527E074E"/>
    <w:rsid w:val="56393C72"/>
    <w:rsid w:val="579503FF"/>
    <w:rsid w:val="60535296"/>
    <w:rsid w:val="647B7A37"/>
    <w:rsid w:val="72FD2525"/>
    <w:rsid w:val="78106856"/>
    <w:rsid w:val="FF7FF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qFormat="1" w:unhideWhenUsed="0" w:uiPriority="0" w:semiHidden="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16"/>
    <w:qFormat/>
    <w:uiPriority w:val="0"/>
    <w:pPr>
      <w:keepNext/>
      <w:keepLines/>
      <w:spacing w:before="340" w:after="330" w:line="578" w:lineRule="auto"/>
      <w:outlineLvl w:val="0"/>
    </w:pPr>
    <w:rPr>
      <w:rFonts w:ascii="Times New Roman" w:hAnsi="Times New Roman"/>
      <w:b/>
      <w:bCs/>
      <w:kern w:val="44"/>
      <w:sz w:val="44"/>
      <w:szCs w:val="44"/>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18"/>
    <w:autoRedefine/>
    <w:qFormat/>
    <w:uiPriority w:val="0"/>
    <w:pPr>
      <w:jc w:val="left"/>
    </w:pPr>
  </w:style>
  <w:style w:type="paragraph" w:styleId="4">
    <w:name w:val="Balloon Text"/>
    <w:basedOn w:val="1"/>
    <w:link w:val="15"/>
    <w:qFormat/>
    <w:uiPriority w:val="0"/>
    <w:rPr>
      <w:sz w:val="18"/>
      <w:szCs w:val="18"/>
    </w:rPr>
  </w:style>
  <w:style w:type="paragraph" w:styleId="5">
    <w:name w:val="footer"/>
    <w:basedOn w:val="1"/>
    <w:link w:val="12"/>
    <w:qFormat/>
    <w:uiPriority w:val="0"/>
    <w:pPr>
      <w:tabs>
        <w:tab w:val="center" w:pos="4153"/>
        <w:tab w:val="right" w:pos="8306"/>
      </w:tabs>
      <w:snapToGrid w:val="0"/>
      <w:jc w:val="left"/>
    </w:pPr>
    <w:rPr>
      <w:sz w:val="18"/>
      <w:szCs w:val="18"/>
    </w:rPr>
  </w:style>
  <w:style w:type="paragraph" w:styleId="6">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paragraph" w:styleId="7">
    <w:name w:val="annotation subject"/>
    <w:basedOn w:val="3"/>
    <w:next w:val="3"/>
    <w:link w:val="19"/>
    <w:autoRedefine/>
    <w:qFormat/>
    <w:uiPriority w:val="0"/>
    <w:rPr>
      <w:b/>
      <w:bCs/>
    </w:rPr>
  </w:style>
  <w:style w:type="character" w:styleId="10">
    <w:name w:val="line number"/>
    <w:autoRedefine/>
    <w:qFormat/>
    <w:uiPriority w:val="0"/>
  </w:style>
  <w:style w:type="character" w:styleId="11">
    <w:name w:val="annotation reference"/>
    <w:autoRedefine/>
    <w:qFormat/>
    <w:uiPriority w:val="0"/>
    <w:rPr>
      <w:sz w:val="21"/>
      <w:szCs w:val="21"/>
    </w:rPr>
  </w:style>
  <w:style w:type="character" w:customStyle="1" w:styleId="12">
    <w:name w:val="页脚 Char"/>
    <w:link w:val="5"/>
    <w:qFormat/>
    <w:uiPriority w:val="0"/>
    <w:rPr>
      <w:sz w:val="18"/>
      <w:szCs w:val="18"/>
    </w:rPr>
  </w:style>
  <w:style w:type="character" w:customStyle="1" w:styleId="13">
    <w:name w:val="页眉 Char"/>
    <w:link w:val="6"/>
    <w:autoRedefine/>
    <w:qFormat/>
    <w:uiPriority w:val="0"/>
    <w:rPr>
      <w:sz w:val="18"/>
      <w:szCs w:val="18"/>
    </w:rPr>
  </w:style>
  <w:style w:type="paragraph" w:styleId="14">
    <w:name w:val="List Paragraph"/>
    <w:basedOn w:val="1"/>
    <w:qFormat/>
    <w:uiPriority w:val="0"/>
    <w:pPr>
      <w:ind w:firstLine="420" w:firstLineChars="200"/>
    </w:pPr>
  </w:style>
  <w:style w:type="character" w:customStyle="1" w:styleId="15">
    <w:name w:val="批注框文本 Char"/>
    <w:link w:val="4"/>
    <w:qFormat/>
    <w:uiPriority w:val="0"/>
    <w:rPr>
      <w:kern w:val="2"/>
      <w:sz w:val="18"/>
      <w:szCs w:val="18"/>
    </w:rPr>
  </w:style>
  <w:style w:type="character" w:customStyle="1" w:styleId="16">
    <w:name w:val="标题 1 Char"/>
    <w:link w:val="2"/>
    <w:autoRedefine/>
    <w:qFormat/>
    <w:uiPriority w:val="0"/>
    <w:rPr>
      <w:rFonts w:ascii="Times New Roman" w:hAnsi="Times New Roman"/>
      <w:b/>
      <w:bCs/>
      <w:kern w:val="44"/>
      <w:sz w:val="44"/>
      <w:szCs w:val="44"/>
    </w:rPr>
  </w:style>
  <w:style w:type="paragraph" w:customStyle="1" w:styleId="17">
    <w:name w:val="TOC 标题1"/>
    <w:basedOn w:val="2"/>
    <w:next w:val="1"/>
    <w:qFormat/>
    <w:uiPriority w:val="0"/>
    <w:pPr>
      <w:widowControl/>
      <w:spacing w:before="480" w:after="0" w:line="276" w:lineRule="auto"/>
      <w:jc w:val="left"/>
      <w:outlineLvl w:val="9"/>
    </w:pPr>
    <w:rPr>
      <w:rFonts w:ascii="Cambria" w:hAnsi="Cambria"/>
      <w:color w:val="365F91"/>
      <w:kern w:val="0"/>
      <w:sz w:val="28"/>
      <w:szCs w:val="28"/>
    </w:rPr>
  </w:style>
  <w:style w:type="character" w:customStyle="1" w:styleId="18">
    <w:name w:val="批注文字 Char"/>
    <w:link w:val="3"/>
    <w:qFormat/>
    <w:uiPriority w:val="0"/>
    <w:rPr>
      <w:kern w:val="2"/>
      <w:sz w:val="21"/>
      <w:szCs w:val="22"/>
    </w:rPr>
  </w:style>
  <w:style w:type="character" w:customStyle="1" w:styleId="19">
    <w:name w:val="批注主题 Char"/>
    <w:link w:val="7"/>
    <w:qFormat/>
    <w:uiPriority w:val="0"/>
    <w:rPr>
      <w:b/>
      <w:bCs/>
      <w:kern w:val="2"/>
      <w:sz w:val="21"/>
      <w:szCs w:val="22"/>
    </w:rPr>
  </w:style>
  <w:style w:type="character" w:customStyle="1" w:styleId="20">
    <w:name w:val="fontstyle01"/>
    <w:autoRedefine/>
    <w:qFormat/>
    <w:uiPriority w:val="0"/>
    <w:rPr>
      <w:rFonts w:hint="eastAsia" w:ascii="仿宋_GB2312" w:eastAsia="仿宋_GB2312"/>
      <w:color w:val="000000"/>
      <w:sz w:val="32"/>
      <w:szCs w:val="32"/>
    </w:rPr>
  </w:style>
  <w:style w:type="character" w:customStyle="1" w:styleId="21">
    <w:name w:val="fontstyle21"/>
    <w:autoRedefine/>
    <w:qFormat/>
    <w:uiPriority w:val="0"/>
    <w:rPr>
      <w:rFonts w:hint="default" w:ascii="TimesNewRomanPSMT" w:hAnsi="TimesNewRomanPSMT"/>
      <w:color w:val="000000"/>
      <w:sz w:val="32"/>
      <w:szCs w:val="32"/>
    </w:rPr>
  </w:style>
  <w:style w:type="character" w:customStyle="1" w:styleId="22">
    <w:name w:val="fontstyle11"/>
    <w:autoRedefine/>
    <w:qFormat/>
    <w:uiPriority w:val="0"/>
    <w:rPr>
      <w:rFonts w:hint="eastAsia" w:ascii="仿宋_GB2312" w:eastAsia="仿宋_GB2312"/>
      <w:color w:val="000000"/>
      <w:sz w:val="32"/>
      <w:szCs w:val="32"/>
    </w:rPr>
  </w:style>
  <w:style w:type="character" w:customStyle="1" w:styleId="23">
    <w:name w:val="fontstyle31"/>
    <w:autoRedefine/>
    <w:qFormat/>
    <w:uiPriority w:val="0"/>
    <w:rPr>
      <w:rFonts w:hint="default" w:ascii="TimesNewRomanPSMT" w:hAnsi="TimesNewRomanPSMT"/>
      <w:color w:val="000000"/>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beijing</Company>
  <Pages>11</Pages>
  <Words>3968</Words>
  <Characters>4290</Characters>
  <Lines>31</Lines>
  <Paragraphs>8</Paragraphs>
  <TotalTime>8</TotalTime>
  <ScaleCrop>false</ScaleCrop>
  <LinksUpToDate>false</LinksUpToDate>
  <CharactersWithSpaces>4353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2026-03-13T02:49:00Z</dcterms:created>
  <dc:creator>home</dc:creator>
  <cp:lastModifiedBy>娜娜</cp:lastModifiedBy>
  <cp:lastPrinted>2022-02-15T15:45:00Z</cp:lastPrinted>
  <dcterms:modified xsi:type="dcterms:W3CDTF">2026-03-17T02:50:49Z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A7DD1E178BE747F88347974B78ED5C1D_13</vt:lpwstr>
  </property>
  <property fmtid="{D5CDD505-2E9C-101B-9397-08002B2CF9AE}" pid="4" name="KSOTemplateDocerSaveRecord">
    <vt:lpwstr>eyJoZGlkIjoiNTkwNjI1YTgzMTUwMWM2NjhkNGE4MThhZTgyY2UyNzUiLCJ1c2VySWQiOiIyNzMwNTExODgifQ==</vt:lpwstr>
  </property>
</Properties>
</file>