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华池县供销合作社联合社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left="643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供销社</w:t>
      </w:r>
      <w:r>
        <w:rPr>
          <w:rFonts w:hint="eastAsia" w:ascii="仿宋_GB2312" w:hAnsi="Times New Roman" w:eastAsia="仿宋_GB2312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sz w:val="32"/>
          <w:szCs w:val="32"/>
        </w:rPr>
        <w:t>服务“三农”</w:t>
      </w:r>
      <w:r>
        <w:rPr>
          <w:rFonts w:hint="eastAsia" w:ascii="仿宋_GB2312" w:hAnsi="Times New Roman" w:eastAsia="仿宋_GB2312"/>
          <w:sz w:val="32"/>
          <w:szCs w:val="32"/>
        </w:rPr>
        <w:t>的职能部门。主要职责是:</w:t>
      </w:r>
      <w:r>
        <w:rPr>
          <w:rFonts w:hint="eastAsia" w:ascii="仿宋_GB2312" w:hAnsi="宋体" w:eastAsia="仿宋_GB2312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(1)对基层社及所属企业履行指导、协调、监督、服务行和行使政府授权的职能。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(2)负责制定和落实全县供销社及专业合作社发展规划。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(3)落实县政府委托的政策性经营任务。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(4)指导全行业经营结构的调整、企业改革、改制和扭亏增盈工作。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(5)参与和推进特色农产品的产业化经营。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(6)组织、创办以农产品为主的龙头加工企业。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(7)组织、创办、领办、协办全县农村合作经济组织。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(8)负责为农村和农民提供农业生产资料的组织供应。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(9)建设和规范农村流通市场，拓宽农副产品购销渠道，增加农民收入。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(10)管理省政府确定的大宗特色农产品和农业生产资料，废旧物资回收利用，烟花爆竹的十三种产品、商品的经营业务。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560" w:lineRule="exact"/>
        <w:ind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（1）机关内设机构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560" w:lineRule="exact"/>
        <w:ind w:firstLine="645"/>
        <w:textAlignment w:val="auto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办公室、财务室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560" w:lineRule="exact"/>
        <w:ind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（2）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人员情况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560" w:lineRule="exact"/>
        <w:ind w:firstLine="640"/>
        <w:jc w:val="both"/>
        <w:textAlignment w:val="auto"/>
        <w:rPr>
          <w:rFonts w:ascii="仿宋_GB2312" w:eastAsia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cs="仿宋_GB2312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单位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共有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编制7名，财政供养总人数1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人，雇佣人员1人，离退休6人，遗属3人。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三、收支总体情况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140.38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140.38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140.38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140.38</w:t>
      </w:r>
      <w:r>
        <w:rPr>
          <w:rFonts w:hint="eastAsia" w:ascii="仿宋_GB2312" w:hAnsi="仿宋" w:eastAsia="仿宋_GB2312"/>
          <w:sz w:val="32"/>
          <w:szCs w:val="32"/>
        </w:rPr>
        <w:t>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128.98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91.88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11.4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8.12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140.38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86.8</w:t>
      </w:r>
      <w:r>
        <w:rPr>
          <w:rStyle w:val="21"/>
          <w:rFonts w:hint="default" w:hAnsi="仿宋"/>
        </w:rPr>
        <w:t>万元、社会保障和就业支出</w:t>
      </w:r>
      <w:r>
        <w:rPr>
          <w:rStyle w:val="21"/>
          <w:rFonts w:hint="eastAsia" w:hAnsi="仿宋" w:eastAsia="仿宋_GB2312"/>
          <w:lang w:val="en-US" w:eastAsia="zh-CN"/>
        </w:rPr>
        <w:t>17.35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卫生健康</w:t>
      </w:r>
      <w:r>
        <w:rPr>
          <w:rStyle w:val="21"/>
          <w:rFonts w:hint="default" w:hAnsi="仿宋"/>
        </w:rPr>
        <w:t>支出</w:t>
      </w:r>
      <w:r>
        <w:rPr>
          <w:rStyle w:val="21"/>
          <w:rFonts w:hint="eastAsia" w:hAnsi="仿宋" w:eastAsia="仿宋_GB2312"/>
          <w:lang w:val="en-US" w:eastAsia="zh-CN"/>
        </w:rPr>
        <w:t>6.32万元，商业服务业</w:t>
      </w:r>
      <w:r>
        <w:rPr>
          <w:rStyle w:val="21"/>
          <w:rFonts w:hint="default" w:hAnsi="仿宋"/>
        </w:rPr>
        <w:t>支出</w:t>
      </w:r>
      <w:r>
        <w:rPr>
          <w:rStyle w:val="22"/>
          <w:rFonts w:hint="eastAsia" w:ascii="仿宋_GB2312" w:hAnsi="仿宋" w:eastAsia="仿宋_GB2312"/>
          <w:lang w:val="en-US" w:eastAsia="zh-CN"/>
        </w:rPr>
        <w:t>21.47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eastAsia" w:hAnsi="仿宋" w:eastAsia="仿宋_GB2312"/>
          <w:lang w:val="en-US" w:eastAsia="zh-CN"/>
        </w:rPr>
        <w:t>住房保障支出8.44万元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128.98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增加6.32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增加4.9</w:t>
      </w:r>
      <w:r>
        <w:rPr>
          <w:rFonts w:hint="eastAsia" w:ascii="仿宋_GB2312" w:hAnsi="仿宋" w:eastAsia="仿宋_GB2312"/>
          <w:sz w:val="32"/>
          <w:szCs w:val="32"/>
        </w:rPr>
        <w:t>%，增长主要原因是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人员费用增加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117.51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22.87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供销综合改革经费、供销弱势群体扶持费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86.8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减少6.16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18.37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3、卫生健康支出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4.98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4、商业服务业等支出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2024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与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五、一般公共预算财政拨款“三公”经费、培训费、会议费等情况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97.12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供销综合改革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1、项目概况：完成省市下达的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供销改革</w:t>
      </w:r>
      <w:r>
        <w:rPr>
          <w:rFonts w:hint="eastAsia" w:ascii="仿宋_GB2312" w:hAnsi="仿宋" w:eastAsia="仿宋_GB2312"/>
          <w:sz w:val="32"/>
          <w:szCs w:val="32"/>
        </w:rPr>
        <w:t>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中央、省市县供销改革方案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华池县供销合作社联合社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每年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持续完成供销综合改革任务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7、预期总体目标：完成省市下达的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供销改革</w:t>
      </w:r>
      <w:r>
        <w:rPr>
          <w:rFonts w:hint="eastAsia" w:ascii="仿宋_GB2312" w:hAnsi="仿宋" w:eastAsia="仿宋_GB2312"/>
          <w:sz w:val="32"/>
          <w:szCs w:val="32"/>
        </w:rPr>
        <w:t>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个，其中，整体支出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个，绩效自评结果随部门决算报送财政和随决算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一并</w:t>
      </w:r>
      <w:r>
        <w:rPr>
          <w:rFonts w:hint="eastAsia" w:ascii="仿宋_GB2312" w:hAnsi="仿宋" w:eastAsia="仿宋_GB2312"/>
          <w:sz w:val="32"/>
          <w:szCs w:val="32"/>
        </w:rPr>
        <w:t>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年度绩效运行监控、绩效自评等情况，2024年度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和调整</w:t>
      </w:r>
      <w:r>
        <w:rPr>
          <w:rFonts w:hint="eastAsia" w:ascii="仿宋_GB2312" w:hAnsi="仿宋" w:eastAsia="仿宋_GB2312"/>
          <w:sz w:val="32"/>
          <w:szCs w:val="32"/>
        </w:rPr>
        <w:t>预算项目。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right="960" w:firstLine="5120" w:firstLineChars="1600"/>
        <w:contextualSpacing/>
        <w:jc w:val="both"/>
        <w:textAlignment w:val="auto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华池县供销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合作社联合社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right="1120" w:firstLine="5760" w:firstLineChars="1800"/>
        <w:contextualSpacing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华池县供销社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华池县供销社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>
      <w:pPr>
        <w:tabs>
          <w:tab w:val="left" w:pos="1272"/>
        </w:tabs>
      </w:pPr>
    </w:p>
    <w:sectPr>
      <w:footerReference r:id="rId5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C9E67B5"/>
    <w:rsid w:val="1D34261E"/>
    <w:rsid w:val="247168E4"/>
    <w:rsid w:val="3F742A36"/>
    <w:rsid w:val="42A05423"/>
    <w:rsid w:val="4C433C79"/>
    <w:rsid w:val="527E074E"/>
    <w:rsid w:val="56393C72"/>
    <w:rsid w:val="579503FF"/>
    <w:rsid w:val="5FAD2EF6"/>
    <w:rsid w:val="60535296"/>
    <w:rsid w:val="72FD2525"/>
    <w:rsid w:val="78106856"/>
    <w:rsid w:val="799B4BEB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qFormat/>
    <w:uiPriority w:val="0"/>
    <w:rPr>
      <w:b/>
      <w:bCs/>
    </w:rPr>
  </w:style>
  <w:style w:type="character" w:styleId="11">
    <w:name w:val="lin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14</Pages>
  <Words>4809</Words>
  <Characters>5046</Characters>
  <Lines>68</Lines>
  <Paragraphs>19</Paragraphs>
  <TotalTime>21</TotalTime>
  <ScaleCrop>false</ScaleCrop>
  <LinksUpToDate>false</LinksUpToDate>
  <CharactersWithSpaces>5516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2022-02-15T15:45:00Z</cp:lastPrinted>
  <dcterms:modified xsi:type="dcterms:W3CDTF">2026-03-16T02:22:03Z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eyJoZGlkIjoiNDVhYWM2MGU3ZDRjZDA3MjA3NmIwM2M4YmY0YzlkMjgiLCJ1c2VySWQiOiIzNDEyNzAxNDkifQ==</vt:lpwstr>
  </property>
</Properties>
</file>