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7AE685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华池县人社部门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一、部门职责</w:t>
      </w:r>
    </w:p>
    <w:p w14:paraId="4BA1D0E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（一）负责贯彻执行《劳动法》、《劳动合同法》和《劳动保障监察条例》等法律法规。</w:t>
      </w:r>
    </w:p>
    <w:p w14:paraId="6FE39310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（二）贯彻落实国家和省、市人力资源和社会保障系统的各项政策，拟订和修改全县人力资源和社会保障事业发展规划和政策，并组织实施和监督检查。</w:t>
      </w:r>
    </w:p>
    <w:p w14:paraId="0F36BCDF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（三）负责组织实施全县事业单位工作人员公开招聘、培训、考核、奖惩、调配、退休、退职、权利保障等工作。</w:t>
      </w:r>
    </w:p>
    <w:p w14:paraId="1E4CC05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（四）负责专业技术人员职称资格审核申报（含以考代评）、考核，制定和修改专业技术人员管理办法，负责高层次专业技术人才选拔和培养工作，参与拟订引进储备高层次急需人才政策并组织实施。</w:t>
      </w:r>
    </w:p>
    <w:p w14:paraId="4F723470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五）负责协调劳动关系，处理劳动争议，执行劳动监察，建立健全劳动关系协调机制。统筹执行劳动人事争议仲裁制度，依法处理全县劳动人事争议案件。主管全县劳动保障监察工作，依法对县域机关企事业单位实施劳动保障监察，组织查处劳动保障违法违规案件，维护劳动者合法权益。</w:t>
      </w:r>
    </w:p>
    <w:p w14:paraId="3833070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六）负责会同有关部门拟订事业单位综合配套改革政策，指导落实全县事业单位人事制度改革工作，贯彻落实国家和省、市关于事业单位人员和机关工勤人员人事管理政策，会同有关部门加强事业单位人员宏观调配管理。</w:t>
      </w:r>
    </w:p>
    <w:p w14:paraId="118D2285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（七）贯彻执行国家各项工资福利政策，承办全县事业单位职工转正定级，工资晋升，工资标准审核，调整企业离退休职工养老金及工资统计工作。</w:t>
      </w:r>
    </w:p>
    <w:p w14:paraId="326DAEDA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（八）负责全县各项社会保险、就业再就业安置和劳务输出工作。</w:t>
      </w:r>
    </w:p>
    <w:p w14:paraId="4DD81785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（九）负责全县事业单位一般干部、工人、专业技术人员档案、流动人才档案收集、整理、查阅利用等工作。</w:t>
      </w:r>
    </w:p>
    <w:p w14:paraId="02859B1B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（十）承办县委、县政府及上级业务部门交办的其他事项。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71F3FA7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人社部门共有职工112人，其中正式职工82人，临时工10人，退休12人，遗属8人。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3F3C8322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参照公务员法管理单位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3个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，分别为华池县社会保险事业管理中心、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华池县城乡就业服务局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、华池县劳动人事争议仲裁院。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1DB60095">
      <w:pPr>
        <w:spacing w:line="600" w:lineRule="exact"/>
        <w:ind w:firstLine="640" w:firstLineChars="200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直属事业单位3个，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分别为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华池县人力资源市场管理中心、华池县城乡居民社会养老保险局、华池县劳动保障服务中心。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2659.99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2659.99</w:t>
      </w:r>
      <w:r>
        <w:rPr>
          <w:rFonts w:hint="eastAsia" w:ascii="仿宋_GB2312" w:hAnsi="仿宋" w:eastAsia="仿宋_GB2312"/>
          <w:sz w:val="32"/>
          <w:szCs w:val="32"/>
        </w:rPr>
        <w:t>万元（详见部门预算公开表1,2）。包括：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2659.99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2659.99</w:t>
      </w:r>
      <w:r>
        <w:rPr>
          <w:rFonts w:hint="eastAsia" w:ascii="仿宋_GB2312" w:hAnsi="仿宋" w:eastAsia="仿宋_GB2312"/>
          <w:sz w:val="32"/>
          <w:szCs w:val="32"/>
        </w:rPr>
        <w:t>万元（详见部门预算公开表3）。</w:t>
      </w:r>
      <w:r>
        <w:rPr>
          <w:rStyle w:val="22"/>
          <w:rFonts w:hint="default" w:hAnsi="仿宋"/>
        </w:rPr>
        <w:t>其中：基本支出</w:t>
      </w:r>
      <w:r>
        <w:rPr>
          <w:rStyle w:val="23"/>
          <w:rFonts w:hint="eastAsia" w:ascii="仿宋_GB2312" w:hAnsi="仿宋" w:eastAsia="仿宋_GB2312"/>
          <w:lang w:val="en-US" w:eastAsia="zh-CN"/>
        </w:rPr>
        <w:t>1368.92</w:t>
      </w:r>
      <w:r>
        <w:rPr>
          <w:rStyle w:val="22"/>
          <w:rFonts w:hint="default" w:hAnsi="仿宋"/>
        </w:rPr>
        <w:t>万元， 占</w:t>
      </w:r>
      <w:r>
        <w:rPr>
          <w:rStyle w:val="22"/>
          <w:rFonts w:hint="eastAsia" w:hAnsi="仿宋" w:eastAsia="仿宋_GB2312"/>
          <w:lang w:val="en-US" w:eastAsia="zh-CN"/>
        </w:rPr>
        <w:t>51.46</w:t>
      </w:r>
      <w:r>
        <w:rPr>
          <w:rStyle w:val="23"/>
          <w:rFonts w:hint="eastAsia" w:ascii="仿宋_GB2312" w:hAnsi="仿宋" w:eastAsia="仿宋_GB2312"/>
        </w:rPr>
        <w:t>%</w:t>
      </w:r>
      <w:r>
        <w:rPr>
          <w:rStyle w:val="22"/>
          <w:rFonts w:hint="default" w:hAnsi="仿宋"/>
        </w:rPr>
        <w:t>； 项目支出</w:t>
      </w:r>
      <w:r>
        <w:rPr>
          <w:rStyle w:val="22"/>
          <w:rFonts w:hint="eastAsia" w:hAnsi="仿宋" w:eastAsia="仿宋_GB2312"/>
          <w:lang w:val="en-US" w:eastAsia="zh-CN"/>
        </w:rPr>
        <w:t>1291.07</w:t>
      </w:r>
      <w:r>
        <w:rPr>
          <w:rStyle w:val="22"/>
          <w:rFonts w:hint="default" w:hAnsi="仿宋"/>
        </w:rPr>
        <w:t>万元，占</w:t>
      </w:r>
      <w:r>
        <w:rPr>
          <w:rStyle w:val="23"/>
          <w:rFonts w:hint="eastAsia" w:ascii="仿宋_GB2312" w:hAnsi="仿宋" w:eastAsia="仿宋_GB2312"/>
          <w:lang w:val="en-US" w:eastAsia="zh-CN"/>
        </w:rPr>
        <w:t>48.54</w:t>
      </w:r>
      <w:r>
        <w:rPr>
          <w:rStyle w:val="23"/>
          <w:rFonts w:hint="eastAsia" w:ascii="仿宋_GB2312" w:hAnsi="仿宋" w:eastAsia="仿宋_GB2312"/>
        </w:rPr>
        <w:t>%</w:t>
      </w:r>
      <w:r>
        <w:rPr>
          <w:rStyle w:val="22"/>
          <w:rFonts w:hint="default" w:hAnsi="仿宋"/>
        </w:rPr>
        <w:t>； 上年结转</w:t>
      </w:r>
      <w:r>
        <w:rPr>
          <w:rStyle w:val="23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default" w:hAnsi="仿宋"/>
        </w:rPr>
        <w:t>万元，占</w:t>
      </w:r>
      <w:r>
        <w:rPr>
          <w:rStyle w:val="23"/>
          <w:rFonts w:hint="eastAsia" w:ascii="仿宋_GB2312" w:hAnsi="仿宋" w:eastAsia="仿宋_GB2312"/>
          <w:lang w:val="en-US" w:eastAsia="zh-CN"/>
        </w:rPr>
        <w:t>0</w:t>
      </w:r>
      <w:r>
        <w:rPr>
          <w:rStyle w:val="23"/>
          <w:rFonts w:hint="eastAsia" w:ascii="仿宋_GB2312" w:hAnsi="仿宋" w:eastAsia="仿宋_GB2312"/>
        </w:rPr>
        <w:t>%</w:t>
      </w:r>
      <w:r>
        <w:rPr>
          <w:rStyle w:val="22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3"/>
          <w:rFonts w:hint="eastAsia" w:ascii="仿宋_GB2312" w:hAnsi="仿宋" w:eastAsia="仿宋_GB2312"/>
          <w:lang w:eastAsia="zh-CN"/>
        </w:rPr>
        <w:t>202</w:t>
      </w:r>
      <w:r>
        <w:rPr>
          <w:rStyle w:val="23"/>
          <w:rFonts w:hint="default" w:ascii="仿宋_GB2312" w:hAnsi="仿宋" w:eastAsia="仿宋_GB2312"/>
          <w:lang w:val="en-US" w:eastAsia="zh-CN"/>
        </w:rPr>
        <w:t>6</w:t>
      </w:r>
      <w:r>
        <w:rPr>
          <w:rStyle w:val="22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2659.99</w:t>
      </w:r>
      <w:r>
        <w:rPr>
          <w:rStyle w:val="22"/>
          <w:rFonts w:hint="default" w:hAnsi="仿宋"/>
        </w:rPr>
        <w:t>万元，包括：一般公共服务支出</w:t>
      </w:r>
      <w:r>
        <w:rPr>
          <w:rStyle w:val="23"/>
          <w:rFonts w:hint="eastAsia" w:ascii="仿宋_GB2312" w:hAnsi="仿宋" w:eastAsia="仿宋_GB2312"/>
          <w:lang w:val="en-US" w:eastAsia="zh-CN"/>
        </w:rPr>
        <w:t>433.69</w:t>
      </w:r>
      <w:r>
        <w:rPr>
          <w:rStyle w:val="22"/>
          <w:rFonts w:hint="default" w:hAnsi="仿宋"/>
        </w:rPr>
        <w:t>万元、公共安全支出</w:t>
      </w:r>
      <w:r>
        <w:rPr>
          <w:rStyle w:val="23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default" w:hAnsi="仿宋"/>
        </w:rPr>
        <w:t>万元、教育支出</w:t>
      </w:r>
      <w:r>
        <w:rPr>
          <w:rStyle w:val="23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default" w:hAnsi="仿宋"/>
        </w:rPr>
        <w:t>万元、科学技术支出</w:t>
      </w:r>
      <w:r>
        <w:rPr>
          <w:rStyle w:val="23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default" w:hAnsi="仿宋"/>
        </w:rPr>
        <w:t>万元、社会保障和就业支出</w:t>
      </w:r>
      <w:r>
        <w:rPr>
          <w:rStyle w:val="23"/>
          <w:rFonts w:hint="eastAsia" w:ascii="仿宋_GB2312" w:hAnsi="仿宋" w:eastAsia="仿宋_GB2312"/>
          <w:lang w:val="en-US" w:eastAsia="zh-CN"/>
        </w:rPr>
        <w:t>2069.28</w:t>
      </w:r>
      <w:r>
        <w:rPr>
          <w:rStyle w:val="22"/>
          <w:rFonts w:hint="default" w:hAnsi="仿宋"/>
        </w:rPr>
        <w:t>万元、</w:t>
      </w:r>
      <w:r>
        <w:rPr>
          <w:rStyle w:val="22"/>
          <w:rFonts w:hint="eastAsia" w:hAnsi="仿宋" w:eastAsia="仿宋_GB2312"/>
          <w:lang w:eastAsia="zh-CN"/>
        </w:rPr>
        <w:t>卫生健康支出</w:t>
      </w:r>
      <w:r>
        <w:rPr>
          <w:rStyle w:val="22"/>
          <w:rFonts w:hint="eastAsia" w:hAnsi="仿宋" w:eastAsia="仿宋_GB2312"/>
          <w:lang w:val="en-US" w:eastAsia="zh-CN"/>
        </w:rPr>
        <w:t>64.36</w:t>
      </w:r>
      <w:r>
        <w:rPr>
          <w:rStyle w:val="22"/>
          <w:rFonts w:hint="default" w:hAnsi="仿宋"/>
        </w:rPr>
        <w:t>万元</w:t>
      </w:r>
      <w:r>
        <w:rPr>
          <w:rStyle w:val="22"/>
          <w:rFonts w:hint="eastAsia" w:hAnsi="仿宋" w:eastAsia="仿宋_GB2312"/>
          <w:lang w:eastAsia="zh-CN"/>
        </w:rPr>
        <w:t>、住房保障支出</w:t>
      </w:r>
      <w:r>
        <w:rPr>
          <w:rStyle w:val="22"/>
          <w:rFonts w:hint="eastAsia" w:hAnsi="仿宋" w:eastAsia="仿宋_GB2312"/>
          <w:lang w:val="en-US" w:eastAsia="zh-CN"/>
        </w:rPr>
        <w:t>92.66万元，</w:t>
      </w:r>
      <w:r>
        <w:rPr>
          <w:rStyle w:val="22"/>
          <w:rFonts w:hint="default" w:hAnsi="仿宋"/>
        </w:rPr>
        <w:t>其他支出</w:t>
      </w:r>
      <w:r>
        <w:rPr>
          <w:rStyle w:val="23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Style w:val="23"/>
          <w:rFonts w:hint="eastAsia" w:ascii="仿宋_GB2312" w:hAnsi="仿宋" w:eastAsia="仿宋_GB2312"/>
          <w:lang w:val="en-US" w:eastAsia="zh-CN"/>
        </w:rPr>
        <w:t>1368.92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87.98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6.87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人员增加，工资福利及各类保险增加。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FF0000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其中：人员经费支出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1261.4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万元，主要包括：基本工资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404.76万元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、津贴补贴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421.5万元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、奖金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80.92万元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、机关事业单位基本养老保险缴费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125.40万元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、职业年金缴费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61.77万元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、职工基本医疗保险缴费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64.36万元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、其他社会保障缴费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7.33万元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、住房公积金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92.66万元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、生活补助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2.69万元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等。</w:t>
      </w:r>
    </w:p>
    <w:p w14:paraId="6D48314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公用经费支出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107.51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万元，主要包括：办公费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13.98万元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、印刷费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8.68万元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、手续费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0.04万元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、水费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0.97万元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、电费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2.95万元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、邮电费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3.75万元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、取暖费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9.88万元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、物业管理费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、差旅费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8.99万元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、维修（护）费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0.83万元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、会议费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0.36万元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、培训费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0.5万元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、公务接待费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0.74万元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、工会经费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8.89万元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、福利费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5.55万元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、其他交通费用</w:t>
      </w:r>
      <w:r>
        <w:rPr>
          <w:rFonts w:hint="default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.76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、其他商品和服务支出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15.32万元，办公设备购置1.34万元。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597376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default" w:ascii="仿宋_GB2312" w:hAnsi="仿宋" w:eastAsia="仿宋_GB2312"/>
          <w:sz w:val="32"/>
          <w:szCs w:val="32"/>
          <w:lang w:val="en-US"/>
        </w:rPr>
        <w:t>1291.07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default" w:ascii="仿宋_GB2312" w:hAnsi="仿宋" w:eastAsia="仿宋_GB2312"/>
          <w:sz w:val="32"/>
          <w:szCs w:val="32"/>
          <w:lang w:val="en-US"/>
        </w:rPr>
        <w:t>217.92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default" w:ascii="仿宋_GB2312" w:hAnsi="仿宋" w:eastAsia="仿宋_GB2312"/>
          <w:sz w:val="32"/>
          <w:szCs w:val="32"/>
          <w:lang w:val="en-US"/>
        </w:rPr>
        <w:t>20.31</w:t>
      </w:r>
      <w:r>
        <w:rPr>
          <w:rFonts w:hint="eastAsia" w:ascii="仿宋_GB2312" w:hAnsi="仿宋" w:eastAsia="仿宋_GB2312"/>
          <w:sz w:val="32"/>
          <w:szCs w:val="32"/>
        </w:rPr>
        <w:t xml:space="preserve"> 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城乡居民基础养老金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增加和增加改制企业退休人员取暖费项目。</w:t>
      </w:r>
    </w:p>
    <w:p w14:paraId="3629A6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个，主要是项目1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乡村公益性岗位补助项目，</w:t>
      </w:r>
      <w:r>
        <w:rPr>
          <w:rFonts w:hint="eastAsia" w:ascii="仿宋_GB2312" w:hAnsi="仿宋" w:eastAsia="仿宋_GB2312"/>
          <w:sz w:val="32"/>
          <w:szCs w:val="32"/>
        </w:rPr>
        <w:t>项目2企业养老保险基金缺口分担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项目3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城乡居民基本养老保险县级补贴，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村干部养老保险。</w:t>
      </w:r>
    </w:p>
    <w:p w14:paraId="50CA5C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个，主要是项目1下岗职工生活补助费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改制企业遗属生活费、差额退休费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项目2改制企业退休人员取暖费。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个，主要是项目1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金保专网维护费，</w:t>
      </w:r>
      <w:r>
        <w:rPr>
          <w:rFonts w:hint="eastAsia" w:ascii="仿宋_GB2312" w:hAnsi="仿宋" w:eastAsia="仿宋_GB2312"/>
          <w:sz w:val="32"/>
          <w:szCs w:val="32"/>
        </w:rPr>
        <w:t>项目2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劳动监察大队执法经费，</w:t>
      </w:r>
      <w:r>
        <w:rPr>
          <w:rFonts w:hint="eastAsia" w:ascii="仿宋_GB2312" w:hAnsi="仿宋" w:eastAsia="仿宋_GB2312"/>
          <w:sz w:val="32"/>
          <w:szCs w:val="32"/>
        </w:rPr>
        <w:t>项目3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干部人事档案管理专项经费，项目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流动人员人事档案基本公共服务经费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5就业服务工作经费，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流动人员人事档案基本公共服务经费。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3D5810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eastAsia="仿宋_GB2312"/>
          <w:color w:val="FF0000"/>
          <w:sz w:val="32"/>
          <w:szCs w:val="32"/>
        </w:rPr>
      </w:pPr>
      <w:r>
        <w:rPr>
          <w:rStyle w:val="22"/>
          <w:rFonts w:hint="default" w:hAnsi="仿宋"/>
        </w:rPr>
        <w:t>一般公共服务支出</w:t>
      </w:r>
      <w:r>
        <w:rPr>
          <w:rStyle w:val="23"/>
          <w:rFonts w:hint="eastAsia" w:ascii="仿宋_GB2312" w:hAnsi="仿宋" w:eastAsia="仿宋_GB2312"/>
          <w:lang w:val="en-US" w:eastAsia="zh-CN"/>
        </w:rPr>
        <w:t>433.69</w:t>
      </w:r>
      <w:r>
        <w:rPr>
          <w:rStyle w:val="22"/>
          <w:rFonts w:hint="default" w:hAnsi="仿宋"/>
        </w:rPr>
        <w:t>万元</w:t>
      </w:r>
      <w:r>
        <w:rPr>
          <w:rStyle w:val="22"/>
          <w:rFonts w:hint="eastAsia" w:hAnsi="仿宋" w:eastAsia="仿宋_GB2312"/>
          <w:lang w:val="en-US" w:eastAsia="zh-CN"/>
        </w:rPr>
        <w:t>,</w:t>
      </w:r>
      <w:r>
        <w:rPr>
          <w:rFonts w:hint="eastAsia" w:ascii="仿宋_GB2312" w:hAnsi="仿宋" w:eastAsia="仿宋_GB2312"/>
          <w:sz w:val="32"/>
          <w:szCs w:val="32"/>
        </w:rPr>
        <w:t>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50.33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13.13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增长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职工工资和社会保险等增加；</w:t>
      </w:r>
      <w:r>
        <w:rPr>
          <w:rStyle w:val="22"/>
          <w:rFonts w:hint="default" w:hAnsi="仿宋"/>
        </w:rPr>
        <w:t>社会保障和就业支出</w:t>
      </w:r>
      <w:r>
        <w:rPr>
          <w:rStyle w:val="23"/>
          <w:rFonts w:hint="eastAsia" w:ascii="仿宋_GB2312" w:hAnsi="仿宋" w:eastAsia="仿宋_GB2312"/>
          <w:lang w:val="en-US" w:eastAsia="zh-CN"/>
        </w:rPr>
        <w:t>2069.28</w:t>
      </w:r>
      <w:r>
        <w:rPr>
          <w:rStyle w:val="22"/>
          <w:rFonts w:hint="default" w:hAnsi="仿宋"/>
        </w:rPr>
        <w:t>万元</w:t>
      </w:r>
      <w:r>
        <w:rPr>
          <w:rStyle w:val="22"/>
          <w:rFonts w:hint="eastAsia" w:hAnsi="仿宋" w:eastAsia="仿宋_GB231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260.65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长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14.41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增长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职工工资增加，社会保险缴费基数变大，费用增加；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64.36万元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6.58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，增长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11.39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增长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人员工资增加，扣缴基数变大。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92.66万元</w:t>
      </w:r>
      <w:r>
        <w:rPr>
          <w:rStyle w:val="22"/>
          <w:rFonts w:hint="eastAsia" w:hAnsi="仿宋" w:eastAsia="仿宋_GB231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7.91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，增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加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9.33</w:t>
      </w:r>
      <w:r>
        <w:rPr>
          <w:rFonts w:hint="eastAsia" w:ascii="仿宋_GB2312" w:hAnsi="仿宋" w:eastAsia="仿宋_GB2312"/>
          <w:sz w:val="32"/>
          <w:szCs w:val="32"/>
        </w:rPr>
        <w:t>%，主要原因是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职工工资增加，缴费基数变大，费用增加。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0.74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0.245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C1E11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F5E9B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0.74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0.245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24.87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公务接待活动减少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%，增长的主要原因是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增加培训任务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C1AA7B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0.16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836CD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机关运行经费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64.07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年预算减少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7.96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万元，下降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11.05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%，下降的主要</w:t>
      </w:r>
      <w:bookmarkStart w:id="0" w:name="_GoBack"/>
      <w:bookmarkEnd w:id="0"/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原因是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人员减少，公用经费福利费等减少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57B4FF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28.06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17.43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10.63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  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2F7EA4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1058.24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3113.92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941.79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21.18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5D70984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未安排</w:t>
      </w:r>
      <w:r>
        <w:rPr>
          <w:rFonts w:hint="eastAsia" w:ascii="仿宋_GB2312" w:hAnsi="仿宋" w:eastAsia="仿宋_GB2312"/>
          <w:sz w:val="32"/>
          <w:szCs w:val="32"/>
        </w:rPr>
        <w:t>政府性基金预算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，单位政府性基金预算支出情况表为空表。</w:t>
      </w:r>
    </w:p>
    <w:p w14:paraId="792B6F08">
      <w:pPr>
        <w:numPr>
          <w:ilvl w:val="0"/>
          <w:numId w:val="1"/>
        </w:num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非税收入情况</w:t>
      </w:r>
    </w:p>
    <w:p w14:paraId="3BF2B6E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非税收入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560E38BB">
      <w:pPr>
        <w:numPr>
          <w:ilvl w:val="0"/>
          <w:numId w:val="1"/>
        </w:numPr>
        <w:adjustRightInd w:val="0"/>
        <w:snapToGrid w:val="0"/>
        <w:spacing w:line="640" w:lineRule="exact"/>
        <w:ind w:left="0" w:leftChars="0"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重点项目情况</w:t>
      </w:r>
    </w:p>
    <w:p w14:paraId="1CFB37AE">
      <w:pPr>
        <w:numPr>
          <w:ilvl w:val="0"/>
          <w:numId w:val="0"/>
        </w:numPr>
        <w:adjustRightInd w:val="0"/>
        <w:snapToGrid w:val="0"/>
        <w:spacing w:line="640" w:lineRule="exact"/>
        <w:ind w:leftChars="200"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选取1个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部门预算安排的经济社会发展类项目公开项目文本信息，包括项目名称、项目概况、立项依据、实施主体、实施周期、实施计划、年度预算安排、预期总体目标等内容。没有经济社会发展类项目支出的部门/单位可公开其他类项目。</w:t>
      </w:r>
    </w:p>
    <w:p w14:paraId="4631859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1、项目概况：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全县共开发乡村公益性岗位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385个，每人每月发放补助500元。</w:t>
      </w:r>
    </w:p>
    <w:p w14:paraId="152BFCD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2、立项依据：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省市关于开发乡村公益性岗位的有关文件</w:t>
      </w:r>
    </w:p>
    <w:p w14:paraId="231E099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各乡镇人民政府</w:t>
      </w:r>
    </w:p>
    <w:p w14:paraId="65E0883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1年</w:t>
      </w:r>
    </w:p>
    <w:p w14:paraId="2380693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每月按时发放补助</w:t>
      </w:r>
    </w:p>
    <w:p w14:paraId="7E0690A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年度安排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县级配套资金37.45万元。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为全县开发的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385个乡村公益性岗位人员按时发放补助，稳定已脱贫人口就业，持续增加收入，巩固脱贫攻坚成果。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241B0B7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748A8FA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383CEAB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73.68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无问题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sz w:val="32"/>
          <w:szCs w:val="32"/>
        </w:rPr>
        <w:t>个，其中，部门整体支出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个，项目支出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19.57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2025年度项目持平</w:t>
      </w:r>
      <w:r>
        <w:rPr>
          <w:rFonts w:hint="eastAsia" w:ascii="仿宋_GB2312" w:hAnsi="仿宋" w:eastAsia="仿宋_GB2312"/>
          <w:sz w:val="32"/>
          <w:szCs w:val="32"/>
        </w:rPr>
        <w:t>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73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137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39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52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74B7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1120"/>
        <w:contextualSpacing/>
        <w:jc w:val="right"/>
        <w:textAlignment w:val="auto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华池县人力资源和社会保障局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1120"/>
        <w:contextualSpacing/>
        <w:jc w:val="both"/>
        <w:textAlignment w:val="auto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华池县人力资源和社会保障局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958" w:leftChars="456" w:right="1120" w:firstLine="0" w:firstLineChars="0"/>
        <w:contextualSpacing/>
        <w:jc w:val="both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华池县人力资源和社会保障局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imesNewRomanPSMT">
    <w:altName w:val="DejaVu Sans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imesNewRomanPS-BoldMT">
    <w:altName w:val="DejaVu Sans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国标仿宋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国标仿宋">
    <w:panose1 w:val="02000500000000000000"/>
    <w:charset w:val="86"/>
    <w:family w:val="auto"/>
    <w:pitch w:val="default"/>
    <w:sig w:usb0="A00002BF" w:usb1="38C77CFA" w:usb2="00000016" w:usb3="00000000" w:csb0="00060007" w:csb1="00000000"/>
  </w:font>
  <w:font w:name="CIDFont+F4">
    <w:altName w:val="国标仿宋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7"/>
      <w:jc w:val="center"/>
    </w:pPr>
  </w:p>
  <w:p w14:paraId="18AFAB9B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A6EEC3"/>
    <w:multiLevelType w:val="singleLevel"/>
    <w:tmpl w:val="EFA6EEC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D34261E"/>
    <w:rsid w:val="2DF24994"/>
    <w:rsid w:val="42A05423"/>
    <w:rsid w:val="47FFA011"/>
    <w:rsid w:val="4C433C79"/>
    <w:rsid w:val="527E074E"/>
    <w:rsid w:val="56393C72"/>
    <w:rsid w:val="579503FF"/>
    <w:rsid w:val="5BDBD329"/>
    <w:rsid w:val="5FB8FAD5"/>
    <w:rsid w:val="60535296"/>
    <w:rsid w:val="67D3B1CC"/>
    <w:rsid w:val="72FD2525"/>
    <w:rsid w:val="75EFFB99"/>
    <w:rsid w:val="76EE85D7"/>
    <w:rsid w:val="78106856"/>
    <w:rsid w:val="7EFFB991"/>
    <w:rsid w:val="D7BDF4EB"/>
    <w:rsid w:val="D9EB4840"/>
    <w:rsid w:val="ECEEC915"/>
    <w:rsid w:val="F11F3011"/>
    <w:rsid w:val="F5BBE2D1"/>
    <w:rsid w:val="FDEF1D74"/>
    <w:rsid w:val="FF5F1630"/>
    <w:rsid w:val="FF7FF912"/>
    <w:rsid w:val="FFBEF88B"/>
    <w:rsid w:val="FFE5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3"/>
    <w:qFormat/>
    <w:uiPriority w:val="0"/>
    <w:pPr>
      <w:spacing w:line="480" w:lineRule="auto"/>
      <w:ind w:left="420" w:leftChars="200"/>
    </w:pPr>
  </w:style>
  <w:style w:type="paragraph" w:styleId="3">
    <w:name w:val="Body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annotation text"/>
    <w:basedOn w:val="1"/>
    <w:link w:val="20"/>
    <w:autoRedefine/>
    <w:qFormat/>
    <w:uiPriority w:val="0"/>
    <w:pPr>
      <w:jc w:val="left"/>
    </w:pPr>
  </w:style>
  <w:style w:type="paragraph" w:styleId="6">
    <w:name w:val="Balloon Text"/>
    <w:basedOn w:val="1"/>
    <w:link w:val="17"/>
    <w:qFormat/>
    <w:uiPriority w:val="0"/>
    <w:rPr>
      <w:sz w:val="18"/>
      <w:szCs w:val="18"/>
    </w:rPr>
  </w:style>
  <w:style w:type="paragraph" w:styleId="7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5"/>
    <w:next w:val="5"/>
    <w:link w:val="21"/>
    <w:autoRedefine/>
    <w:qFormat/>
    <w:uiPriority w:val="0"/>
    <w:rPr>
      <w:b/>
      <w:bCs/>
    </w:rPr>
  </w:style>
  <w:style w:type="character" w:styleId="12">
    <w:name w:val="line number"/>
    <w:autoRedefine/>
    <w:qFormat/>
    <w:uiPriority w:val="0"/>
  </w:style>
  <w:style w:type="character" w:styleId="13">
    <w:name w:val="annotation reference"/>
    <w:autoRedefine/>
    <w:qFormat/>
    <w:uiPriority w:val="0"/>
    <w:rPr>
      <w:sz w:val="21"/>
      <w:szCs w:val="21"/>
    </w:rPr>
  </w:style>
  <w:style w:type="character" w:customStyle="1" w:styleId="14">
    <w:name w:val="页脚 Char"/>
    <w:link w:val="7"/>
    <w:qFormat/>
    <w:uiPriority w:val="0"/>
    <w:rPr>
      <w:sz w:val="18"/>
      <w:szCs w:val="18"/>
    </w:rPr>
  </w:style>
  <w:style w:type="character" w:customStyle="1" w:styleId="15">
    <w:name w:val="页眉 Char"/>
    <w:link w:val="8"/>
    <w:autoRedefine/>
    <w:qFormat/>
    <w:uiPriority w:val="0"/>
    <w:rPr>
      <w:sz w:val="18"/>
      <w:szCs w:val="18"/>
    </w:rPr>
  </w:style>
  <w:style w:type="paragraph" w:styleId="16">
    <w:name w:val="List Paragraph"/>
    <w:basedOn w:val="1"/>
    <w:qFormat/>
    <w:uiPriority w:val="0"/>
    <w:pPr>
      <w:ind w:firstLine="420" w:firstLineChars="200"/>
    </w:pPr>
  </w:style>
  <w:style w:type="character" w:customStyle="1" w:styleId="17">
    <w:name w:val="批注框文本 Char"/>
    <w:link w:val="6"/>
    <w:qFormat/>
    <w:uiPriority w:val="0"/>
    <w:rPr>
      <w:kern w:val="2"/>
      <w:sz w:val="18"/>
      <w:szCs w:val="18"/>
    </w:rPr>
  </w:style>
  <w:style w:type="character" w:customStyle="1" w:styleId="18">
    <w:name w:val="标题 1 Char"/>
    <w:link w:val="4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9">
    <w:name w:val="TOC Heading"/>
    <w:basedOn w:val="4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20">
    <w:name w:val="批注文字 Char"/>
    <w:link w:val="5"/>
    <w:qFormat/>
    <w:uiPriority w:val="0"/>
    <w:rPr>
      <w:kern w:val="2"/>
      <w:sz w:val="21"/>
      <w:szCs w:val="22"/>
    </w:rPr>
  </w:style>
  <w:style w:type="character" w:customStyle="1" w:styleId="21">
    <w:name w:val="批注主题 Char"/>
    <w:link w:val="9"/>
    <w:qFormat/>
    <w:uiPriority w:val="0"/>
    <w:rPr>
      <w:b/>
      <w:bCs/>
      <w:kern w:val="2"/>
      <w:sz w:val="21"/>
      <w:szCs w:val="22"/>
    </w:rPr>
  </w:style>
  <w:style w:type="character" w:customStyle="1" w:styleId="22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13</Pages>
  <Words>4809</Words>
  <Characters>5046</Characters>
  <Lines>68</Lines>
  <Paragraphs>19</Paragraphs>
  <TotalTime>2</TotalTime>
  <ScaleCrop>false</ScaleCrop>
  <LinksUpToDate>false</LinksUpToDate>
  <CharactersWithSpaces>5516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2024-01-31T17:03:00Z</dcterms:created>
  <dc:creator>home</dc:creator>
  <cp:lastModifiedBy>rsj</cp:lastModifiedBy>
  <cp:lastPrinted>2022-02-16T15:45:00Z</cp:lastPrinted>
  <dcterms:modified xsi:type="dcterms:W3CDTF">2026-03-12T10:47:33Z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eyJoZGlkIjoiNDVhYWM2MGU3ZDRjZDA3MjA3NmIwM2M4YmY0YzlkMjgiLCJ1c2VySWQiOiIzNDEyNzAxNDkifQ==</vt:lpwstr>
  </property>
</Properties>
</file>