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823416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0C1DC695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6867DB67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68097A28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  <w:sectPr>
          <w:footerReference r:id="rId3" w:type="default"/>
          <w:pgSz w:w="11906" w:h="16838"/>
          <w:pgMar w:top="1134" w:right="1134" w:bottom="1440" w:left="1276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华池县业余体校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>202</w:t>
      </w:r>
      <w:r>
        <w:rPr>
          <w:rFonts w:hint="eastAsia" w:ascii="宋体" w:hAnsi="宋体" w:cs="宋体"/>
          <w:b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宋体" w:hAnsi="宋体" w:cs="宋体"/>
          <w:b/>
          <w:bCs/>
          <w:kern w:val="0"/>
          <w:sz w:val="44"/>
          <w:szCs w:val="44"/>
        </w:rPr>
        <w:t xml:space="preserve">年单位预算公开情况说明 </w:t>
      </w:r>
    </w:p>
    <w:p w14:paraId="7BB40FD2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  <w:r>
        <w:rPr>
          <w:rFonts w:hint="eastAsia" w:ascii="宋体" w:hAnsi="宋体" w:cs="宋体"/>
          <w:b/>
          <w:bCs/>
          <w:kern w:val="0"/>
          <w:sz w:val="44"/>
          <w:szCs w:val="44"/>
        </w:rPr>
        <w:t>目  录</w:t>
      </w:r>
    </w:p>
    <w:p w14:paraId="105F4697">
      <w:pPr>
        <w:spacing w:line="660" w:lineRule="exact"/>
        <w:jc w:val="center"/>
        <w:rPr>
          <w:rFonts w:ascii="宋体" w:hAnsi="宋体" w:cs="宋体"/>
          <w:b/>
          <w:bCs/>
          <w:kern w:val="0"/>
          <w:sz w:val="44"/>
          <w:szCs w:val="44"/>
        </w:rPr>
      </w:pPr>
    </w:p>
    <w:p w14:paraId="77F2C74C">
      <w:pPr>
        <w:spacing w:line="30" w:lineRule="exact"/>
        <w:jc w:val="center"/>
        <w:rPr>
          <w:rFonts w:ascii="黑体" w:eastAsia="黑体"/>
          <w:color w:val="000000"/>
          <w:sz w:val="18"/>
          <w:szCs w:val="18"/>
        </w:rPr>
      </w:pPr>
    </w:p>
    <w:p w14:paraId="16E1521A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第一部分 单位基本概况</w:t>
      </w:r>
    </w:p>
    <w:p w14:paraId="18E32E5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一、单位职责</w:t>
      </w:r>
    </w:p>
    <w:p w14:paraId="32ABF20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二、机构设置情况</w:t>
      </w:r>
    </w:p>
    <w:p w14:paraId="6F85321A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第二部分 202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年单位预算情况说明</w:t>
      </w:r>
    </w:p>
    <w:p w14:paraId="56B7753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三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、收支总体情况</w:t>
      </w:r>
    </w:p>
    <w:p w14:paraId="02369BB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四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、一般公共预算情况</w:t>
      </w:r>
    </w:p>
    <w:p w14:paraId="61EA25AC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五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、一般公共预算财政拨款“三公”经费、培训费、会议费等情况</w:t>
      </w:r>
    </w:p>
    <w:p w14:paraId="4723FBF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六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、一般公共预算财政拨款机关运行经费情况</w:t>
      </w:r>
    </w:p>
    <w:p w14:paraId="7E042AE3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七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、政府采购安排情况</w:t>
      </w:r>
    </w:p>
    <w:p w14:paraId="1317A19F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八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、国有资产占用情况</w:t>
      </w:r>
    </w:p>
    <w:p w14:paraId="538458D3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九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、其他重要事项情况说明</w:t>
      </w:r>
    </w:p>
    <w:p w14:paraId="42614BC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、预算绩效管理情况</w:t>
      </w:r>
    </w:p>
    <w:p w14:paraId="06ED1433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  <w:lang w:val="en-US" w:eastAsia="zh-CN"/>
        </w:rPr>
        <w:t>十一</w:t>
      </w:r>
      <w:r>
        <w:rPr>
          <w:rFonts w:hint="eastAsia" w:ascii="仿宋_GB2312" w:hAnsi="仿宋" w:eastAsia="仿宋_GB2312"/>
          <w:color w:val="000000"/>
          <w:sz w:val="30"/>
          <w:szCs w:val="30"/>
        </w:rPr>
        <w:t>、名词解释</w:t>
      </w:r>
    </w:p>
    <w:p w14:paraId="2D21D959">
      <w:pPr>
        <w:spacing w:line="560" w:lineRule="exact"/>
        <w:ind w:firstLine="602" w:firstLineChars="200"/>
        <w:jc w:val="left"/>
        <w:rPr>
          <w:rFonts w:ascii="仿宋_GB2312" w:hAnsi="仿宋" w:eastAsia="仿宋_GB2312"/>
          <w:b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第三部分 202</w:t>
      </w:r>
      <w:r>
        <w:rPr>
          <w:rFonts w:hint="eastAsia" w:ascii="仿宋_GB2312" w:hAnsi="仿宋" w:eastAsia="仿宋_GB2312"/>
          <w:b/>
          <w:color w:val="000000"/>
          <w:sz w:val="30"/>
          <w:szCs w:val="30"/>
          <w:lang w:val="en-US" w:eastAsia="zh-CN"/>
        </w:rPr>
        <w:t>6</w:t>
      </w:r>
      <w:r>
        <w:rPr>
          <w:rFonts w:hint="eastAsia" w:ascii="仿宋_GB2312" w:hAnsi="仿宋" w:eastAsia="仿宋_GB2312"/>
          <w:b/>
          <w:color w:val="000000"/>
          <w:sz w:val="30"/>
          <w:szCs w:val="30"/>
        </w:rPr>
        <w:t>年单位预算公开表</w:t>
      </w:r>
    </w:p>
    <w:p w14:paraId="62B871FA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一、单位收支总体情况表</w:t>
      </w:r>
    </w:p>
    <w:p w14:paraId="399109B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二、单位收入总体情况表</w:t>
      </w:r>
    </w:p>
    <w:p w14:paraId="1093482B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三、单位支出总体情况表</w:t>
      </w:r>
    </w:p>
    <w:p w14:paraId="40FE5338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四、财政拨款收支总体情况表</w:t>
      </w:r>
    </w:p>
    <w:p w14:paraId="4E8CA7B1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五、财政拨款支出表</w:t>
      </w:r>
    </w:p>
    <w:p w14:paraId="6E95BDD6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六、一般公共预算支出情况表</w:t>
      </w:r>
    </w:p>
    <w:p w14:paraId="69082AF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七、一般公共预算基本支出情况表</w:t>
      </w:r>
    </w:p>
    <w:p w14:paraId="3AC9B850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pacing w:val="-2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八、</w:t>
      </w:r>
      <w:r>
        <w:rPr>
          <w:rFonts w:hint="eastAsia" w:ascii="仿宋_GB2312" w:hAnsi="仿宋" w:eastAsia="仿宋_GB2312"/>
          <w:color w:val="000000"/>
          <w:spacing w:val="-20"/>
          <w:sz w:val="30"/>
          <w:szCs w:val="30"/>
        </w:rPr>
        <w:t>一般公共预算财政拨款“三公”经费、会议费、培训费支出情况表</w:t>
      </w:r>
    </w:p>
    <w:p w14:paraId="14B1A10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九、一般公共预算财政拨款机关运行经费表</w:t>
      </w:r>
    </w:p>
    <w:p w14:paraId="4B823E5D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十、政府性基金预算支出情况表</w:t>
      </w:r>
    </w:p>
    <w:p w14:paraId="5436C7D7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十一、部门管理转移支付表</w:t>
      </w:r>
    </w:p>
    <w:p w14:paraId="49D7A4E9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十二、国有资本经营预算支出情况表</w:t>
      </w:r>
    </w:p>
    <w:p w14:paraId="68E4AB93">
      <w:pPr>
        <w:spacing w:line="560" w:lineRule="exact"/>
        <w:ind w:firstLine="600" w:firstLineChars="200"/>
        <w:jc w:val="left"/>
        <w:rPr>
          <w:rFonts w:ascii="仿宋_GB2312" w:hAnsi="仿宋" w:eastAsia="仿宋_GB2312"/>
          <w:color w:val="000000"/>
          <w:sz w:val="30"/>
          <w:szCs w:val="30"/>
        </w:rPr>
      </w:pPr>
      <w:r>
        <w:rPr>
          <w:rFonts w:hint="eastAsia" w:ascii="仿宋_GB2312" w:hAnsi="仿宋" w:eastAsia="仿宋_GB2312"/>
          <w:color w:val="000000"/>
          <w:sz w:val="30"/>
          <w:szCs w:val="30"/>
        </w:rPr>
        <w:t>十三、单位整体支出绩效目标表和项目支出绩效目标表</w:t>
      </w:r>
    </w:p>
    <w:p w14:paraId="1669279D">
      <w:pPr>
        <w:spacing w:line="660" w:lineRule="exact"/>
        <w:jc w:val="center"/>
        <w:rPr>
          <w:rFonts w:ascii="仿宋_GB2312" w:hAnsi="宋体" w:eastAsia="仿宋_GB2312" w:cs="宋体"/>
          <w:b/>
          <w:bCs/>
          <w:kern w:val="0"/>
          <w:sz w:val="44"/>
          <w:szCs w:val="44"/>
        </w:rPr>
      </w:pPr>
    </w:p>
    <w:p w14:paraId="3B8B00B6">
      <w:pPr>
        <w:spacing w:line="600" w:lineRule="exact"/>
        <w:ind w:firstLine="562" w:firstLineChars="200"/>
        <w:rPr>
          <w:rFonts w:ascii="仿宋_GB2312" w:hAnsi="仿宋" w:eastAsia="仿宋_GB2312" w:cs="宋体"/>
          <w:b/>
          <w:kern w:val="0"/>
          <w:sz w:val="28"/>
          <w:szCs w:val="28"/>
        </w:rPr>
        <w:sectPr>
          <w:footerReference r:id="rId4" w:type="default"/>
          <w:pgSz w:w="11906" w:h="16838"/>
          <w:pgMar w:top="1134" w:right="1134" w:bottom="1440" w:left="1276" w:header="851" w:footer="992" w:gutter="0"/>
          <w:pgNumType w:start="1"/>
          <w:cols w:space="720" w:num="1"/>
          <w:docGrid w:type="lines" w:linePitch="312" w:charSpace="0"/>
        </w:sectPr>
      </w:pPr>
    </w:p>
    <w:p w14:paraId="70153513">
      <w:pPr>
        <w:spacing w:line="600" w:lineRule="exact"/>
        <w:ind w:firstLine="643" w:firstLineChars="200"/>
        <w:jc w:val="center"/>
        <w:rPr>
          <w:rFonts w:ascii="仿宋_GB2312" w:hAnsi="黑体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黑体" w:eastAsia="仿宋_GB2312" w:cs="宋体"/>
          <w:b/>
          <w:kern w:val="0"/>
          <w:sz w:val="32"/>
          <w:szCs w:val="32"/>
        </w:rPr>
        <w:t>前言</w:t>
      </w:r>
    </w:p>
    <w:p w14:paraId="4105C1BA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按照《中华人民共和国预算法》《中华人民共和国预算法实施条例》以及</w:t>
      </w:r>
      <w:r>
        <w:rPr>
          <w:rFonts w:ascii="仿宋_GB2312" w:hAnsi="仿宋" w:eastAsia="仿宋_GB2312" w:cs="宋体"/>
          <w:kern w:val="0"/>
          <w:sz w:val="32"/>
          <w:szCs w:val="32"/>
        </w:rPr>
        <w:t>财政部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《地方预决算公开操作规程》《关于推进部门所属单位预算公开的指导意见》和《中共甘肃省委办公厅 甘肃省人民政府办公厅关于进一步推进预算公开工作的实施方案》要求，现将2024年部门预算公开如下：</w:t>
      </w:r>
    </w:p>
    <w:p w14:paraId="659E5D7E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一、单位职责</w:t>
      </w:r>
    </w:p>
    <w:p w14:paraId="3BA9CE4B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 w:val="0"/>
        <w:spacing w:line="560" w:lineRule="exact"/>
        <w:ind w:firstLine="640" w:firstLineChars="200"/>
        <w:jc w:val="both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ascii="仿宋_GB2312" w:hAnsi="仿宋" w:eastAsia="仿宋_GB2312" w:cs="宋体"/>
          <w:kern w:val="0"/>
          <w:sz w:val="32"/>
          <w:szCs w:val="32"/>
        </w:rPr>
        <w:t>华池县业余体校主要职能：体育行政事务的办理；参与省、市、县竞技体育训练、比赛和组织；群众体育活动的组织开展；体育产业发展；体育场地的规划与建设等。</w:t>
      </w:r>
    </w:p>
    <w:p w14:paraId="4D91291A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二、机构设置情况</w:t>
      </w:r>
    </w:p>
    <w:p w14:paraId="74DCBF0F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（一）机关内设机构</w:t>
      </w:r>
    </w:p>
    <w:p w14:paraId="2A986344">
      <w:pPr>
        <w:keepNext w:val="0"/>
        <w:keepLines w:val="0"/>
        <w:pageBreakBefore w:val="0"/>
        <w:kinsoku/>
        <w:wordWrap/>
        <w:overflowPunct/>
        <w:topLinePunct w:val="0"/>
        <w:autoSpaceDN/>
        <w:bidi w:val="0"/>
        <w:adjustRightInd/>
        <w:snapToGrid w:val="0"/>
        <w:spacing w:line="560" w:lineRule="exact"/>
        <w:ind w:firstLine="640" w:firstLineChars="200"/>
        <w:jc w:val="both"/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华池县业余体校内设机构4个股室（综合股、竞技青少股、群众体育股、产业社团股）；综合股主要职能是：收发文件的处理、资料报送、财务工作、后勤保障、单位日常业务工作办理等；竞技青少股主要承担省、市、县各类体育比赛的训练和组织等工作；群众体育股职能是组织开展全县群众体育活动、体育场地普查及规划建设、社会体育指导员培训、国民体质监测等工作；产业社团股主要是体育产业发展、社团的组织活动等工作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。</w:t>
      </w:r>
    </w:p>
    <w:p w14:paraId="39541179">
      <w:pPr>
        <w:spacing w:line="600" w:lineRule="exact"/>
        <w:ind w:firstLine="643" w:firstLineChars="200"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zh-CN" w:eastAsia="zh-CN"/>
        </w:rPr>
        <w:t>人员情况</w:t>
      </w:r>
    </w:p>
    <w:p w14:paraId="65EFA140">
      <w:pPr>
        <w:pStyle w:val="7"/>
        <w:numPr>
          <w:ilvl w:val="0"/>
          <w:numId w:val="0"/>
        </w:numPr>
        <w:shd w:val="clear" w:color="auto" w:fill="FFFFFF"/>
        <w:spacing w:before="0" w:beforeAutospacing="0" w:after="0" w:afterAutospacing="0" w:line="560" w:lineRule="exact"/>
        <w:ind w:leftChars="304" w:firstLine="640" w:firstLineChars="200"/>
        <w:jc w:val="both"/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20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 w:eastAsia="zh-CN"/>
        </w:rPr>
        <w:t>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年度，我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 w:eastAsia="zh-CN"/>
        </w:rPr>
        <w:t>单位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  <w:t>共有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编制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名，事业编制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名，后勤编制0名。财政供养总人数2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人，其中：在职人员</w:t>
      </w:r>
      <w:r>
        <w:rPr>
          <w:rFonts w:hint="eastAsia" w:ascii="Times New Roman" w:hAnsi="Times New Roman" w:eastAsia="仿宋_GB2312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18</w:t>
      </w:r>
      <w:r>
        <w:rPr>
          <w:rFonts w:ascii="Times New Roman" w:hAnsi="Times New Roman" w:eastAsia="仿宋_GB2312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人，雇佣人员0人，离退休5人，遗属0人。</w:t>
      </w:r>
    </w:p>
    <w:p w14:paraId="41DF41C0">
      <w:pPr>
        <w:spacing w:line="600" w:lineRule="exact"/>
        <w:ind w:firstLine="640" w:firstLineChars="200"/>
        <w:rPr>
          <w:rFonts w:hint="eastAsia" w:ascii="仿宋_GB2312" w:hAnsi="仿宋" w:eastAsia="仿宋_GB2312" w:cs="宋体"/>
          <w:kern w:val="0"/>
          <w:sz w:val="32"/>
          <w:szCs w:val="32"/>
          <w:lang w:val="zh-CN"/>
        </w:rPr>
      </w:pPr>
    </w:p>
    <w:p w14:paraId="67E01C01">
      <w:pPr>
        <w:spacing w:line="600" w:lineRule="exact"/>
        <w:ind w:firstLine="640" w:firstLineChars="200"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三、单位收支总体情况</w:t>
      </w:r>
    </w:p>
    <w:p w14:paraId="783384FC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按照预算管理有关规定，202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年单位收支包括机关预算和直属单位预算在内的汇总情况。</w:t>
      </w:r>
    </w:p>
    <w:p w14:paraId="7ABC9DC9">
      <w:pPr>
        <w:spacing w:line="600" w:lineRule="exact"/>
        <w:ind w:firstLine="640" w:firstLineChars="200"/>
        <w:rPr>
          <w:rFonts w:ascii="仿宋_GB2312" w:hAnsi="仿宋" w:eastAsia="仿宋_GB2312" w:cs="宋体"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年部门收支总预算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359.94</w:t>
      </w:r>
      <w:r>
        <w:rPr>
          <w:rFonts w:hint="eastAsia" w:ascii="仿宋_GB2312" w:hAnsi="仿宋" w:eastAsia="仿宋_GB2312" w:cs="宋体"/>
          <w:kern w:val="0"/>
          <w:sz w:val="32"/>
          <w:szCs w:val="32"/>
        </w:rPr>
        <w:t>万元。按照综合预算的原则，部单位所有收入和支出均纳入部门预算管理。收入包括：一般公共预算拨款收入、政府性基金预算拨款收入、事业收入、事业单位经营收入、其他收入、使用非财政拨款结余、上年结转；支出包括：一般公共服务支出、公共安全支出、教育支出、科学技术支出、社会保障和就业支出、卫生健康支出、交通运输支出、住房保障支出、其他支出。</w:t>
      </w:r>
    </w:p>
    <w:p w14:paraId="5AB1392E">
      <w:pPr>
        <w:spacing w:line="600" w:lineRule="exact"/>
        <w:ind w:firstLine="643" w:firstLineChars="200"/>
        <w:rPr>
          <w:rFonts w:ascii="楷体_GB2312" w:hAnsi="楷体" w:eastAsia="楷体_GB2312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（一）收入预算</w:t>
      </w:r>
    </w:p>
    <w:p w14:paraId="6A37A63A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年收入预算万元（详见单位预算公开表1,2）。包括：</w:t>
      </w:r>
    </w:p>
    <w:p w14:paraId="0D9119F7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一般公共预算收入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359.94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05C9B8B0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政府性基金预算收入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18BA0152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上年结转收入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</w:t>
      </w:r>
    </w:p>
    <w:p w14:paraId="5693FBCE">
      <w:pPr>
        <w:widowControl/>
        <w:spacing w:line="560" w:lineRule="exact"/>
        <w:ind w:firstLine="640" w:firstLineChars="200"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6DB2E573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（二）支出预算</w:t>
      </w:r>
    </w:p>
    <w:p w14:paraId="340C132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年支出预算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359.94</w:t>
      </w:r>
      <w:r>
        <w:rPr>
          <w:rFonts w:hint="eastAsia" w:ascii="仿宋_GB2312" w:hAnsi="仿宋" w:eastAsia="仿宋_GB2312"/>
          <w:sz w:val="32"/>
          <w:szCs w:val="32"/>
        </w:rPr>
        <w:t>万元（详见单位预算公开表3）。</w:t>
      </w:r>
      <w:r>
        <w:rPr>
          <w:rStyle w:val="21"/>
          <w:rFonts w:hint="default" w:hAnsi="仿宋"/>
        </w:rPr>
        <w:t>其中：基本支出</w:t>
      </w:r>
      <w:r>
        <w:rPr>
          <w:rStyle w:val="22"/>
          <w:rFonts w:hint="eastAsia" w:ascii="仿宋_GB2312" w:hAnsi="仿宋" w:eastAsia="仿宋_GB2312"/>
          <w:lang w:val="en-US" w:eastAsia="zh-CN"/>
        </w:rPr>
        <w:t>339.62</w:t>
      </w:r>
      <w:r>
        <w:rPr>
          <w:rStyle w:val="21"/>
          <w:rFonts w:hint="default" w:hAnsi="仿宋"/>
        </w:rPr>
        <w:t>万元，占</w:t>
      </w:r>
      <w:r>
        <w:rPr>
          <w:rStyle w:val="21"/>
          <w:rFonts w:hint="eastAsia" w:hAnsi="仿宋" w:eastAsia="仿宋_GB2312"/>
          <w:lang w:val="en-US" w:eastAsia="zh-CN"/>
        </w:rPr>
        <w:t>93.5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； 项目支出</w:t>
      </w:r>
      <w:r>
        <w:rPr>
          <w:rStyle w:val="21"/>
          <w:rFonts w:hint="eastAsia" w:hAnsi="仿宋" w:eastAsia="仿宋_GB2312"/>
          <w:lang w:val="en-US" w:eastAsia="zh-CN"/>
        </w:rPr>
        <w:t>20.32</w:t>
      </w:r>
      <w:r>
        <w:rPr>
          <w:rStyle w:val="21"/>
          <w:rFonts w:hint="default" w:hAnsi="仿宋"/>
        </w:rPr>
        <w:t>万元，占</w:t>
      </w:r>
      <w:r>
        <w:rPr>
          <w:rStyle w:val="21"/>
          <w:rFonts w:hint="eastAsia" w:hAnsi="仿宋" w:eastAsia="仿宋_GB2312"/>
          <w:lang w:val="en-US" w:eastAsia="zh-CN"/>
        </w:rPr>
        <w:t>6.5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； 上年结转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1"/>
          <w:rFonts w:hint="default" w:hAnsi="仿宋"/>
        </w:rPr>
        <w:t>万元，占</w:t>
      </w:r>
      <w:r>
        <w:rPr>
          <w:rStyle w:val="22"/>
          <w:rFonts w:hint="eastAsia" w:ascii="仿宋_GB2312" w:hAnsi="仿宋" w:eastAsia="仿宋_GB2312"/>
          <w:lang w:val="en-US" w:eastAsia="zh-CN"/>
        </w:rPr>
        <w:t>0</w:t>
      </w:r>
      <w:r>
        <w:rPr>
          <w:rStyle w:val="22"/>
          <w:rFonts w:hint="eastAsia" w:ascii="仿宋_GB2312" w:hAnsi="仿宋" w:eastAsia="仿宋_GB2312"/>
        </w:rPr>
        <w:t>%</w:t>
      </w:r>
      <w:r>
        <w:rPr>
          <w:rStyle w:val="21"/>
          <w:rFonts w:hint="default" w:hAnsi="仿宋"/>
        </w:rPr>
        <w:t>。</w:t>
      </w:r>
    </w:p>
    <w:p w14:paraId="79963057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四、一般公共预算情况</w:t>
      </w:r>
    </w:p>
    <w:p w14:paraId="3668F1B0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Style w:val="22"/>
          <w:rFonts w:hint="eastAsia" w:ascii="仿宋_GB2312" w:hAnsi="仿宋" w:eastAsia="仿宋_GB2312"/>
        </w:rPr>
        <w:t>202</w:t>
      </w:r>
      <w:r>
        <w:rPr>
          <w:rStyle w:val="22"/>
          <w:rFonts w:hint="eastAsia" w:ascii="仿宋_GB2312" w:hAnsi="仿宋" w:eastAsia="仿宋_GB2312"/>
          <w:lang w:val="en-US" w:eastAsia="zh-CN"/>
        </w:rPr>
        <w:t>6</w:t>
      </w:r>
      <w:r>
        <w:rPr>
          <w:rStyle w:val="21"/>
          <w:rFonts w:hint="default" w:hAnsi="仿宋"/>
        </w:rPr>
        <w:t>年一般公共预算当年支出</w:t>
      </w:r>
      <w:r>
        <w:rPr>
          <w:rFonts w:hint="eastAsia" w:ascii="仿宋_GB2312" w:hAnsi="仿宋" w:eastAsia="仿宋_GB2312" w:cs="宋体"/>
          <w:kern w:val="0"/>
          <w:sz w:val="32"/>
          <w:szCs w:val="32"/>
          <w:lang w:val="en-US" w:eastAsia="zh-CN"/>
        </w:rPr>
        <w:t>359.94</w:t>
      </w:r>
      <w:r>
        <w:rPr>
          <w:rStyle w:val="21"/>
          <w:rFonts w:hint="default" w:hAnsi="仿宋"/>
        </w:rPr>
        <w:t>万元，包括：文化旅游体育与传媒支出</w:t>
      </w:r>
      <w:r>
        <w:rPr>
          <w:rStyle w:val="22"/>
          <w:rFonts w:hint="eastAsia" w:ascii="仿宋_GB2312" w:hAnsi="仿宋" w:eastAsia="仿宋_GB2312"/>
          <w:lang w:val="en-US" w:eastAsia="zh-CN"/>
        </w:rPr>
        <w:t>43.66</w:t>
      </w:r>
      <w:r>
        <w:rPr>
          <w:rStyle w:val="21"/>
          <w:rFonts w:hint="default" w:hAnsi="仿宋"/>
        </w:rPr>
        <w:t>万元、社会保障和就业支出</w:t>
      </w:r>
      <w:r>
        <w:rPr>
          <w:rStyle w:val="22"/>
          <w:rFonts w:hint="eastAsia" w:ascii="仿宋_GB2312" w:hAnsi="仿宋" w:eastAsia="仿宋_GB2312"/>
          <w:lang w:val="en-US" w:eastAsia="zh-CN"/>
        </w:rPr>
        <w:t>223.4</w:t>
      </w:r>
      <w:r>
        <w:rPr>
          <w:rStyle w:val="21"/>
          <w:rFonts w:hint="default" w:hAnsi="仿宋"/>
        </w:rPr>
        <w:t>万元、卫生健康支出</w:t>
      </w:r>
      <w:r>
        <w:rPr>
          <w:rStyle w:val="21"/>
          <w:rFonts w:hint="eastAsia" w:hAnsi="仿宋" w:eastAsia="仿宋_GB2312"/>
          <w:lang w:val="en-US" w:eastAsia="zh-CN"/>
        </w:rPr>
        <w:t>68.16</w:t>
      </w:r>
      <w:r>
        <w:rPr>
          <w:rStyle w:val="21"/>
          <w:rFonts w:hint="default" w:hAnsi="仿宋"/>
        </w:rPr>
        <w:t>万元</w:t>
      </w:r>
      <w:r>
        <w:rPr>
          <w:rStyle w:val="21"/>
          <w:rFonts w:hint="eastAsia" w:hAnsi="仿宋" w:eastAsia="仿宋_GB2312"/>
          <w:lang w:eastAsia="zh-CN"/>
        </w:rPr>
        <w:t>、</w:t>
      </w:r>
      <w:r>
        <w:rPr>
          <w:rStyle w:val="21"/>
          <w:rFonts w:hint="eastAsia" w:hAnsi="仿宋" w:eastAsia="仿宋_GB2312"/>
          <w:lang w:val="en-US" w:eastAsia="zh-CN"/>
        </w:rPr>
        <w:t>住房保障</w:t>
      </w:r>
      <w:r>
        <w:rPr>
          <w:rStyle w:val="21"/>
          <w:rFonts w:hint="default" w:hAnsi="仿宋"/>
        </w:rPr>
        <w:t>支</w:t>
      </w:r>
      <w:r>
        <w:rPr>
          <w:rStyle w:val="21"/>
          <w:rFonts w:hint="eastAsia" w:hAnsi="仿宋" w:eastAsia="仿宋_GB2312"/>
          <w:lang w:val="en-US" w:eastAsia="zh-CN"/>
        </w:rPr>
        <w:t>23.63</w:t>
      </w:r>
      <w:r>
        <w:rPr>
          <w:rStyle w:val="21"/>
          <w:rFonts w:hint="default" w:hAnsi="仿宋"/>
        </w:rPr>
        <w:t>万元。</w:t>
      </w:r>
      <w:r>
        <w:rPr>
          <w:rFonts w:hint="eastAsia" w:ascii="仿宋_GB2312" w:hAnsi="仿宋" w:eastAsia="仿宋_GB2312"/>
          <w:sz w:val="32"/>
          <w:szCs w:val="32"/>
        </w:rPr>
        <w:t>具体安排情况如下</w:t>
      </w:r>
      <w:r>
        <w:rPr>
          <w:rFonts w:hint="eastAsia" w:ascii="仿宋_GB2312" w:hAnsi="微软雅黑" w:eastAsia="仿宋_GB2312"/>
          <w:sz w:val="32"/>
          <w:szCs w:val="32"/>
        </w:rPr>
        <w:t>（详见单位预算公开表4,5,6,7）</w:t>
      </w:r>
      <w:r>
        <w:rPr>
          <w:rFonts w:hint="eastAsia" w:ascii="仿宋_GB2312" w:hAnsi="仿宋" w:eastAsia="仿宋_GB2312"/>
          <w:sz w:val="32"/>
          <w:szCs w:val="32"/>
        </w:rPr>
        <w:t>：</w:t>
      </w:r>
    </w:p>
    <w:p w14:paraId="6DB36A79">
      <w:pPr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（一）基本支出</w:t>
      </w:r>
    </w:p>
    <w:p w14:paraId="023A2AD9">
      <w:pPr>
        <w:widowControl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321.29</w:t>
      </w:r>
      <w:r>
        <w:rPr>
          <w:rFonts w:hint="eastAsia" w:ascii="仿宋_GB2312" w:hAnsi="仿宋" w:eastAsia="仿宋_GB2312"/>
          <w:sz w:val="32"/>
          <w:szCs w:val="32"/>
        </w:rPr>
        <w:t>万元，比202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18.33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0.05</w:t>
      </w:r>
      <w:r>
        <w:rPr>
          <w:rFonts w:hint="eastAsia" w:ascii="仿宋_GB2312" w:hAnsi="仿宋" w:eastAsia="仿宋_GB2312"/>
          <w:sz w:val="32"/>
          <w:szCs w:val="32"/>
        </w:rPr>
        <w:t>%，增长的主要原因是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人员增加。</w:t>
      </w:r>
    </w:p>
    <w:p w14:paraId="079043E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其中：人员经费支出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223.4</w:t>
      </w:r>
      <w:r>
        <w:rPr>
          <w:rFonts w:hint="eastAsia" w:ascii="仿宋_GB2312" w:hAnsi="仿宋" w:eastAsia="仿宋_GB2312"/>
          <w:sz w:val="32"/>
          <w:szCs w:val="32"/>
        </w:rPr>
        <w:t>万元，主要包括：基本工资、津贴补贴、奖金、伙食补助费、绩效工资、机关事业单位基本养老保险缴费、职业年金缴费、职工基本医疗保险缴费、公务员医疗补助缴费、其他社会保障缴费、住房公积金、医疗费、其他工资福利支出、离休费、退休费、退职（役）费、抚恤金、生活补助、救济费、医疗费补助、助学金、奖励金、个人农业生产补贴、代缴社会保险费 、其他对个人和家庭的补助等。</w:t>
      </w:r>
    </w:p>
    <w:p w14:paraId="78BC32E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公用经费支出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30.45</w:t>
      </w:r>
      <w:r>
        <w:rPr>
          <w:rFonts w:hint="eastAsia" w:ascii="仿宋_GB2312" w:hAnsi="仿宋" w:eastAsia="仿宋_GB2312"/>
          <w:sz w:val="32"/>
          <w:szCs w:val="32"/>
        </w:rPr>
        <w:t>万元，主要包括：办公费、印刷费、咨询费、手续费、水费、电费、邮电费、取暖费、物业管理费、差旅费、因公出国（境）费、维修（护）费、租赁费、会议费、培训费、公务接待费、专用材料费、被装购置费、专用燃料费、劳务费、委托业务费、工会经费、福利费、公务用车运行维护费、其他交通费用、税金及附加费用、其他商品和服务支出、办公设备购置、专用设备购置等。</w:t>
      </w:r>
    </w:p>
    <w:p w14:paraId="7BDF0B9B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（二）项目支出</w:t>
      </w:r>
    </w:p>
    <w:p w14:paraId="48ED029D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年一般公共预算财政拨款项目支出预算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20.32</w:t>
      </w:r>
      <w:r>
        <w:rPr>
          <w:rFonts w:hint="eastAsia" w:ascii="仿宋_GB2312" w:hAnsi="仿宋" w:eastAsia="仿宋_GB2312"/>
          <w:sz w:val="32"/>
          <w:szCs w:val="32"/>
        </w:rPr>
        <w:t>万元，比202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。</w:t>
      </w:r>
    </w:p>
    <w:p w14:paraId="4A13E4F6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经济社会发展项目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3B2AACA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保障运转经费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个，主要是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体育场馆保安工资和全民健身经费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5F65F53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其他项目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2F02A4F6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color w:val="auto"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color w:val="auto"/>
          <w:kern w:val="0"/>
          <w:sz w:val="32"/>
          <w:szCs w:val="32"/>
        </w:rPr>
        <w:t>（三）支出功能分类说明</w:t>
      </w:r>
    </w:p>
    <w:p w14:paraId="6C971BD3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TimesNewRomanPS-BoldMT" w:eastAsia="仿宋_GB2312"/>
          <w:bCs/>
          <w:color w:val="auto"/>
          <w:sz w:val="32"/>
          <w:szCs w:val="32"/>
        </w:rPr>
        <w:t>1.</w:t>
      </w:r>
      <w:r>
        <w:rPr>
          <w:rFonts w:hint="eastAsia" w:ascii="仿宋_GB2312" w:eastAsia="仿宋_GB2312"/>
          <w:color w:val="auto"/>
          <w:sz w:val="32"/>
          <w:szCs w:val="32"/>
        </w:rPr>
        <w:t>一般公共服务（ 类） 纪检监察事务（ 款） 派驻派出机构（ 项）</w:t>
      </w:r>
      <w:r>
        <w:rPr>
          <w:rFonts w:hint="eastAsia" w:ascii="仿宋_GB2312" w:hAnsi="TimesNewRomanPSMT" w:eastAsia="仿宋_GB2312"/>
          <w:color w:val="auto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color w:val="auto"/>
          <w:sz w:val="32"/>
          <w:szCs w:val="32"/>
        </w:rPr>
        <w:t>年预算数为</w:t>
      </w:r>
      <w:r>
        <w:rPr>
          <w:rFonts w:hint="eastAsia" w:ascii="仿宋_GB2312" w:hAnsi="TimesNewRomanPSMT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</w:rPr>
        <w:t xml:space="preserve">万元， 比 </w:t>
      </w:r>
      <w:r>
        <w:rPr>
          <w:rFonts w:hint="eastAsia" w:ascii="仿宋_GB2312" w:hAnsi="TimesNewRomanPSMT" w:eastAsia="仿宋_GB2312"/>
          <w:color w:val="auto"/>
          <w:sz w:val="32"/>
          <w:szCs w:val="32"/>
        </w:rPr>
        <w:t>202</w:t>
      </w:r>
      <w:r>
        <w:rPr>
          <w:rFonts w:hint="eastAsia" w:ascii="仿宋_GB2312" w:hAnsi="TimesNewRomanPSMT" w:eastAsia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color w:val="auto"/>
          <w:sz w:val="32"/>
          <w:szCs w:val="32"/>
        </w:rPr>
        <w:t>年预算增加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/>
          <w:color w:val="auto"/>
          <w:sz w:val="32"/>
          <w:szCs w:val="32"/>
        </w:rPr>
        <w:t>万元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。</w:t>
      </w:r>
    </w:p>
    <w:p w14:paraId="6400CB76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五、部门（单位）一般公共预算财政拨款“三公”经费、培训费、会议费等情况</w:t>
      </w:r>
    </w:p>
    <w:p w14:paraId="62FD327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（一）“三公”经费情况说明</w:t>
      </w:r>
    </w:p>
    <w:p w14:paraId="6876EE80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仿宋" w:eastAsia="仿宋_GB2312" w:cs="宋体"/>
          <w:b/>
          <w:kern w:val="0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“三公”经费预算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减少0.32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945F3F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1.因公出国（境）费用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元，较202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11A713A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2.公务接待费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减少0</w:t>
      </w:r>
      <w:r>
        <w:rPr>
          <w:rFonts w:hint="eastAsia" w:ascii="仿宋_GB2312" w:hAnsi="仿宋" w:eastAsia="仿宋_GB2312"/>
          <w:sz w:val="32"/>
          <w:szCs w:val="32"/>
        </w:rPr>
        <w:t>万元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。</w:t>
      </w:r>
    </w:p>
    <w:p w14:paraId="482E644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3.公务用车购置及运行维护费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万元（其中：公务用车购置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万元，公务用车运行维护费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万元），较2023年预算增加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DCAE6D6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（二）培训费预算情况说明</w:t>
      </w:r>
    </w:p>
    <w:p w14:paraId="1EB0C03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4.培训费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42ED9506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（三）会议费预算情况说明</w:t>
      </w:r>
    </w:p>
    <w:p w14:paraId="781EC61F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5.会议费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年预算增加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</w:t>
      </w:r>
    </w:p>
    <w:p w14:paraId="681094F5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六、一般公共预算财政拨款机关运行经费情况</w:t>
      </w:r>
    </w:p>
    <w:p w14:paraId="71D5E2F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机关运行经费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万元，较202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年预算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减少15.34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减少100</w:t>
      </w:r>
      <w:r>
        <w:rPr>
          <w:rFonts w:hint="eastAsia" w:ascii="仿宋_GB2312" w:hAnsi="仿宋" w:eastAsia="仿宋_GB2312"/>
          <w:sz w:val="32"/>
          <w:szCs w:val="32"/>
        </w:rPr>
        <w:t>%，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减少</w:t>
      </w:r>
      <w:r>
        <w:rPr>
          <w:rFonts w:hint="eastAsia" w:ascii="仿宋_GB2312" w:hAnsi="仿宋" w:eastAsia="仿宋_GB2312"/>
          <w:sz w:val="32"/>
          <w:szCs w:val="32"/>
        </w:rPr>
        <w:t>的主要原因是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事业单位无机关运行费用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4992EBC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七、政府采购安排情况</w:t>
      </w:r>
    </w:p>
    <w:p w14:paraId="41FA9B8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年，单位政府采购预算总额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万元，政府采购工程预算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万元，政府采购服务预算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62E0BB1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 xml:space="preserve">年，单位面向中小企业预留政府采购项目预算金额 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万元，小微企业预留政府采购项目预算金额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0C85A1C5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八、国有资产占用情况</w:t>
      </w:r>
    </w:p>
    <w:p w14:paraId="530B010F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上年末固定资产金额为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740.63</w:t>
      </w:r>
      <w:r>
        <w:rPr>
          <w:rFonts w:hint="eastAsia" w:ascii="仿宋_GB2312" w:hAnsi="仿宋" w:eastAsia="仿宋_GB2312"/>
          <w:sz w:val="32"/>
          <w:szCs w:val="32"/>
        </w:rPr>
        <w:t>万元。其中：办公用房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11918.58</w:t>
      </w:r>
      <w:r>
        <w:rPr>
          <w:rFonts w:hint="eastAsia" w:ascii="仿宋_GB2312" w:hAnsi="仿宋" w:eastAsia="仿宋_GB2312"/>
          <w:sz w:val="32"/>
          <w:szCs w:val="32"/>
        </w:rPr>
        <w:t>平方米，价值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629.2</w:t>
      </w:r>
      <w:r>
        <w:rPr>
          <w:rFonts w:hint="eastAsia" w:ascii="仿宋_GB2312" w:hAnsi="仿宋" w:eastAsia="仿宋_GB2312"/>
          <w:sz w:val="32"/>
          <w:szCs w:val="32"/>
        </w:rPr>
        <w:t>万元。预算单位共有公务用车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辆，价值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万元。单价20万元以上的设备价值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年拟采购固定资产约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</w:t>
      </w:r>
    </w:p>
    <w:p w14:paraId="44CB6FF3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九、其他重要事项情况说明</w:t>
      </w:r>
    </w:p>
    <w:p w14:paraId="7F59434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（一）政府性基金预算支出情况</w:t>
      </w:r>
    </w:p>
    <w:p w14:paraId="3C245CD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sz w:val="32"/>
          <w:szCs w:val="32"/>
        </w:rPr>
        <w:t>年未安排预算，政府性基金预算支出情况表为空表。</w:t>
      </w:r>
    </w:p>
    <w:p w14:paraId="05059369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（二）非税收入情况</w:t>
      </w:r>
    </w:p>
    <w:p w14:paraId="6B01080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本单位202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ascii="仿宋_GB2312" w:hAnsi="仿宋" w:eastAsia="仿宋_GB2312"/>
          <w:sz w:val="32"/>
          <w:szCs w:val="32"/>
        </w:rPr>
        <w:t>无非税收入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30D5500D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（三）重点项目情况</w:t>
      </w:r>
    </w:p>
    <w:p w14:paraId="254C6DFC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选取1个202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单位预算安排的经济社会发展类项目公开项目文本信息，包括项目名称、项目概况、立项依据、实施主体、实施周期、实施计划、年度预算安排、预期总体目标等内容。没有经济社会发展类项目支出的单位可公开其他类项目。</w:t>
      </w:r>
    </w:p>
    <w:p w14:paraId="7CD0E72A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项目名称：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全民健身经费</w:t>
      </w:r>
      <w:r>
        <w:rPr>
          <w:rFonts w:hint="eastAsia" w:ascii="仿宋_GB2312" w:hAnsi="仿宋" w:eastAsia="仿宋_GB2312"/>
          <w:sz w:val="32"/>
          <w:szCs w:val="32"/>
        </w:rPr>
        <w:t>专项资金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和体育场馆保安工资。</w:t>
      </w:r>
    </w:p>
    <w:p w14:paraId="4932F5D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1、项目概况：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2026年业余体校全民健身经费</w:t>
      </w:r>
      <w:r>
        <w:rPr>
          <w:rFonts w:hint="eastAsia" w:ascii="仿宋_GB2312" w:hAnsi="仿宋" w:eastAsia="仿宋_GB2312"/>
          <w:sz w:val="32"/>
          <w:szCs w:val="32"/>
        </w:rPr>
        <w:t>专项资金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和体育场馆保安工资。</w:t>
      </w:r>
    </w:p>
    <w:p w14:paraId="4C47A3F3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2、立项依据：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县财政局（华财发〔2026</w:t>
      </w: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〕8号）关于2025年部门预算的批复</w:t>
      </w:r>
    </w:p>
    <w:p w14:paraId="7E3702C2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eastAsia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3、实施主体：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华池县业余体校</w:t>
      </w:r>
    </w:p>
    <w:p w14:paraId="62E1A7D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4、实施周期：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1年</w:t>
      </w:r>
    </w:p>
    <w:p w14:paraId="22402CA1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5、实施计划：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计划第一阶段支付100000元，第二阶段支付103200元，分两阶段支付完。</w:t>
      </w:r>
    </w:p>
    <w:p w14:paraId="1F71D21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6、年度预算安排：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2026年计划安排20.32万元</w:t>
      </w:r>
    </w:p>
    <w:p w14:paraId="59B51A74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、预期总体目标：举办全民健身赛事活动10次以上，购置健身设施器材，参与全民健身活动人数达到10000人次以上，体育场馆保安2人，促进群众体育健身活动开展,促进当地消费收入，提高后备人才培养机制，提高群众体育健身积极性，推动我县体育事业可持续发展。</w:t>
      </w:r>
    </w:p>
    <w:p w14:paraId="24E00851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（四）部门管理转移支付情况</w:t>
      </w:r>
    </w:p>
    <w:p w14:paraId="3E1CD4C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2026年</w:t>
      </w:r>
      <w:r>
        <w:rPr>
          <w:rFonts w:hint="eastAsia" w:ascii="仿宋_GB2312" w:hAnsi="仿宋" w:eastAsia="仿宋_GB2312"/>
          <w:sz w:val="32"/>
          <w:szCs w:val="32"/>
        </w:rPr>
        <w:t>未安排预算，单位管理转移支付表为空表。</w:t>
      </w:r>
    </w:p>
    <w:p w14:paraId="7AC4FF80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（五）国有资本经营预算支出情况</w:t>
      </w:r>
    </w:p>
    <w:p w14:paraId="48956059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楷体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</w:t>
      </w:r>
      <w:r>
        <w:rPr>
          <w:rFonts w:hint="eastAsia" w:ascii="仿宋_GB2312" w:hAnsi="楷体" w:eastAsia="仿宋_GB2312"/>
          <w:sz w:val="32"/>
          <w:szCs w:val="32"/>
        </w:rPr>
        <w:t>未安排预算，国有资本经营预算支出情况表为空表。</w:t>
      </w:r>
    </w:p>
    <w:p w14:paraId="24363EA9">
      <w:pPr>
        <w:adjustRightInd w:val="0"/>
        <w:snapToGrid w:val="0"/>
        <w:spacing w:line="640" w:lineRule="exact"/>
        <w:ind w:firstLine="640" w:firstLineChars="200"/>
        <w:contextualSpacing/>
        <w:rPr>
          <w:rFonts w:ascii="黑体" w:hAnsi="黑体" w:eastAsia="黑体" w:cs="宋体"/>
          <w:kern w:val="0"/>
          <w:sz w:val="32"/>
          <w:szCs w:val="32"/>
        </w:rPr>
      </w:pPr>
      <w:r>
        <w:rPr>
          <w:rFonts w:hint="eastAsia" w:ascii="黑体" w:hAnsi="黑体" w:eastAsia="黑体" w:cs="宋体"/>
          <w:kern w:val="0"/>
          <w:sz w:val="32"/>
          <w:szCs w:val="32"/>
        </w:rPr>
        <w:t>十、预算绩效管理情况</w:t>
      </w:r>
    </w:p>
    <w:p w14:paraId="001DB173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（一）202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年预算绩效管理工作情况。</w:t>
      </w:r>
    </w:p>
    <w:p w14:paraId="35C99B2B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按照《中共中央 国务院关于全面实施预算绩效管理的意见》《中共甘肃省委 甘肃省人民政府关于全面实施预算绩效管理的实施意见》等相关要求，我们将绩效理念和方法融入预算编制、执行、决算和监督全过程认真开展各项工作。</w:t>
      </w:r>
    </w:p>
    <w:p w14:paraId="1FBE20F0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1.绩效目标管理情况。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年度，按照“谁申请资金，谁设置目标”的原则，纳入部门预算管理的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整体支出和项目绩效目标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个，按规定随年度预算一并公开项目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个，公开率为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68DF97CA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2.绩效运行监控情况。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年7月，组织开展1-6月绩效运行监控项目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个，占本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仿宋" w:eastAsia="仿宋_GB2312"/>
          <w:sz w:val="32"/>
          <w:szCs w:val="32"/>
        </w:rPr>
        <w:t>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%。截至7月底，如期完成预算执行和绩效目标指标值的项目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 xml:space="preserve"> %。开展1-9月绩效运行监控项目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个，占本单位项目的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%。截至10月底，如期完成预算执行和绩效目标指标值的项目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个，完成率为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%。“双监控”发现存在的问题和主要原因是：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财政资金困难暂未支付,但是项目均已完成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40B84A3F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3.绩效自评开展情况。</w:t>
      </w: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年度，组织开展绩效自评项目共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个，其中，单位整体支出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个，项目支出 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 xml:space="preserve"> 个，转移支付项目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个，绩效自评覆盖率为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%。绩效自评结果随部门决算报送财政和随决算公开情况：我单位及时报送绩效自评结果决算和随决算及时公开。</w:t>
      </w:r>
    </w:p>
    <w:p w14:paraId="0448F0DE">
      <w:pPr>
        <w:widowControl/>
        <w:adjustRightInd w:val="0"/>
        <w:snapToGrid w:val="0"/>
        <w:spacing w:line="640" w:lineRule="exact"/>
        <w:ind w:firstLine="643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4.绩效结果应用情况。</w:t>
      </w:r>
      <w:r>
        <w:rPr>
          <w:rFonts w:hint="eastAsia" w:ascii="仿宋_GB2312" w:hAnsi="仿宋" w:eastAsia="仿宋_GB2312"/>
          <w:sz w:val="32"/>
          <w:szCs w:val="32"/>
        </w:rPr>
        <w:t>根据202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年度绩效运行监控、绩效自评等情况，当年盘活财政资金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年度增加部门预算项目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个，增长率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%。同时对政策和项目资金管理作出调整的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个。</w:t>
      </w:r>
    </w:p>
    <w:p w14:paraId="6CED0D97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（二）202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年绩效目标编制情况</w:t>
      </w:r>
    </w:p>
    <w:p w14:paraId="38C69355">
      <w:pPr>
        <w:widowControl/>
        <w:adjustRightInd w:val="0"/>
        <w:snapToGrid w:val="0"/>
        <w:spacing w:line="640" w:lineRule="exact"/>
        <w:ind w:firstLine="640" w:firstLineChars="200"/>
        <w:contextualSpacing/>
        <w:jc w:val="left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202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年，纳入单位预算绩效目标管理的项目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个。其中，部门整体支出绩效目标围绕部门管理、履职效果、能力建设三个维度，设置二级指标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" w:eastAsia="仿宋_GB2312"/>
          <w:sz w:val="32"/>
          <w:szCs w:val="32"/>
        </w:rPr>
        <w:t>个；项目支出绩效目标围绕成本指标、产出指标、效益指标、满意度指标四个维度，设置二级指标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个、三级指标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个。各项绩效目标内容指向明确、细化量化、合理可行，符合规定的格式要求。</w:t>
      </w:r>
    </w:p>
    <w:p w14:paraId="44D30683">
      <w:pPr>
        <w:adjustRightInd w:val="0"/>
        <w:snapToGrid w:val="0"/>
        <w:spacing w:line="640" w:lineRule="exact"/>
        <w:ind w:firstLine="643" w:firstLineChars="200"/>
        <w:contextualSpacing/>
        <w:rPr>
          <w:rFonts w:ascii="楷体_GB2312" w:hAnsi="楷体" w:eastAsia="楷体_GB2312" w:cs="宋体"/>
          <w:b/>
          <w:bCs/>
          <w:kern w:val="0"/>
          <w:sz w:val="32"/>
          <w:szCs w:val="32"/>
        </w:rPr>
      </w:pPr>
      <w:r>
        <w:rPr>
          <w:rFonts w:hint="eastAsia" w:ascii="楷体_GB2312" w:hAnsi="楷体" w:eastAsia="楷体_GB2312" w:cs="宋体"/>
          <w:b/>
          <w:bCs/>
          <w:kern w:val="0"/>
          <w:sz w:val="32"/>
          <w:szCs w:val="32"/>
        </w:rPr>
        <w:t>十一、名词解释</w:t>
      </w:r>
    </w:p>
    <w:p w14:paraId="3CB6A078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1、财政拨款: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指由一般公共预算、政府性基金预算、国有资本经营预算安排的财政拨款数。</w:t>
      </w:r>
    </w:p>
    <w:p w14:paraId="3076EE44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2、一般公共预算: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包括公共财政拨款（补助）资金、专项收入。</w:t>
      </w:r>
    </w:p>
    <w:p w14:paraId="0206A5A5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3、财政专户管理资金: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包括专户管理行政事业性收费（主要是教育收费）、其他非税收入。</w:t>
      </w:r>
    </w:p>
    <w:p w14:paraId="5AA7AB39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4、其他资金: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包括事业收入、事业经营收入、其他收入等。</w:t>
      </w:r>
    </w:p>
    <w:p w14:paraId="27DB107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5、基本支出: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包括人员经费、公用经费（定额）。其中，人员经费包括工资福利支出、对个人和家庭的补助。</w:t>
      </w:r>
    </w:p>
    <w:p w14:paraId="21520226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6、项目支出: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部门（单位）支出预算的组成部分，是各部门（单位）为完成其特定的行政任务或事业发展目标，在基本支出预算之外编制的年度项目支出计划。</w:t>
      </w:r>
    </w:p>
    <w:p w14:paraId="22A1886A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7、“三公”经费: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指因公出国（境）费、公务用车购置及运行维护费和公务接待费。其中，因公出国（境）费反映单位公务出国（境）的国际旅费、国外城市间交通费、住宿费、伙食费、培训费、公杂费等支出；公务用车运行维护费反映单位按规定保留的公务用车租用费、燃料费、维修费、过路过桥费、保险费、安全奖励费用等支出；公务接待费反映单位按规定开支的各类公务接待（含外宾接待）支出。</w:t>
      </w:r>
    </w:p>
    <w:p w14:paraId="05C0E596">
      <w:pPr>
        <w:adjustRightInd w:val="0"/>
        <w:snapToGrid w:val="0"/>
        <w:spacing w:line="640" w:lineRule="exact"/>
        <w:ind w:firstLine="643" w:firstLineChars="200"/>
        <w:contextualSpacing/>
        <w:rPr>
          <w:rFonts w:hint="eastAsia" w:ascii="仿宋_GB2312" w:hAnsi="CIDFont+F6" w:eastAsia="仿宋_GB2312"/>
          <w:color w:val="000000"/>
          <w:sz w:val="32"/>
          <w:szCs w:val="32"/>
        </w:rPr>
      </w:pPr>
      <w:r>
        <w:rPr>
          <w:rFonts w:hint="eastAsia" w:ascii="仿宋_GB2312" w:hAnsi="CIDFont+F4" w:eastAsia="仿宋_GB2312"/>
          <w:b/>
          <w:color w:val="000000"/>
          <w:sz w:val="32"/>
          <w:szCs w:val="32"/>
        </w:rPr>
        <w:t>8、机关运行经费: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为保障行政单位（包括实行公务员管理的事业单位）运行用于购买货物和服务的各项资金，包括办公及印刷费、邮电费、差旅费、会议费、福利费、日常维修费、一般设备购置费、办公用房水电费、办公用房取暖费、办公用房物业管理费、公务用车运行维护费以及其他费用。</w:t>
      </w:r>
    </w:p>
    <w:p w14:paraId="7BA04C9B">
      <w:pPr>
        <w:pStyle w:val="2"/>
        <w:rPr>
          <w:rFonts w:hint="eastAsia"/>
        </w:rPr>
      </w:pPr>
    </w:p>
    <w:p w14:paraId="69967757">
      <w:pPr>
        <w:rPr>
          <w:rFonts w:hint="eastAsia"/>
        </w:rPr>
      </w:pPr>
    </w:p>
    <w:p w14:paraId="79B37EE7">
      <w:pPr>
        <w:pStyle w:val="2"/>
        <w:rPr>
          <w:rFonts w:hint="eastAsia"/>
        </w:rPr>
      </w:pPr>
    </w:p>
    <w:p w14:paraId="1B398101">
      <w:pPr>
        <w:adjustRightInd w:val="0"/>
        <w:snapToGrid w:val="0"/>
        <w:spacing w:line="640" w:lineRule="exact"/>
        <w:ind w:right="960"/>
        <w:contextualSpacing/>
        <w:jc w:val="center"/>
        <w:rPr>
          <w:rFonts w:hint="eastAsia" w:ascii="仿宋_GB2312" w:hAnsi="CIDFont+F6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                                    华池县业余体校</w:t>
      </w:r>
    </w:p>
    <w:p w14:paraId="1EDBAB95">
      <w:pPr>
        <w:adjustRightInd w:val="0"/>
        <w:snapToGrid w:val="0"/>
        <w:spacing w:line="640" w:lineRule="exact"/>
        <w:ind w:right="1120"/>
        <w:contextualSpacing/>
        <w:jc w:val="right"/>
      </w:pP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 xml:space="preserve">   2026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月</w:t>
      </w:r>
      <w:r>
        <w:rPr>
          <w:rFonts w:hint="eastAsia" w:ascii="仿宋_GB2312" w:hAnsi="CIDFont+F6" w:eastAsia="仿宋_GB2312"/>
          <w:color w:val="000000"/>
          <w:sz w:val="32"/>
          <w:szCs w:val="32"/>
          <w:lang w:val="en-US" w:eastAsia="zh-CN"/>
        </w:rPr>
        <w:t>16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日</w:t>
      </w:r>
    </w:p>
    <w:p w14:paraId="50466E3A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</w:p>
    <w:p w14:paraId="13D9E674">
      <w:pPr>
        <w:adjustRightInd w:val="0"/>
        <w:snapToGrid w:val="0"/>
        <w:spacing w:line="640" w:lineRule="exact"/>
        <w:ind w:firstLine="640" w:firstLineChars="200"/>
        <w:contextualSpacing/>
        <w:rPr>
          <w:rFonts w:hint="eastAsia" w:ascii="仿宋_GB2312" w:hAnsi="宋体" w:eastAsia="仿宋_GB2312" w:cs="宋体"/>
          <w:kern w:val="0"/>
          <w:sz w:val="32"/>
          <w:szCs w:val="32"/>
        </w:rPr>
      </w:pPr>
    </w:p>
    <w:p w14:paraId="7C5D611A">
      <w:pPr>
        <w:adjustRightInd w:val="0"/>
        <w:snapToGrid w:val="0"/>
        <w:spacing w:line="640" w:lineRule="exact"/>
        <w:ind w:firstLine="640" w:firstLineChars="200"/>
        <w:contextualSpacing/>
        <w:rPr>
          <w:rFonts w:ascii="仿宋_GB2312" w:hAnsi="宋体" w:eastAsia="仿宋_GB2312" w:cs="宋体"/>
          <w:spacing w:val="-2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附件：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1.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华池县业余体校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spacing w:val="-20"/>
          <w:kern w:val="0"/>
          <w:sz w:val="32"/>
          <w:szCs w:val="32"/>
        </w:rPr>
        <w:t>预算公开表</w:t>
      </w:r>
    </w:p>
    <w:p w14:paraId="30E69C3A">
      <w:pPr>
        <w:adjustRightInd w:val="0"/>
        <w:snapToGrid w:val="0"/>
        <w:spacing w:line="640" w:lineRule="exact"/>
        <w:ind w:left="1796" w:leftChars="767" w:hanging="185" w:hangingChars="58"/>
        <w:contextualSpacing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华池县业余体校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CIDFont+F6" w:eastAsia="仿宋_GB2312"/>
          <w:color w:val="000000"/>
          <w:sz w:val="32"/>
          <w:szCs w:val="32"/>
        </w:rPr>
        <w:t>单位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整体支出绩效目标及预算项目绩效目标表</w:t>
      </w:r>
    </w:p>
    <w:p w14:paraId="42A8BC65">
      <w:pPr>
        <w:tabs>
          <w:tab w:val="left" w:pos="1272"/>
        </w:tabs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NewRomanPS-Bold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6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IDFont+F4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90B931">
    <w:pPr>
      <w:pStyle w:val="5"/>
      <w:jc w:val="center"/>
    </w:pPr>
  </w:p>
  <w:p w14:paraId="20838DFC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7874C6">
    <w:pPr>
      <w:pStyle w:val="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27</w:t>
    </w:r>
    <w:r>
      <w:fldChar w:fldCharType="end"/>
    </w:r>
  </w:p>
  <w:p w14:paraId="0DCFDBFA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mYTA2MzMxYTBjNTMyMmVmMTNlM2VmN2Q5ODFiNzgifQ=="/>
  </w:docVars>
  <w:rsids>
    <w:rsidRoot w:val="00FB4362"/>
    <w:rsid w:val="00000C55"/>
    <w:rsid w:val="00001446"/>
    <w:rsid w:val="0001130C"/>
    <w:rsid w:val="00011F27"/>
    <w:rsid w:val="00012457"/>
    <w:rsid w:val="00021BBF"/>
    <w:rsid w:val="00030443"/>
    <w:rsid w:val="00030F4C"/>
    <w:rsid w:val="0003278A"/>
    <w:rsid w:val="000368FE"/>
    <w:rsid w:val="00042A06"/>
    <w:rsid w:val="00043601"/>
    <w:rsid w:val="000442B5"/>
    <w:rsid w:val="0004639D"/>
    <w:rsid w:val="000465E2"/>
    <w:rsid w:val="0005161F"/>
    <w:rsid w:val="000547D1"/>
    <w:rsid w:val="00055759"/>
    <w:rsid w:val="000612EE"/>
    <w:rsid w:val="00061BAF"/>
    <w:rsid w:val="0006337D"/>
    <w:rsid w:val="00074626"/>
    <w:rsid w:val="00076B62"/>
    <w:rsid w:val="00082093"/>
    <w:rsid w:val="000861D5"/>
    <w:rsid w:val="0009273A"/>
    <w:rsid w:val="000A20A7"/>
    <w:rsid w:val="000A655B"/>
    <w:rsid w:val="000B54DD"/>
    <w:rsid w:val="000C2055"/>
    <w:rsid w:val="000C2B7F"/>
    <w:rsid w:val="000C37BE"/>
    <w:rsid w:val="000C4C50"/>
    <w:rsid w:val="000D0130"/>
    <w:rsid w:val="000D2EEE"/>
    <w:rsid w:val="000D2F19"/>
    <w:rsid w:val="000E0CEA"/>
    <w:rsid w:val="000F3CBF"/>
    <w:rsid w:val="000F3F42"/>
    <w:rsid w:val="000F473D"/>
    <w:rsid w:val="001017F3"/>
    <w:rsid w:val="0011297B"/>
    <w:rsid w:val="00123768"/>
    <w:rsid w:val="00126B08"/>
    <w:rsid w:val="001272E5"/>
    <w:rsid w:val="00127D01"/>
    <w:rsid w:val="00130F5F"/>
    <w:rsid w:val="001374F5"/>
    <w:rsid w:val="00152FDC"/>
    <w:rsid w:val="001561FD"/>
    <w:rsid w:val="0015647B"/>
    <w:rsid w:val="00156619"/>
    <w:rsid w:val="00156C8B"/>
    <w:rsid w:val="00160A8C"/>
    <w:rsid w:val="001700B4"/>
    <w:rsid w:val="00171070"/>
    <w:rsid w:val="001A416A"/>
    <w:rsid w:val="001A6118"/>
    <w:rsid w:val="001B0364"/>
    <w:rsid w:val="001B0B8E"/>
    <w:rsid w:val="001B342F"/>
    <w:rsid w:val="001C1259"/>
    <w:rsid w:val="001D1DA7"/>
    <w:rsid w:val="001E17E4"/>
    <w:rsid w:val="001E2410"/>
    <w:rsid w:val="001E347C"/>
    <w:rsid w:val="001E6110"/>
    <w:rsid w:val="001F3C4D"/>
    <w:rsid w:val="002033EA"/>
    <w:rsid w:val="00214046"/>
    <w:rsid w:val="0022561F"/>
    <w:rsid w:val="00232DBE"/>
    <w:rsid w:val="002355E7"/>
    <w:rsid w:val="00235F73"/>
    <w:rsid w:val="0023681E"/>
    <w:rsid w:val="00241FEC"/>
    <w:rsid w:val="00243562"/>
    <w:rsid w:val="0025164A"/>
    <w:rsid w:val="00265C3D"/>
    <w:rsid w:val="00266C2E"/>
    <w:rsid w:val="00270DF8"/>
    <w:rsid w:val="002754B3"/>
    <w:rsid w:val="0028392B"/>
    <w:rsid w:val="002934F2"/>
    <w:rsid w:val="002A3A19"/>
    <w:rsid w:val="002A3ED4"/>
    <w:rsid w:val="002A7274"/>
    <w:rsid w:val="002B2833"/>
    <w:rsid w:val="002B7BA1"/>
    <w:rsid w:val="002C01BB"/>
    <w:rsid w:val="002C3FA4"/>
    <w:rsid w:val="002E2161"/>
    <w:rsid w:val="002E30F2"/>
    <w:rsid w:val="002E4E72"/>
    <w:rsid w:val="002F0CE0"/>
    <w:rsid w:val="002F4ED9"/>
    <w:rsid w:val="002F75FE"/>
    <w:rsid w:val="002F7FA5"/>
    <w:rsid w:val="003017F4"/>
    <w:rsid w:val="00301AAB"/>
    <w:rsid w:val="00306B68"/>
    <w:rsid w:val="003129FE"/>
    <w:rsid w:val="003322AC"/>
    <w:rsid w:val="00335342"/>
    <w:rsid w:val="00343A8E"/>
    <w:rsid w:val="00345713"/>
    <w:rsid w:val="003566B9"/>
    <w:rsid w:val="00356C98"/>
    <w:rsid w:val="0036367B"/>
    <w:rsid w:val="0036496C"/>
    <w:rsid w:val="00365414"/>
    <w:rsid w:val="00372734"/>
    <w:rsid w:val="00372A33"/>
    <w:rsid w:val="0037374A"/>
    <w:rsid w:val="00377A88"/>
    <w:rsid w:val="00392E2B"/>
    <w:rsid w:val="003A396F"/>
    <w:rsid w:val="003A68FD"/>
    <w:rsid w:val="003A7A18"/>
    <w:rsid w:val="003B3187"/>
    <w:rsid w:val="003B327A"/>
    <w:rsid w:val="003B4612"/>
    <w:rsid w:val="003B76D2"/>
    <w:rsid w:val="003D6D41"/>
    <w:rsid w:val="003E3B0A"/>
    <w:rsid w:val="0040581D"/>
    <w:rsid w:val="00417BF3"/>
    <w:rsid w:val="00425D21"/>
    <w:rsid w:val="00426463"/>
    <w:rsid w:val="00427875"/>
    <w:rsid w:val="004317A0"/>
    <w:rsid w:val="0043556D"/>
    <w:rsid w:val="0043739B"/>
    <w:rsid w:val="00441579"/>
    <w:rsid w:val="004418B5"/>
    <w:rsid w:val="00445789"/>
    <w:rsid w:val="00463FB8"/>
    <w:rsid w:val="00480A2F"/>
    <w:rsid w:val="00480B47"/>
    <w:rsid w:val="00481F19"/>
    <w:rsid w:val="00487BC0"/>
    <w:rsid w:val="00490FF8"/>
    <w:rsid w:val="004A1851"/>
    <w:rsid w:val="004B337A"/>
    <w:rsid w:val="004B5538"/>
    <w:rsid w:val="004C3127"/>
    <w:rsid w:val="004D27C3"/>
    <w:rsid w:val="004D44D2"/>
    <w:rsid w:val="004D491E"/>
    <w:rsid w:val="004E3E51"/>
    <w:rsid w:val="004E625A"/>
    <w:rsid w:val="004F73BD"/>
    <w:rsid w:val="00502474"/>
    <w:rsid w:val="00515110"/>
    <w:rsid w:val="00523062"/>
    <w:rsid w:val="00532434"/>
    <w:rsid w:val="00537019"/>
    <w:rsid w:val="0054271B"/>
    <w:rsid w:val="00545281"/>
    <w:rsid w:val="00551A39"/>
    <w:rsid w:val="00566585"/>
    <w:rsid w:val="00580A2F"/>
    <w:rsid w:val="005A2CB7"/>
    <w:rsid w:val="005B15C7"/>
    <w:rsid w:val="005B51EA"/>
    <w:rsid w:val="005C6B92"/>
    <w:rsid w:val="005F4CC9"/>
    <w:rsid w:val="0060056E"/>
    <w:rsid w:val="006039C9"/>
    <w:rsid w:val="00605602"/>
    <w:rsid w:val="00605D22"/>
    <w:rsid w:val="00620A03"/>
    <w:rsid w:val="00621126"/>
    <w:rsid w:val="0062145A"/>
    <w:rsid w:val="00633C60"/>
    <w:rsid w:val="00645C9F"/>
    <w:rsid w:val="00650775"/>
    <w:rsid w:val="0065388D"/>
    <w:rsid w:val="00655506"/>
    <w:rsid w:val="00674396"/>
    <w:rsid w:val="006849AD"/>
    <w:rsid w:val="006853A7"/>
    <w:rsid w:val="0069507F"/>
    <w:rsid w:val="006955DD"/>
    <w:rsid w:val="00697A98"/>
    <w:rsid w:val="006A0492"/>
    <w:rsid w:val="006A3DED"/>
    <w:rsid w:val="006A6E23"/>
    <w:rsid w:val="006B05FF"/>
    <w:rsid w:val="006C4D2E"/>
    <w:rsid w:val="006D3D60"/>
    <w:rsid w:val="006E1F9C"/>
    <w:rsid w:val="006E4A2C"/>
    <w:rsid w:val="006E721A"/>
    <w:rsid w:val="006F0E11"/>
    <w:rsid w:val="006F40C8"/>
    <w:rsid w:val="00700872"/>
    <w:rsid w:val="00706BB4"/>
    <w:rsid w:val="00714029"/>
    <w:rsid w:val="007203B6"/>
    <w:rsid w:val="007222C1"/>
    <w:rsid w:val="00725205"/>
    <w:rsid w:val="0074091B"/>
    <w:rsid w:val="00740927"/>
    <w:rsid w:val="00744302"/>
    <w:rsid w:val="00747C60"/>
    <w:rsid w:val="007732EA"/>
    <w:rsid w:val="00777EA3"/>
    <w:rsid w:val="007933F9"/>
    <w:rsid w:val="00793C7B"/>
    <w:rsid w:val="007954B6"/>
    <w:rsid w:val="007A5E22"/>
    <w:rsid w:val="007B3768"/>
    <w:rsid w:val="007B5395"/>
    <w:rsid w:val="007C38FB"/>
    <w:rsid w:val="007C6434"/>
    <w:rsid w:val="007D4E4C"/>
    <w:rsid w:val="007D5F13"/>
    <w:rsid w:val="007D69F8"/>
    <w:rsid w:val="007E4819"/>
    <w:rsid w:val="007E4E03"/>
    <w:rsid w:val="007E7289"/>
    <w:rsid w:val="00805F3F"/>
    <w:rsid w:val="00817A5D"/>
    <w:rsid w:val="00821209"/>
    <w:rsid w:val="00821491"/>
    <w:rsid w:val="00831411"/>
    <w:rsid w:val="00842536"/>
    <w:rsid w:val="00843692"/>
    <w:rsid w:val="0085135B"/>
    <w:rsid w:val="0085287C"/>
    <w:rsid w:val="008559B6"/>
    <w:rsid w:val="008559FD"/>
    <w:rsid w:val="00855E65"/>
    <w:rsid w:val="0085612E"/>
    <w:rsid w:val="00880868"/>
    <w:rsid w:val="00880D30"/>
    <w:rsid w:val="008811AD"/>
    <w:rsid w:val="008812FA"/>
    <w:rsid w:val="008B222B"/>
    <w:rsid w:val="008C138F"/>
    <w:rsid w:val="008C204C"/>
    <w:rsid w:val="008C2625"/>
    <w:rsid w:val="008C4FE2"/>
    <w:rsid w:val="008D4D6A"/>
    <w:rsid w:val="008F7014"/>
    <w:rsid w:val="009049E9"/>
    <w:rsid w:val="00907F9B"/>
    <w:rsid w:val="00911503"/>
    <w:rsid w:val="00917C2D"/>
    <w:rsid w:val="009209B6"/>
    <w:rsid w:val="00923CB4"/>
    <w:rsid w:val="009335E0"/>
    <w:rsid w:val="00941732"/>
    <w:rsid w:val="009510F3"/>
    <w:rsid w:val="00954018"/>
    <w:rsid w:val="00955590"/>
    <w:rsid w:val="00970435"/>
    <w:rsid w:val="009704EC"/>
    <w:rsid w:val="00971619"/>
    <w:rsid w:val="00982EAB"/>
    <w:rsid w:val="0098505E"/>
    <w:rsid w:val="00991480"/>
    <w:rsid w:val="009945A7"/>
    <w:rsid w:val="00995E63"/>
    <w:rsid w:val="0099643D"/>
    <w:rsid w:val="009969DC"/>
    <w:rsid w:val="00996BA5"/>
    <w:rsid w:val="009A0F79"/>
    <w:rsid w:val="009A3C75"/>
    <w:rsid w:val="009B03F2"/>
    <w:rsid w:val="009C4EE2"/>
    <w:rsid w:val="009D46B1"/>
    <w:rsid w:val="009E7F6E"/>
    <w:rsid w:val="009F2B6A"/>
    <w:rsid w:val="009F5541"/>
    <w:rsid w:val="00A01204"/>
    <w:rsid w:val="00A022BA"/>
    <w:rsid w:val="00A256AC"/>
    <w:rsid w:val="00A32BE3"/>
    <w:rsid w:val="00A4207A"/>
    <w:rsid w:val="00A5653E"/>
    <w:rsid w:val="00A63533"/>
    <w:rsid w:val="00A723C4"/>
    <w:rsid w:val="00A72D2B"/>
    <w:rsid w:val="00A820E9"/>
    <w:rsid w:val="00A82942"/>
    <w:rsid w:val="00A83E24"/>
    <w:rsid w:val="00AA20F8"/>
    <w:rsid w:val="00AA327B"/>
    <w:rsid w:val="00AA55AF"/>
    <w:rsid w:val="00AB19A5"/>
    <w:rsid w:val="00AC2FD6"/>
    <w:rsid w:val="00AC78FC"/>
    <w:rsid w:val="00AD4CFE"/>
    <w:rsid w:val="00AE79BA"/>
    <w:rsid w:val="00AF350E"/>
    <w:rsid w:val="00AF3D8F"/>
    <w:rsid w:val="00AF5273"/>
    <w:rsid w:val="00AF5D3D"/>
    <w:rsid w:val="00B0671C"/>
    <w:rsid w:val="00B13495"/>
    <w:rsid w:val="00B262DD"/>
    <w:rsid w:val="00B278DE"/>
    <w:rsid w:val="00B30287"/>
    <w:rsid w:val="00B30EBD"/>
    <w:rsid w:val="00B351C3"/>
    <w:rsid w:val="00B36AC9"/>
    <w:rsid w:val="00B36E7A"/>
    <w:rsid w:val="00B542CD"/>
    <w:rsid w:val="00B6465B"/>
    <w:rsid w:val="00B772D7"/>
    <w:rsid w:val="00B85451"/>
    <w:rsid w:val="00B86006"/>
    <w:rsid w:val="00B86D86"/>
    <w:rsid w:val="00BA2A96"/>
    <w:rsid w:val="00BA5FE5"/>
    <w:rsid w:val="00BC1FD9"/>
    <w:rsid w:val="00BC30FF"/>
    <w:rsid w:val="00BC500D"/>
    <w:rsid w:val="00BD7FD7"/>
    <w:rsid w:val="00BF1606"/>
    <w:rsid w:val="00BF1647"/>
    <w:rsid w:val="00BF5A25"/>
    <w:rsid w:val="00C06428"/>
    <w:rsid w:val="00C11347"/>
    <w:rsid w:val="00C35018"/>
    <w:rsid w:val="00C40A34"/>
    <w:rsid w:val="00C4484E"/>
    <w:rsid w:val="00C46F7C"/>
    <w:rsid w:val="00C519B5"/>
    <w:rsid w:val="00C55EDB"/>
    <w:rsid w:val="00C573E9"/>
    <w:rsid w:val="00C729DA"/>
    <w:rsid w:val="00C764B7"/>
    <w:rsid w:val="00C90B56"/>
    <w:rsid w:val="00CA3F25"/>
    <w:rsid w:val="00CB5B9D"/>
    <w:rsid w:val="00CB6428"/>
    <w:rsid w:val="00CC01A5"/>
    <w:rsid w:val="00CC2134"/>
    <w:rsid w:val="00CD255A"/>
    <w:rsid w:val="00D126EC"/>
    <w:rsid w:val="00D14955"/>
    <w:rsid w:val="00D24CD6"/>
    <w:rsid w:val="00D24FA6"/>
    <w:rsid w:val="00D544D2"/>
    <w:rsid w:val="00D660F8"/>
    <w:rsid w:val="00D744C5"/>
    <w:rsid w:val="00D827AF"/>
    <w:rsid w:val="00D8451F"/>
    <w:rsid w:val="00D8474D"/>
    <w:rsid w:val="00D84D5B"/>
    <w:rsid w:val="00D86771"/>
    <w:rsid w:val="00D90C73"/>
    <w:rsid w:val="00D90F17"/>
    <w:rsid w:val="00D9480E"/>
    <w:rsid w:val="00D94FFD"/>
    <w:rsid w:val="00DA7038"/>
    <w:rsid w:val="00DB4AF2"/>
    <w:rsid w:val="00DB572A"/>
    <w:rsid w:val="00DC14B3"/>
    <w:rsid w:val="00DC399C"/>
    <w:rsid w:val="00DC7D6D"/>
    <w:rsid w:val="00DD2999"/>
    <w:rsid w:val="00DD2B43"/>
    <w:rsid w:val="00DD2CF8"/>
    <w:rsid w:val="00DD5C58"/>
    <w:rsid w:val="00DE240B"/>
    <w:rsid w:val="00DE529C"/>
    <w:rsid w:val="00DE6D9E"/>
    <w:rsid w:val="00DF3482"/>
    <w:rsid w:val="00DF450F"/>
    <w:rsid w:val="00E04A58"/>
    <w:rsid w:val="00E07425"/>
    <w:rsid w:val="00E07A05"/>
    <w:rsid w:val="00E16025"/>
    <w:rsid w:val="00E167FD"/>
    <w:rsid w:val="00E16F50"/>
    <w:rsid w:val="00E24179"/>
    <w:rsid w:val="00E31783"/>
    <w:rsid w:val="00E36636"/>
    <w:rsid w:val="00E43A34"/>
    <w:rsid w:val="00E44D37"/>
    <w:rsid w:val="00E52850"/>
    <w:rsid w:val="00E609A5"/>
    <w:rsid w:val="00E61928"/>
    <w:rsid w:val="00E656D2"/>
    <w:rsid w:val="00E7276C"/>
    <w:rsid w:val="00E84382"/>
    <w:rsid w:val="00E9180B"/>
    <w:rsid w:val="00EA0646"/>
    <w:rsid w:val="00EA2BA4"/>
    <w:rsid w:val="00EA3103"/>
    <w:rsid w:val="00EB15C1"/>
    <w:rsid w:val="00EC325A"/>
    <w:rsid w:val="00EC3A8E"/>
    <w:rsid w:val="00EC57F0"/>
    <w:rsid w:val="00ED68AF"/>
    <w:rsid w:val="00EF2E7C"/>
    <w:rsid w:val="00F01A6E"/>
    <w:rsid w:val="00F11811"/>
    <w:rsid w:val="00F20178"/>
    <w:rsid w:val="00F23C6C"/>
    <w:rsid w:val="00F24BC8"/>
    <w:rsid w:val="00F25045"/>
    <w:rsid w:val="00F30F3E"/>
    <w:rsid w:val="00F32002"/>
    <w:rsid w:val="00F4605D"/>
    <w:rsid w:val="00F51EF5"/>
    <w:rsid w:val="00F74928"/>
    <w:rsid w:val="00F8197E"/>
    <w:rsid w:val="00F833B1"/>
    <w:rsid w:val="00F87D90"/>
    <w:rsid w:val="00F90495"/>
    <w:rsid w:val="00FA4179"/>
    <w:rsid w:val="00FB4362"/>
    <w:rsid w:val="00FB53A1"/>
    <w:rsid w:val="00FD30CF"/>
    <w:rsid w:val="00FE0E46"/>
    <w:rsid w:val="00FF0AEC"/>
    <w:rsid w:val="00FF1DF4"/>
    <w:rsid w:val="00FF4165"/>
    <w:rsid w:val="02E03DF9"/>
    <w:rsid w:val="07D15242"/>
    <w:rsid w:val="09E71996"/>
    <w:rsid w:val="0CC75859"/>
    <w:rsid w:val="0DAC7860"/>
    <w:rsid w:val="113741D2"/>
    <w:rsid w:val="1473406E"/>
    <w:rsid w:val="16266312"/>
    <w:rsid w:val="183D6D9C"/>
    <w:rsid w:val="1D34261E"/>
    <w:rsid w:val="1FA85442"/>
    <w:rsid w:val="24961D0D"/>
    <w:rsid w:val="29B42C36"/>
    <w:rsid w:val="2D692C5F"/>
    <w:rsid w:val="34192013"/>
    <w:rsid w:val="34DA79F4"/>
    <w:rsid w:val="38084878"/>
    <w:rsid w:val="389600D6"/>
    <w:rsid w:val="3AC047E5"/>
    <w:rsid w:val="3B077069"/>
    <w:rsid w:val="3D7A682D"/>
    <w:rsid w:val="3F1533C9"/>
    <w:rsid w:val="41DA54D8"/>
    <w:rsid w:val="42A05423"/>
    <w:rsid w:val="45246A6A"/>
    <w:rsid w:val="46061BDC"/>
    <w:rsid w:val="48084421"/>
    <w:rsid w:val="4C433C79"/>
    <w:rsid w:val="527E074E"/>
    <w:rsid w:val="54617393"/>
    <w:rsid w:val="559E4FB7"/>
    <w:rsid w:val="56393C72"/>
    <w:rsid w:val="579503FF"/>
    <w:rsid w:val="5ACC7530"/>
    <w:rsid w:val="60535296"/>
    <w:rsid w:val="656E190F"/>
    <w:rsid w:val="65BD14BA"/>
    <w:rsid w:val="674924C2"/>
    <w:rsid w:val="6804699A"/>
    <w:rsid w:val="6B7A2602"/>
    <w:rsid w:val="6DCB6CA5"/>
    <w:rsid w:val="72FD2525"/>
    <w:rsid w:val="78106856"/>
    <w:rsid w:val="790C5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9"/>
    <w:autoRedefine/>
    <w:qFormat/>
    <w:uiPriority w:val="0"/>
    <w:pPr>
      <w:jc w:val="left"/>
    </w:pPr>
  </w:style>
  <w:style w:type="paragraph" w:styleId="4">
    <w:name w:val="Balloon Text"/>
    <w:basedOn w:val="1"/>
    <w:link w:val="16"/>
    <w:qFormat/>
    <w:uiPriority w:val="0"/>
    <w:rPr>
      <w:sz w:val="18"/>
      <w:szCs w:val="18"/>
    </w:rPr>
  </w:style>
  <w:style w:type="paragraph" w:styleId="5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0"/>
    <w:autoRedefine/>
    <w:qFormat/>
    <w:uiPriority w:val="0"/>
    <w:rPr>
      <w:b/>
      <w:bCs/>
    </w:rPr>
  </w:style>
  <w:style w:type="character" w:styleId="11">
    <w:name w:val="line number"/>
    <w:autoRedefine/>
    <w:qFormat/>
    <w:uiPriority w:val="0"/>
  </w:style>
  <w:style w:type="character" w:styleId="12">
    <w:name w:val="annotation reference"/>
    <w:autoRedefine/>
    <w:qFormat/>
    <w:uiPriority w:val="0"/>
    <w:rPr>
      <w:sz w:val="21"/>
      <w:szCs w:val="21"/>
    </w:rPr>
  </w:style>
  <w:style w:type="character" w:customStyle="1" w:styleId="13">
    <w:name w:val="页脚 Char"/>
    <w:link w:val="5"/>
    <w:autoRedefine/>
    <w:qFormat/>
    <w:uiPriority w:val="0"/>
    <w:rPr>
      <w:sz w:val="18"/>
      <w:szCs w:val="18"/>
    </w:rPr>
  </w:style>
  <w:style w:type="character" w:customStyle="1" w:styleId="14">
    <w:name w:val="页眉 Char"/>
    <w:link w:val="6"/>
    <w:autoRedefine/>
    <w:qFormat/>
    <w:uiPriority w:val="0"/>
    <w:rPr>
      <w:sz w:val="18"/>
      <w:szCs w:val="18"/>
    </w:rPr>
  </w:style>
  <w:style w:type="paragraph" w:styleId="15">
    <w:name w:val="List Paragraph"/>
    <w:basedOn w:val="1"/>
    <w:autoRedefine/>
    <w:qFormat/>
    <w:uiPriority w:val="0"/>
    <w:pPr>
      <w:ind w:firstLine="420" w:firstLineChars="200"/>
    </w:pPr>
  </w:style>
  <w:style w:type="character" w:customStyle="1" w:styleId="16">
    <w:name w:val="批注框文本 Char"/>
    <w:link w:val="4"/>
    <w:autoRedefine/>
    <w:qFormat/>
    <w:uiPriority w:val="0"/>
    <w:rPr>
      <w:kern w:val="2"/>
      <w:sz w:val="18"/>
      <w:szCs w:val="18"/>
    </w:rPr>
  </w:style>
  <w:style w:type="character" w:customStyle="1" w:styleId="17">
    <w:name w:val="标题 1 Char"/>
    <w:link w:val="2"/>
    <w:autoRedefine/>
    <w:qFormat/>
    <w:uiPriority w:val="0"/>
    <w:rPr>
      <w:rFonts w:ascii="Times New Roman" w:hAnsi="Times New Roman"/>
      <w:b/>
      <w:bCs/>
      <w:kern w:val="44"/>
      <w:sz w:val="44"/>
      <w:szCs w:val="44"/>
    </w:rPr>
  </w:style>
  <w:style w:type="paragraph" w:customStyle="1" w:styleId="18">
    <w:name w:val="TOC Heading"/>
    <w:basedOn w:val="2"/>
    <w:next w:val="1"/>
    <w:qFormat/>
    <w:uiPriority w:val="0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19">
    <w:name w:val="批注文字 Char"/>
    <w:link w:val="3"/>
    <w:autoRedefine/>
    <w:qFormat/>
    <w:uiPriority w:val="0"/>
    <w:rPr>
      <w:kern w:val="2"/>
      <w:sz w:val="21"/>
      <w:szCs w:val="22"/>
    </w:rPr>
  </w:style>
  <w:style w:type="character" w:customStyle="1" w:styleId="20">
    <w:name w:val="批注主题 Char"/>
    <w:link w:val="8"/>
    <w:autoRedefine/>
    <w:qFormat/>
    <w:uiPriority w:val="0"/>
    <w:rPr>
      <w:b/>
      <w:bCs/>
      <w:kern w:val="2"/>
      <w:sz w:val="21"/>
      <w:szCs w:val="22"/>
    </w:rPr>
  </w:style>
  <w:style w:type="character" w:customStyle="1" w:styleId="21">
    <w:name w:val="fontstyle0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2">
    <w:name w:val="fontstyle2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3">
    <w:name w:val="fontstyle11"/>
    <w:autoRedefine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4">
    <w:name w:val="fontstyle31"/>
    <w:autoRedefine/>
    <w:qFormat/>
    <w:uiPriority w:val="0"/>
    <w:rPr>
      <w:rFonts w:hint="default" w:ascii="TimesNewRomanPSMT" w:hAnsi="TimesNewRomanPSMT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beijing</Company>
  <Pages>12</Pages>
  <Words>4347</Words>
  <Characters>4675</Characters>
  <Lines>68</Lines>
  <Paragraphs>19</Paragraphs>
  <TotalTime>8</TotalTime>
  <ScaleCrop>false</ScaleCrop>
  <LinksUpToDate>false</LinksUpToDate>
  <CharactersWithSpaces>4743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2024-01-30T09:03:00Z</dcterms:created>
  <dc:creator>home</dc:creator>
  <cp:lastModifiedBy>WPS_1601452076</cp:lastModifiedBy>
  <cp:lastPrinted>2024-02-29T03:02:00Z</cp:lastPrinted>
  <dcterms:modified xsi:type="dcterms:W3CDTF">2026-03-16T05:48:24Z</dcterms:modified>
  <cp:revision>43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4746AA2B63644A919A7677ADD6665D0C</vt:lpwstr>
  </property>
  <property fmtid="{D5CDD505-2E9C-101B-9397-08002B2CF9AE}" pid="4" name="KSOTemplateDocerSaveRecord">
    <vt:lpwstr>eyJoZGlkIjoiNTFmYTA2MzMxYTBjNTMyMmVmMTNlM2VmN2Q5ODFiNzgiLCJ1c2VySWQiOiIxMTI2MDA4NTA5In0=</vt:lpwstr>
  </property>
</Properties>
</file>