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D8B6B5">
      <w:pPr>
        <w:spacing w:line="660" w:lineRule="exact"/>
        <w:jc w:val="center"/>
        <w:rPr>
          <w:rFonts w:hint="default" w:ascii="Times New Roman" w:hAnsi="Times New Roman" w:cs="Times New Roman"/>
          <w:b/>
          <w:bCs/>
          <w:kern w:val="0"/>
          <w:sz w:val="44"/>
          <w:szCs w:val="44"/>
        </w:rPr>
      </w:pPr>
    </w:p>
    <w:p w14:paraId="0065D364">
      <w:pPr>
        <w:spacing w:line="660" w:lineRule="exact"/>
        <w:jc w:val="center"/>
        <w:rPr>
          <w:rFonts w:hint="default" w:ascii="Times New Roman" w:hAnsi="Times New Roman" w:cs="Times New Roman"/>
          <w:b/>
          <w:bCs/>
          <w:kern w:val="0"/>
          <w:sz w:val="44"/>
          <w:szCs w:val="44"/>
        </w:rPr>
      </w:pPr>
    </w:p>
    <w:p w14:paraId="5AF7918B">
      <w:pPr>
        <w:spacing w:line="660" w:lineRule="exact"/>
        <w:jc w:val="center"/>
        <w:rPr>
          <w:rFonts w:hint="default" w:ascii="Times New Roman" w:hAnsi="Times New Roman" w:cs="Times New Roman"/>
          <w:b/>
          <w:bCs/>
          <w:kern w:val="0"/>
          <w:sz w:val="44"/>
          <w:szCs w:val="44"/>
        </w:rPr>
      </w:pPr>
    </w:p>
    <w:p w14:paraId="5763E3F0">
      <w:pPr>
        <w:spacing w:line="660" w:lineRule="exact"/>
        <w:jc w:val="center"/>
        <w:rPr>
          <w:rStyle w:val="11"/>
          <w:rFonts w:hint="default" w:ascii="Times New Roman" w:hAnsi="Times New Roman" w:eastAsia="宋体" w:cs="Times New Roman"/>
          <w:b/>
          <w:bCs/>
          <w:i w:val="0"/>
          <w:iCs w:val="0"/>
          <w:caps w:val="0"/>
          <w:color w:val="333333"/>
          <w:spacing w:val="0"/>
          <w:sz w:val="43"/>
          <w:szCs w:val="43"/>
          <w:shd w:val="clear" w:fill="FFFFFF"/>
        </w:rPr>
      </w:pPr>
      <w:r>
        <w:rPr>
          <w:rStyle w:val="11"/>
          <w:rFonts w:hint="default" w:ascii="Times New Roman" w:hAnsi="Times New Roman" w:eastAsia="宋体" w:cs="Times New Roman"/>
          <w:b/>
          <w:bCs/>
          <w:i w:val="0"/>
          <w:iCs w:val="0"/>
          <w:caps w:val="0"/>
          <w:color w:val="333333"/>
          <w:spacing w:val="0"/>
          <w:sz w:val="43"/>
          <w:szCs w:val="43"/>
          <w:shd w:val="clear" w:fill="FFFFFF"/>
        </w:rPr>
        <w:t>中共华池县委员会政法委员会</w:t>
      </w:r>
    </w:p>
    <w:p w14:paraId="3303D84C">
      <w:pPr>
        <w:spacing w:line="660" w:lineRule="exact"/>
        <w:jc w:val="center"/>
        <w:rPr>
          <w:rFonts w:hint="default" w:ascii="Times New Roman" w:hAnsi="Times New Roman" w:eastAsia="宋体" w:cs="Times New Roman"/>
          <w:b/>
          <w:bCs/>
          <w:kern w:val="0"/>
          <w:sz w:val="44"/>
          <w:szCs w:val="44"/>
          <w:lang w:eastAsia="zh-CN"/>
        </w:rPr>
        <w:sectPr>
          <w:footerReference r:id="rId3" w:type="default"/>
          <w:pgSz w:w="11906" w:h="16838"/>
          <w:pgMar w:top="1134" w:right="1134" w:bottom="1440" w:left="1276" w:header="851" w:footer="992" w:gutter="0"/>
          <w:cols w:space="720" w:num="1"/>
          <w:docGrid w:type="lines" w:linePitch="312" w:charSpace="0"/>
        </w:sectPr>
      </w:pPr>
      <w:r>
        <w:rPr>
          <w:rFonts w:hint="default" w:ascii="Times New Roman" w:hAnsi="Times New Roman" w:cs="Times New Roman"/>
          <w:b/>
          <w:bCs/>
          <w:kern w:val="0"/>
          <w:sz w:val="44"/>
          <w:szCs w:val="44"/>
        </w:rPr>
        <w:t>202</w:t>
      </w:r>
      <w:r>
        <w:rPr>
          <w:rFonts w:hint="eastAsia" w:ascii="Times New Roman" w:hAnsi="Times New Roman" w:cs="Times New Roman"/>
          <w:b/>
          <w:bCs/>
          <w:kern w:val="0"/>
          <w:sz w:val="44"/>
          <w:szCs w:val="44"/>
          <w:lang w:val="en-US" w:eastAsia="zh-CN"/>
        </w:rPr>
        <w:t>6</w:t>
      </w:r>
      <w:r>
        <w:rPr>
          <w:rFonts w:hint="default" w:ascii="Times New Roman" w:hAnsi="Times New Roman" w:cs="Times New Roman"/>
          <w:b/>
          <w:bCs/>
          <w:kern w:val="0"/>
          <w:sz w:val="44"/>
          <w:szCs w:val="44"/>
        </w:rPr>
        <w:t>年部门预算公开情况说明</w:t>
      </w:r>
    </w:p>
    <w:p w14:paraId="2329893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40" w:lineRule="exact"/>
        <w:jc w:val="center"/>
        <w:textAlignment w:val="auto"/>
        <w:rPr>
          <w:rFonts w:hint="default" w:ascii="Times New Roman" w:hAnsi="Times New Roman" w:cs="Times New Roman"/>
          <w:b/>
          <w:bCs/>
          <w:kern w:val="0"/>
          <w:sz w:val="44"/>
          <w:szCs w:val="44"/>
        </w:rPr>
      </w:pPr>
      <w:r>
        <w:rPr>
          <w:rFonts w:hint="default" w:ascii="Times New Roman" w:hAnsi="Times New Roman" w:cs="Times New Roman"/>
          <w:b/>
          <w:bCs/>
          <w:kern w:val="0"/>
          <w:sz w:val="44"/>
          <w:szCs w:val="44"/>
        </w:rPr>
        <w:t>目录</w:t>
      </w:r>
    </w:p>
    <w:p w14:paraId="404A490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40" w:lineRule="exact"/>
        <w:jc w:val="center"/>
        <w:textAlignment w:val="auto"/>
        <w:rPr>
          <w:rFonts w:hint="default" w:ascii="Times New Roman" w:hAnsi="Times New Roman" w:cs="Times New Roman"/>
          <w:b/>
          <w:bCs/>
          <w:kern w:val="0"/>
          <w:sz w:val="44"/>
          <w:szCs w:val="44"/>
        </w:rPr>
      </w:pPr>
    </w:p>
    <w:p w14:paraId="581C728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40" w:lineRule="exact"/>
        <w:jc w:val="center"/>
        <w:textAlignment w:val="auto"/>
        <w:rPr>
          <w:rFonts w:hint="default" w:ascii="Times New Roman" w:hAnsi="Times New Roman" w:eastAsia="黑体" w:cs="Times New Roman"/>
          <w:color w:val="000000"/>
          <w:sz w:val="18"/>
          <w:szCs w:val="18"/>
        </w:rPr>
      </w:pPr>
    </w:p>
    <w:p w14:paraId="29CA092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firstLine="640" w:firstLineChars="200"/>
        <w:contextualSpacing/>
        <w:textAlignment w:val="auto"/>
        <w:rPr>
          <w:rFonts w:hint="default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第一部分 部门/单位基本概况</w:t>
      </w:r>
    </w:p>
    <w:p w14:paraId="6C4F017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firstLine="640" w:firstLineChars="200"/>
        <w:contextualSpacing/>
        <w:textAlignment w:val="auto"/>
        <w:rPr>
          <w:rFonts w:hint="default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一、部门/单位职责</w:t>
      </w:r>
    </w:p>
    <w:p w14:paraId="2262FAB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firstLine="640" w:firstLineChars="200"/>
        <w:contextualSpacing/>
        <w:textAlignment w:val="auto"/>
        <w:rPr>
          <w:rFonts w:hint="default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二、机构设置情况</w:t>
      </w:r>
    </w:p>
    <w:p w14:paraId="015179C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firstLine="640" w:firstLineChars="200"/>
        <w:contextualSpacing/>
        <w:textAlignment w:val="auto"/>
        <w:rPr>
          <w:rFonts w:hint="default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第二部分 202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年部门/单位预算情况说明</w:t>
      </w:r>
    </w:p>
    <w:p w14:paraId="621AD4F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firstLine="640" w:firstLineChars="200"/>
        <w:contextualSpacing/>
        <w:textAlignment w:val="auto"/>
        <w:rPr>
          <w:rFonts w:hint="default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三、收支总体情况</w:t>
      </w:r>
    </w:p>
    <w:p w14:paraId="4963B13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firstLine="640" w:firstLineChars="200"/>
        <w:contextualSpacing/>
        <w:textAlignment w:val="auto"/>
        <w:rPr>
          <w:rFonts w:hint="default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四、一般公共预算情况</w:t>
      </w:r>
    </w:p>
    <w:p w14:paraId="7633BD6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firstLine="640" w:firstLineChars="200"/>
        <w:contextualSpacing/>
        <w:textAlignment w:val="auto"/>
        <w:rPr>
          <w:rFonts w:hint="default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五、一般公共预算财政拨款“三公”经费、培训费、会议费等情况</w:t>
      </w:r>
    </w:p>
    <w:p w14:paraId="530E5D4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firstLine="640" w:firstLineChars="200"/>
        <w:contextualSpacing/>
        <w:textAlignment w:val="auto"/>
        <w:rPr>
          <w:rFonts w:hint="default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六、一般公共预算财政拨款机关运行经费情况</w:t>
      </w:r>
    </w:p>
    <w:p w14:paraId="5E42940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firstLine="640" w:firstLineChars="200"/>
        <w:contextualSpacing/>
        <w:textAlignment w:val="auto"/>
        <w:rPr>
          <w:rFonts w:hint="default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七、政府采购安排情况</w:t>
      </w:r>
    </w:p>
    <w:p w14:paraId="4030E23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firstLine="640" w:firstLineChars="200"/>
        <w:contextualSpacing/>
        <w:textAlignment w:val="auto"/>
        <w:rPr>
          <w:rFonts w:hint="default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八、国有资产占用情况</w:t>
      </w:r>
    </w:p>
    <w:p w14:paraId="0843669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firstLine="640" w:firstLineChars="200"/>
        <w:contextualSpacing/>
        <w:textAlignment w:val="auto"/>
        <w:rPr>
          <w:rFonts w:hint="default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九、其他重要事项情况说明</w:t>
      </w:r>
    </w:p>
    <w:p w14:paraId="27A3AEE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firstLine="640" w:firstLineChars="200"/>
        <w:contextualSpacing/>
        <w:textAlignment w:val="auto"/>
        <w:rPr>
          <w:rFonts w:hint="default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十、预算绩效管理情况</w:t>
      </w:r>
    </w:p>
    <w:p w14:paraId="7AFA01C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firstLine="640" w:firstLineChars="200"/>
        <w:contextualSpacing/>
        <w:textAlignment w:val="auto"/>
        <w:rPr>
          <w:rFonts w:hint="default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十一、名词解释</w:t>
      </w:r>
    </w:p>
    <w:p w14:paraId="62B3F56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firstLine="640" w:firstLineChars="200"/>
        <w:contextualSpacing/>
        <w:textAlignment w:val="auto"/>
        <w:rPr>
          <w:rFonts w:hint="default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第三部分 202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年部门（单位）预算公开表</w:t>
      </w:r>
    </w:p>
    <w:p w14:paraId="3CC9D25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firstLine="640" w:firstLineChars="200"/>
        <w:contextualSpacing/>
        <w:textAlignment w:val="auto"/>
        <w:rPr>
          <w:rFonts w:hint="default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一、部门/单位收支总体情况表</w:t>
      </w:r>
    </w:p>
    <w:p w14:paraId="0829E3D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firstLine="640" w:firstLineChars="200"/>
        <w:contextualSpacing/>
        <w:textAlignment w:val="auto"/>
        <w:rPr>
          <w:rFonts w:hint="default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二、部门/单位收入总体情况表</w:t>
      </w:r>
    </w:p>
    <w:p w14:paraId="7D3C2DF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firstLine="640" w:firstLineChars="200"/>
        <w:contextualSpacing/>
        <w:textAlignment w:val="auto"/>
        <w:rPr>
          <w:rFonts w:hint="default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三、部门/单位支出总体情况表</w:t>
      </w:r>
    </w:p>
    <w:p w14:paraId="37A4BE9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firstLine="640" w:firstLineChars="200"/>
        <w:contextualSpacing/>
        <w:textAlignment w:val="auto"/>
        <w:rPr>
          <w:rFonts w:hint="default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四、财政拨款收支总体情况表</w:t>
      </w:r>
    </w:p>
    <w:p w14:paraId="1F51955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firstLine="640" w:firstLineChars="200"/>
        <w:contextualSpacing/>
        <w:textAlignment w:val="auto"/>
        <w:rPr>
          <w:rFonts w:hint="default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五、财政拨款支出表</w:t>
      </w:r>
    </w:p>
    <w:p w14:paraId="19D8C3D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firstLine="640" w:firstLineChars="200"/>
        <w:contextualSpacing/>
        <w:textAlignment w:val="auto"/>
        <w:rPr>
          <w:rFonts w:hint="default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六、一般公共预算支出情况表</w:t>
      </w:r>
    </w:p>
    <w:p w14:paraId="469D894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firstLine="640" w:firstLineChars="200"/>
        <w:contextualSpacing/>
        <w:textAlignment w:val="auto"/>
        <w:rPr>
          <w:rFonts w:hint="default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七、一般公共预算基本支出情况表</w:t>
      </w:r>
    </w:p>
    <w:p w14:paraId="12E426C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firstLine="640" w:firstLineChars="200"/>
        <w:contextualSpacing/>
        <w:textAlignment w:val="auto"/>
        <w:rPr>
          <w:rFonts w:hint="default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八、一般公共预算财政拨款“三公”经费、会议费、培训费支出情况表</w:t>
      </w:r>
    </w:p>
    <w:p w14:paraId="1E25C6B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firstLine="640" w:firstLineChars="200"/>
        <w:contextualSpacing/>
        <w:textAlignment w:val="auto"/>
        <w:rPr>
          <w:rFonts w:hint="default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九、一般公共预算财政拨款机关运行经费表</w:t>
      </w:r>
    </w:p>
    <w:p w14:paraId="14E2395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firstLine="640" w:firstLineChars="200"/>
        <w:contextualSpacing/>
        <w:textAlignment w:val="auto"/>
        <w:rPr>
          <w:rFonts w:hint="default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十、政府性基金预算支出情况表</w:t>
      </w:r>
    </w:p>
    <w:p w14:paraId="3A1B0B7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firstLine="640" w:firstLineChars="200"/>
        <w:contextualSpacing/>
        <w:textAlignment w:val="auto"/>
        <w:rPr>
          <w:rFonts w:hint="default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十一、部门管理转移支付表</w:t>
      </w:r>
    </w:p>
    <w:p w14:paraId="56BE6E1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firstLine="640" w:firstLineChars="200"/>
        <w:contextualSpacing/>
        <w:textAlignment w:val="auto"/>
        <w:rPr>
          <w:rFonts w:hint="default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十二、国有资本经营预算支出情况表</w:t>
      </w:r>
    </w:p>
    <w:p w14:paraId="6380FA1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firstLine="640" w:firstLineChars="200"/>
        <w:contextualSpacing/>
        <w:textAlignment w:val="auto"/>
        <w:rPr>
          <w:rFonts w:hint="default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十三、部门/单位整体支出绩效目标表和项目支出绩效目标表</w:t>
      </w:r>
    </w:p>
    <w:p w14:paraId="49B6D47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firstLine="640" w:firstLineChars="200"/>
        <w:contextualSpacing/>
        <w:textAlignment w:val="auto"/>
        <w:rPr>
          <w:rFonts w:hint="default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 </w:t>
      </w:r>
    </w:p>
    <w:p w14:paraId="0E247FC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firstLine="640" w:firstLineChars="200"/>
        <w:contextualSpacing/>
        <w:textAlignment w:val="auto"/>
        <w:rPr>
          <w:rFonts w:hint="default" w:ascii="Times New Roman" w:hAnsi="Times New Roman" w:eastAsia="仿宋_GB2312" w:cs="Times New Roman"/>
          <w:kern w:val="0"/>
          <w:sz w:val="32"/>
          <w:szCs w:val="32"/>
        </w:rPr>
      </w:pPr>
    </w:p>
    <w:p w14:paraId="406B390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firstLine="640" w:firstLineChars="200"/>
        <w:contextualSpacing/>
        <w:textAlignment w:val="auto"/>
        <w:rPr>
          <w:rFonts w:hint="default" w:ascii="Times New Roman" w:hAnsi="Times New Roman" w:eastAsia="仿宋_GB2312" w:cs="Times New Roman"/>
          <w:kern w:val="0"/>
          <w:sz w:val="32"/>
          <w:szCs w:val="32"/>
        </w:rPr>
      </w:pPr>
    </w:p>
    <w:p w14:paraId="7D7FF14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firstLine="640" w:firstLineChars="200"/>
        <w:contextualSpacing/>
        <w:textAlignment w:val="auto"/>
        <w:rPr>
          <w:rFonts w:hint="default" w:ascii="Times New Roman" w:hAnsi="Times New Roman" w:eastAsia="仿宋_GB2312" w:cs="Times New Roman"/>
          <w:kern w:val="0"/>
          <w:sz w:val="32"/>
          <w:szCs w:val="32"/>
        </w:rPr>
      </w:pPr>
    </w:p>
    <w:p w14:paraId="60EF8D9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firstLine="640" w:firstLineChars="200"/>
        <w:contextualSpacing/>
        <w:textAlignment w:val="auto"/>
        <w:rPr>
          <w:rFonts w:hint="default" w:ascii="Times New Roman" w:hAnsi="Times New Roman" w:eastAsia="仿宋_GB2312" w:cs="Times New Roman"/>
          <w:kern w:val="0"/>
          <w:sz w:val="32"/>
          <w:szCs w:val="32"/>
        </w:rPr>
      </w:pPr>
    </w:p>
    <w:p w14:paraId="4AC1F1B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firstLine="640" w:firstLineChars="200"/>
        <w:contextualSpacing/>
        <w:textAlignment w:val="auto"/>
        <w:rPr>
          <w:rFonts w:hint="default" w:ascii="Times New Roman" w:hAnsi="Times New Roman" w:eastAsia="仿宋_GB2312" w:cs="Times New Roman"/>
          <w:kern w:val="0"/>
          <w:sz w:val="32"/>
          <w:szCs w:val="32"/>
        </w:rPr>
      </w:pPr>
    </w:p>
    <w:p w14:paraId="32FAE5E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firstLine="640" w:firstLineChars="200"/>
        <w:contextualSpacing/>
        <w:textAlignment w:val="auto"/>
        <w:rPr>
          <w:rFonts w:hint="default" w:ascii="Times New Roman" w:hAnsi="Times New Roman" w:eastAsia="仿宋_GB2312" w:cs="Times New Roman"/>
          <w:kern w:val="0"/>
          <w:sz w:val="32"/>
          <w:szCs w:val="32"/>
        </w:rPr>
      </w:pPr>
    </w:p>
    <w:p w14:paraId="07F92C4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firstLine="640" w:firstLineChars="200"/>
        <w:contextualSpacing/>
        <w:textAlignment w:val="auto"/>
        <w:rPr>
          <w:rFonts w:hint="default" w:ascii="Times New Roman" w:hAnsi="Times New Roman" w:eastAsia="仿宋_GB2312" w:cs="Times New Roman"/>
          <w:kern w:val="0"/>
          <w:sz w:val="32"/>
          <w:szCs w:val="32"/>
        </w:rPr>
      </w:pPr>
    </w:p>
    <w:p w14:paraId="2CE648C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firstLine="640" w:firstLineChars="200"/>
        <w:contextualSpacing/>
        <w:textAlignment w:val="auto"/>
        <w:rPr>
          <w:rFonts w:hint="default" w:ascii="Times New Roman" w:hAnsi="Times New Roman" w:eastAsia="仿宋_GB2312" w:cs="Times New Roman"/>
          <w:kern w:val="0"/>
          <w:sz w:val="32"/>
          <w:szCs w:val="32"/>
        </w:rPr>
      </w:pPr>
    </w:p>
    <w:p w14:paraId="502E4B7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firstLine="640" w:firstLineChars="200"/>
        <w:contextualSpacing/>
        <w:textAlignment w:val="auto"/>
        <w:rPr>
          <w:rFonts w:hint="default" w:ascii="Times New Roman" w:hAnsi="Times New Roman" w:eastAsia="仿宋_GB2312" w:cs="Times New Roman"/>
          <w:kern w:val="0"/>
          <w:sz w:val="32"/>
          <w:szCs w:val="32"/>
        </w:rPr>
      </w:pPr>
    </w:p>
    <w:p w14:paraId="71762B6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firstLine="640" w:firstLineChars="200"/>
        <w:contextualSpacing/>
        <w:textAlignment w:val="auto"/>
        <w:rPr>
          <w:rFonts w:hint="default" w:ascii="Times New Roman" w:hAnsi="Times New Roman" w:eastAsia="仿宋_GB2312" w:cs="Times New Roman"/>
          <w:kern w:val="0"/>
          <w:sz w:val="32"/>
          <w:szCs w:val="32"/>
        </w:rPr>
      </w:pPr>
    </w:p>
    <w:p w14:paraId="2E2A6CE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firstLine="640" w:firstLineChars="200"/>
        <w:contextualSpacing/>
        <w:textAlignment w:val="auto"/>
        <w:rPr>
          <w:rFonts w:hint="default" w:ascii="Times New Roman" w:hAnsi="Times New Roman" w:eastAsia="仿宋_GB2312" w:cs="Times New Roman"/>
          <w:kern w:val="0"/>
          <w:sz w:val="32"/>
          <w:szCs w:val="32"/>
        </w:rPr>
      </w:pPr>
    </w:p>
    <w:p w14:paraId="18A1C1C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contextualSpacing/>
        <w:jc w:val="center"/>
        <w:textAlignment w:val="auto"/>
        <w:rPr>
          <w:rFonts w:hint="default" w:ascii="Times New Roman" w:hAnsi="Times New Roman" w:eastAsia="黑体" w:cs="Times New Roman"/>
          <w:kern w:val="0"/>
          <w:sz w:val="44"/>
          <w:szCs w:val="44"/>
        </w:rPr>
      </w:pPr>
    </w:p>
    <w:p w14:paraId="0369A2B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contextualSpacing/>
        <w:jc w:val="center"/>
        <w:textAlignment w:val="auto"/>
        <w:rPr>
          <w:rFonts w:hint="default" w:ascii="Times New Roman" w:hAnsi="Times New Roman" w:eastAsia="黑体" w:cs="Times New Roman"/>
          <w:kern w:val="0"/>
          <w:sz w:val="44"/>
          <w:szCs w:val="44"/>
        </w:rPr>
      </w:pPr>
      <w:r>
        <w:rPr>
          <w:rFonts w:hint="default" w:ascii="Times New Roman" w:hAnsi="Times New Roman" w:eastAsia="黑体" w:cs="Times New Roman"/>
          <w:kern w:val="0"/>
          <w:sz w:val="44"/>
          <w:szCs w:val="44"/>
        </w:rPr>
        <w:t>前</w:t>
      </w:r>
      <w:r>
        <w:rPr>
          <w:rFonts w:hint="default" w:ascii="Times New Roman" w:hAnsi="Times New Roman" w:eastAsia="黑体" w:cs="Times New Roman"/>
          <w:kern w:val="0"/>
          <w:sz w:val="44"/>
          <w:szCs w:val="44"/>
          <w:lang w:val="en-US" w:eastAsia="zh-CN"/>
        </w:rPr>
        <w:t xml:space="preserve">  </w:t>
      </w:r>
      <w:r>
        <w:rPr>
          <w:rFonts w:hint="default" w:ascii="Times New Roman" w:hAnsi="Times New Roman" w:eastAsia="黑体" w:cs="Times New Roman"/>
          <w:kern w:val="0"/>
          <w:sz w:val="44"/>
          <w:szCs w:val="44"/>
        </w:rPr>
        <w:t>言</w:t>
      </w:r>
    </w:p>
    <w:p w14:paraId="3A17EF3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firstLine="640" w:firstLineChars="200"/>
        <w:contextualSpacing/>
        <w:textAlignment w:val="auto"/>
        <w:rPr>
          <w:rFonts w:hint="default" w:ascii="Times New Roman" w:hAnsi="Times New Roman" w:eastAsia="仿宋_GB2312" w:cs="Times New Roman"/>
          <w:kern w:val="0"/>
          <w:sz w:val="32"/>
          <w:szCs w:val="32"/>
        </w:rPr>
      </w:pPr>
    </w:p>
    <w:p w14:paraId="1FBE86E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firstLine="640" w:firstLineChars="200"/>
        <w:contextualSpacing/>
        <w:textAlignment w:val="auto"/>
        <w:rPr>
          <w:rFonts w:hint="default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按照《中华人民共和国预算法》《中华人民共和国预算法实施条例》以及财政部《地方预决算公开操作规程》《关于推进部门所属单位预算公开的指导意见》和《中共甘肃省委办公厅 甘肃省人民政府办公厅关于进一步推进预算公开工作的实施方案》要求，现将202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年部门预算公开如下：</w:t>
      </w:r>
    </w:p>
    <w:p w14:paraId="1A7C367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firstLine="640" w:firstLineChars="200"/>
        <w:contextualSpacing/>
        <w:textAlignment w:val="auto"/>
        <w:rPr>
          <w:rFonts w:hint="default" w:ascii="Times New Roman" w:hAnsi="Times New Roman" w:eastAsia="黑体" w:cs="Times New Roman"/>
          <w:kern w:val="0"/>
          <w:sz w:val="32"/>
          <w:szCs w:val="32"/>
        </w:rPr>
      </w:pPr>
      <w:r>
        <w:rPr>
          <w:rFonts w:hint="default" w:ascii="Times New Roman" w:hAnsi="Times New Roman" w:eastAsia="黑体" w:cs="Times New Roman"/>
          <w:kern w:val="0"/>
          <w:sz w:val="32"/>
          <w:szCs w:val="32"/>
        </w:rPr>
        <w:t>一、部门/单位职责</w:t>
      </w:r>
    </w:p>
    <w:p w14:paraId="01026F5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firstLine="640" w:firstLineChars="200"/>
        <w:contextualSpacing/>
        <w:textAlignment w:val="auto"/>
        <w:rPr>
          <w:rFonts w:hint="default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深入贯彻习近平新时代中国特色社会主义思想，坚决执行党的路线方针政策和决策部署，统一政法各部门思想和行动，坚持党对政法工作的绝对领导，坚决维护党中央权威和集中统一领导。深入贯彻党中央决定和省委、市委、县委决策，对全县政法工作研究提出全局性部署，推进平安华池、法治法治建设，加强政法队伍建设，坚决维护国家政治安全、确保社会大局稳定、促进社会公平正义、保障人民安居乐业。完成县委和上级党委政法委和交办的其他任务。</w:t>
      </w:r>
    </w:p>
    <w:p w14:paraId="35F4403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firstLine="640" w:firstLineChars="200"/>
        <w:contextualSpacing/>
        <w:textAlignment w:val="auto"/>
        <w:rPr>
          <w:rFonts w:hint="default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default" w:ascii="Times New Roman" w:hAnsi="Times New Roman" w:eastAsia="黑体" w:cs="Times New Roman"/>
          <w:kern w:val="0"/>
          <w:sz w:val="32"/>
          <w:szCs w:val="32"/>
        </w:rPr>
        <w:t>二、机构设置情况</w:t>
      </w:r>
    </w:p>
    <w:p w14:paraId="0C1486C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firstLine="643" w:firstLineChars="200"/>
        <w:contextualSpacing/>
        <w:textAlignment w:val="auto"/>
        <w:rPr>
          <w:rFonts w:hint="default" w:ascii="Times New Roman" w:hAnsi="Times New Roman" w:eastAsia="楷体_GB2312" w:cs="Times New Roman"/>
          <w:b/>
          <w:bCs/>
          <w:kern w:val="0"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bCs/>
          <w:kern w:val="0"/>
          <w:sz w:val="32"/>
          <w:szCs w:val="32"/>
        </w:rPr>
        <w:t>（一）机关内设机构</w:t>
      </w:r>
    </w:p>
    <w:p w14:paraId="574E487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firstLine="640" w:firstLineChars="200"/>
        <w:contextualSpacing/>
        <w:textAlignment w:val="auto"/>
        <w:rPr>
          <w:rFonts w:hint="default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现下设综合治理、维护稳定、防范邪教、办公室等4个股室，工作经费在县委政法委集中核算。</w:t>
      </w:r>
    </w:p>
    <w:p w14:paraId="2E1EB64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firstLine="643" w:firstLineChars="200"/>
        <w:contextualSpacing/>
        <w:textAlignment w:val="auto"/>
        <w:rPr>
          <w:rFonts w:hint="default" w:ascii="Times New Roman" w:hAnsi="Times New Roman" w:eastAsia="楷体_GB2312" w:cs="Times New Roman"/>
          <w:b/>
          <w:bCs/>
          <w:kern w:val="0"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bCs/>
          <w:kern w:val="0"/>
          <w:sz w:val="32"/>
          <w:szCs w:val="32"/>
        </w:rPr>
        <w:t>（二）参照公务员法管理单位</w:t>
      </w:r>
    </w:p>
    <w:p w14:paraId="67A2E2F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firstLine="640" w:firstLineChars="200"/>
        <w:contextualSpacing/>
        <w:textAlignment w:val="auto"/>
        <w:rPr>
          <w:rFonts w:hint="default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按编制部门批复“三定”方案编写</w:t>
      </w:r>
    </w:p>
    <w:p w14:paraId="77CE24C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firstLine="643" w:firstLineChars="200"/>
        <w:contextualSpacing/>
        <w:textAlignment w:val="auto"/>
        <w:rPr>
          <w:rFonts w:hint="default" w:ascii="Times New Roman" w:hAnsi="Times New Roman" w:eastAsia="楷体_GB2312" w:cs="Times New Roman"/>
          <w:b/>
          <w:bCs/>
          <w:kern w:val="0"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bCs/>
          <w:kern w:val="0"/>
          <w:sz w:val="32"/>
          <w:szCs w:val="32"/>
        </w:rPr>
        <w:t>（三）直属事业单位</w:t>
      </w:r>
    </w:p>
    <w:p w14:paraId="19204EF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firstLine="640" w:firstLineChars="200"/>
        <w:contextualSpacing/>
        <w:textAlignment w:val="auto"/>
        <w:rPr>
          <w:rFonts w:hint="default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县综治中心为县委政法委下属事业单位，工作经费在县委政法委集中核算。</w:t>
      </w:r>
    </w:p>
    <w:p w14:paraId="2039A83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firstLine="640" w:firstLineChars="200"/>
        <w:contextualSpacing/>
        <w:textAlignment w:val="auto"/>
        <w:rPr>
          <w:rFonts w:hint="default" w:ascii="Times New Roman" w:hAnsi="Times New Roman" w:eastAsia="黑体" w:cs="Times New Roman"/>
          <w:kern w:val="0"/>
          <w:sz w:val="32"/>
          <w:szCs w:val="32"/>
        </w:rPr>
      </w:pPr>
      <w:r>
        <w:rPr>
          <w:rFonts w:hint="default" w:ascii="Times New Roman" w:hAnsi="Times New Roman" w:eastAsia="黑体" w:cs="Times New Roman"/>
          <w:kern w:val="0"/>
          <w:sz w:val="32"/>
          <w:szCs w:val="32"/>
        </w:rPr>
        <w:t>三、部门/单位收支总体情况</w:t>
      </w:r>
    </w:p>
    <w:p w14:paraId="36105D6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firstLine="640" w:firstLineChars="200"/>
        <w:contextualSpacing/>
        <w:textAlignment w:val="auto"/>
        <w:rPr>
          <w:rFonts w:hint="default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按照预算管理有关规定，202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年部门（单位）收支包括机关预算和直属单位预算在内的汇总情况。</w:t>
      </w:r>
    </w:p>
    <w:p w14:paraId="7ED4FF5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firstLine="640" w:firstLineChars="200"/>
        <w:contextualSpacing/>
        <w:textAlignment w:val="auto"/>
        <w:rPr>
          <w:rFonts w:hint="default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202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年部门收支总预算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712.36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万元。按照综合预算的原则，部门（单位）所有收入和支出均纳入部门预算管理。收入包括：一般公共预算拨款收入、事业收入、事业单位经营收入、其他收入、上年结转；支出包括：一般公共服务支出、公共安全支出、社会保障和就业支出、卫生健康支出、交通运输支出、住房保障支出、其他支出。</w:t>
      </w:r>
    </w:p>
    <w:p w14:paraId="4275993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firstLine="643" w:firstLineChars="200"/>
        <w:contextualSpacing/>
        <w:textAlignment w:val="auto"/>
        <w:rPr>
          <w:rFonts w:hint="default" w:ascii="Times New Roman" w:hAnsi="Times New Roman" w:eastAsia="楷体_GB2312" w:cs="Times New Roman"/>
          <w:b/>
          <w:bCs/>
          <w:kern w:val="0"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bCs/>
          <w:kern w:val="0"/>
          <w:sz w:val="32"/>
          <w:szCs w:val="32"/>
        </w:rPr>
        <w:t>（一）收入预算</w:t>
      </w:r>
    </w:p>
    <w:p w14:paraId="51CAAD4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firstLine="640" w:firstLineChars="200"/>
        <w:contextualSpacing/>
        <w:textAlignment w:val="auto"/>
        <w:rPr>
          <w:rFonts w:hint="default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202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年收入预算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712.36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万元（详见部门/单位预算公开表1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2）。包括：</w:t>
      </w:r>
    </w:p>
    <w:p w14:paraId="142B3B8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firstLine="640" w:firstLineChars="200"/>
        <w:contextualSpacing/>
        <w:textAlignment w:val="auto"/>
        <w:rPr>
          <w:rFonts w:hint="default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一般公共预算收入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712.36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万元，占100%。</w:t>
      </w:r>
    </w:p>
    <w:p w14:paraId="607AE03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firstLine="643" w:firstLineChars="200"/>
        <w:contextualSpacing/>
        <w:textAlignment w:val="auto"/>
        <w:rPr>
          <w:rFonts w:hint="default" w:ascii="Times New Roman" w:hAnsi="Times New Roman" w:eastAsia="楷体_GB2312" w:cs="Times New Roman"/>
          <w:b/>
          <w:bCs/>
          <w:kern w:val="0"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bCs/>
          <w:kern w:val="0"/>
          <w:sz w:val="32"/>
          <w:szCs w:val="32"/>
        </w:rPr>
        <w:t>（二）支出预算</w:t>
      </w:r>
    </w:p>
    <w:p w14:paraId="69F444F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firstLine="640" w:firstLineChars="200"/>
        <w:contextualSpacing/>
        <w:textAlignment w:val="auto"/>
        <w:rPr>
          <w:rFonts w:hint="default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202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年支出预算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712.36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万元（详见部门/单位预算公开表3）。其中：基本支出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712.36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万元，占100%。</w:t>
      </w:r>
    </w:p>
    <w:p w14:paraId="78BB6BA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firstLine="640" w:firstLineChars="200"/>
        <w:contextualSpacing/>
        <w:textAlignment w:val="auto"/>
        <w:rPr>
          <w:rFonts w:hint="eastAsia"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</w:rPr>
        <w:t>四、一般公共预算情况</w:t>
      </w:r>
    </w:p>
    <w:p w14:paraId="4605801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firstLine="640" w:firstLineChars="200"/>
        <w:contextualSpacing/>
        <w:textAlignment w:val="auto"/>
        <w:rPr>
          <w:rFonts w:hint="default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202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年一般公共预算当年支出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712.36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万元，包括：一般公共服务支出6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31.71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万元、社会保障和就业支出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44.75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万元、其他支出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35.9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万元。具体安排情况如下（详见部门（单位）预算公开表4,5,6,7）：</w:t>
      </w:r>
    </w:p>
    <w:p w14:paraId="5642DC1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firstLine="643" w:firstLineChars="200"/>
        <w:contextualSpacing/>
        <w:textAlignment w:val="auto"/>
        <w:rPr>
          <w:rFonts w:hint="default" w:ascii="Times New Roman" w:hAnsi="Times New Roman" w:eastAsia="楷体_GB2312" w:cs="Times New Roman"/>
          <w:b/>
          <w:bCs/>
          <w:kern w:val="0"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bCs/>
          <w:kern w:val="0"/>
          <w:sz w:val="32"/>
          <w:szCs w:val="32"/>
        </w:rPr>
        <w:t>（一）基本支出</w:t>
      </w:r>
    </w:p>
    <w:p w14:paraId="21D3611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firstLine="640" w:firstLineChars="200"/>
        <w:contextualSpacing/>
        <w:textAlignment w:val="auto"/>
        <w:rPr>
          <w:rFonts w:hint="default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202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年基本支出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712.36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万元，比20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年预算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减少33.56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万元，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减少4.5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%，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减少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的主要原因是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压减了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业务费支出。</w:t>
      </w:r>
    </w:p>
    <w:p w14:paraId="3044AC6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firstLine="640" w:firstLineChars="200"/>
        <w:contextualSpacing/>
        <w:textAlignment w:val="auto"/>
        <w:rPr>
          <w:rFonts w:hint="default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其中：人员经费支出2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75.82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万元，主要包括：基本工资、津贴补贴、奖金、伙食补助费、绩效工资、机关事业单位基本养老保险缴费、职业年金缴费、职工基本医疗保险缴费、公务员医疗补助缴费、其他社会保障缴费、住房公积金、医疗费、其他工资福利支出、离休费、退休费、退职（役）费、抚恤金、生活补助、救济费、医疗费补助、助学金、奖励金、个人农业生产补贴、代缴社会保险费、其他对个人和家庭的补助等。</w:t>
      </w:r>
    </w:p>
    <w:p w14:paraId="57E435A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firstLine="640" w:firstLineChars="200"/>
        <w:contextualSpacing/>
        <w:textAlignment w:val="auto"/>
        <w:rPr>
          <w:rFonts w:hint="default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公用经费支出</w:t>
      </w:r>
      <w:bookmarkStart w:id="0" w:name="_GoBack"/>
      <w:bookmarkEnd w:id="0"/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78.66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万元，主要包括：办公费、印刷费、水费、电费、邮电费、取暖费、物业管理费、差旅费、会议费、培训费、公务接待费、劳务费、委托业务费、工会经费、福利费、其他交通费用、税金及附加费用、其他商品和服务支出、办公设备购置、专用设备购置等。</w:t>
      </w:r>
    </w:p>
    <w:p w14:paraId="1E94C32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firstLine="643" w:firstLineChars="200"/>
        <w:contextualSpacing/>
        <w:textAlignment w:val="auto"/>
        <w:rPr>
          <w:rFonts w:hint="default" w:ascii="Times New Roman" w:hAnsi="Times New Roman" w:eastAsia="楷体_GB2312" w:cs="Times New Roman"/>
          <w:b/>
          <w:bCs/>
          <w:kern w:val="0"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bCs/>
          <w:kern w:val="0"/>
          <w:sz w:val="32"/>
          <w:szCs w:val="32"/>
        </w:rPr>
        <w:t>（二）项目支出</w:t>
      </w:r>
    </w:p>
    <w:p w14:paraId="7B5CDFB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firstLine="640" w:firstLineChars="200"/>
        <w:contextualSpacing/>
        <w:textAlignment w:val="auto"/>
        <w:rPr>
          <w:rFonts w:hint="default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20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26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年一般公共预算财政拨款项目支出预算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354.48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万元，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比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202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年预算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减少74.5万元，主要原因是减少了商品和服务支出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。</w:t>
      </w:r>
    </w:p>
    <w:p w14:paraId="1C36C2D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firstLine="640" w:firstLineChars="200"/>
        <w:contextualSpacing/>
        <w:textAlignment w:val="auto"/>
        <w:rPr>
          <w:rFonts w:hint="default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保障运转经费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个，主要是项目1、综治信息平台建设维护费，项目2、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政法综治及维稳工作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，项目3、政法涉密视频会商系统建设及运行费，项目4、严重精神障碍患者以奖代补经费，项目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、综治中心运行及人民调解员补助经费，项目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 xml:space="preserve"> 、12345政务服务热线运行维护费。</w:t>
      </w:r>
    </w:p>
    <w:p w14:paraId="3B68833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firstLine="643" w:firstLineChars="200"/>
        <w:contextualSpacing/>
        <w:textAlignment w:val="auto"/>
        <w:rPr>
          <w:rFonts w:hint="default" w:ascii="Times New Roman" w:hAnsi="Times New Roman" w:eastAsia="楷体_GB2312" w:cs="Times New Roman"/>
          <w:b/>
          <w:bCs/>
          <w:kern w:val="0"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bCs/>
          <w:kern w:val="0"/>
          <w:sz w:val="32"/>
          <w:szCs w:val="32"/>
        </w:rPr>
        <w:t>（三）支出功能分类说明</w:t>
      </w:r>
    </w:p>
    <w:p w14:paraId="7A5B254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firstLine="640" w:firstLineChars="200"/>
        <w:contextualSpacing/>
        <w:textAlignment w:val="auto"/>
        <w:rPr>
          <w:rFonts w:hint="default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1.一般公共服务202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年预算数为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712.36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万元，比20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年预算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减少减少33.56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万元，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减少4.5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%，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减少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的主要原因是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压减了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业务费支出。</w:t>
      </w:r>
    </w:p>
    <w:p w14:paraId="0705AD8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firstLine="640" w:firstLineChars="200"/>
        <w:contextualSpacing/>
        <w:textAlignment w:val="auto"/>
        <w:rPr>
          <w:rFonts w:hint="eastAsia"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</w:rPr>
        <w:t>五、部门（单位）一般公共预算财政拨款“三公”经费、培训费、会议费等情况</w:t>
      </w:r>
    </w:p>
    <w:p w14:paraId="18C2EE9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firstLine="643" w:firstLineChars="200"/>
        <w:contextualSpacing/>
        <w:textAlignment w:val="auto"/>
        <w:rPr>
          <w:rFonts w:hint="default" w:ascii="Times New Roman" w:hAnsi="Times New Roman" w:eastAsia="楷体_GB2312" w:cs="Times New Roman"/>
          <w:b/>
          <w:bCs/>
          <w:kern w:val="0"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bCs/>
          <w:kern w:val="0"/>
          <w:sz w:val="32"/>
          <w:szCs w:val="32"/>
        </w:rPr>
        <w:t>（一）“三公”经费情况说明</w:t>
      </w:r>
    </w:p>
    <w:p w14:paraId="3A0236A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firstLine="640" w:firstLineChars="200"/>
        <w:contextualSpacing/>
        <w:textAlignment w:val="auto"/>
        <w:rPr>
          <w:rFonts w:hint="default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“三公”经费预算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万元。</w:t>
      </w:r>
    </w:p>
    <w:p w14:paraId="008A619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firstLine="640" w:firstLineChars="200"/>
        <w:contextualSpacing/>
        <w:textAlignment w:val="auto"/>
        <w:rPr>
          <w:rFonts w:hint="default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1.因公出国（境）费用0万元，较202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年预算增加（减少）0万元，增长（下降）0%。</w:t>
      </w:r>
    </w:p>
    <w:p w14:paraId="37C12FA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firstLine="640" w:firstLineChars="200"/>
        <w:contextualSpacing/>
        <w:textAlignment w:val="auto"/>
        <w:rPr>
          <w:rFonts w:hint="default" w:ascii="Times New Roman" w:hAnsi="Times New Roman" w:eastAsia="楷体_GB2312" w:cs="Times New Roman"/>
          <w:b/>
          <w:bCs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2.公务接待费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万元。</w:t>
      </w:r>
    </w:p>
    <w:p w14:paraId="328E786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firstLine="640" w:firstLineChars="200"/>
        <w:contextualSpacing/>
        <w:textAlignment w:val="auto"/>
        <w:rPr>
          <w:rFonts w:hint="default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（二）培训费预算情况说明</w:t>
      </w:r>
    </w:p>
    <w:p w14:paraId="6E3AE50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firstLine="640" w:firstLineChars="200"/>
        <w:contextualSpacing/>
        <w:textAlignment w:val="auto"/>
        <w:rPr>
          <w:rFonts w:hint="default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4.培训费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万元，较202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年预算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/>
        </w:rPr>
        <w:t>减少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0.1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万元，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/>
        </w:rPr>
        <w:t>减少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的主要原因是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/>
        </w:rPr>
        <w:t>部分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网格员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/>
        </w:rPr>
        <w:t>培训费由上级下达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。</w:t>
      </w:r>
    </w:p>
    <w:p w14:paraId="0F3DFA1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firstLine="643" w:firstLineChars="200"/>
        <w:contextualSpacing/>
        <w:textAlignment w:val="auto"/>
        <w:rPr>
          <w:rFonts w:hint="default" w:ascii="Times New Roman" w:hAnsi="Times New Roman" w:eastAsia="楷体_GB2312" w:cs="Times New Roman"/>
          <w:b/>
          <w:bCs/>
          <w:kern w:val="0"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bCs/>
          <w:kern w:val="0"/>
          <w:sz w:val="32"/>
          <w:szCs w:val="32"/>
        </w:rPr>
        <w:t>（三）会议费预算情况说明</w:t>
      </w:r>
    </w:p>
    <w:p w14:paraId="001C132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firstLine="640" w:firstLineChars="200"/>
        <w:contextualSpacing/>
        <w:textAlignment w:val="auto"/>
        <w:rPr>
          <w:rFonts w:hint="default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5.会议费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5.5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万元，较202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年预算增加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1.6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万元，增长的主要原因是加强了业务会议费用。</w:t>
      </w:r>
    </w:p>
    <w:p w14:paraId="06D934B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firstLine="640" w:firstLineChars="200"/>
        <w:contextualSpacing/>
        <w:textAlignment w:val="auto"/>
        <w:rPr>
          <w:rFonts w:hint="eastAsia"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</w:rPr>
        <w:t>六、一般公共预算财政拨款机关运行经费情况</w:t>
      </w:r>
    </w:p>
    <w:p w14:paraId="0DD5978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firstLine="640" w:firstLineChars="200"/>
        <w:contextualSpacing/>
        <w:textAlignment w:val="auto"/>
        <w:rPr>
          <w:rFonts w:hint="default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机关运行经费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59.97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万元，较202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年预算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减少36.41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万元。</w:t>
      </w:r>
    </w:p>
    <w:p w14:paraId="04398B1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firstLine="640" w:firstLineChars="200"/>
        <w:contextualSpacing/>
        <w:textAlignment w:val="auto"/>
        <w:rPr>
          <w:rFonts w:hint="default" w:ascii="黑体" w:hAnsi="黑体" w:eastAsia="黑体" w:cs="黑体"/>
          <w:kern w:val="0"/>
          <w:sz w:val="32"/>
          <w:szCs w:val="32"/>
        </w:rPr>
      </w:pPr>
      <w:r>
        <w:rPr>
          <w:rFonts w:hint="default" w:ascii="黑体" w:hAnsi="黑体" w:eastAsia="黑体" w:cs="黑体"/>
          <w:kern w:val="0"/>
          <w:sz w:val="32"/>
          <w:szCs w:val="32"/>
        </w:rPr>
        <w:t>七、政府采购安排情况</w:t>
      </w:r>
    </w:p>
    <w:p w14:paraId="658AF64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firstLine="640" w:firstLineChars="200"/>
        <w:contextualSpacing/>
        <w:textAlignment w:val="auto"/>
        <w:rPr>
          <w:rFonts w:hint="default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202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年，部门（单位）政府采购预算总额0万元。</w:t>
      </w:r>
    </w:p>
    <w:p w14:paraId="3DC8299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firstLine="640" w:firstLineChars="200"/>
        <w:contextualSpacing/>
        <w:textAlignment w:val="auto"/>
        <w:rPr>
          <w:rFonts w:hint="default" w:ascii="黑体" w:hAnsi="黑体" w:eastAsia="黑体" w:cs="黑体"/>
          <w:kern w:val="0"/>
          <w:sz w:val="32"/>
          <w:szCs w:val="32"/>
        </w:rPr>
      </w:pPr>
      <w:r>
        <w:rPr>
          <w:rFonts w:hint="default" w:ascii="黑体" w:hAnsi="黑体" w:eastAsia="黑体" w:cs="黑体"/>
          <w:kern w:val="0"/>
          <w:sz w:val="32"/>
          <w:szCs w:val="32"/>
        </w:rPr>
        <w:t>八、国有资产占用情况</w:t>
      </w:r>
    </w:p>
    <w:p w14:paraId="5DA13B9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firstLine="640" w:firstLineChars="200"/>
        <w:contextualSpacing/>
        <w:textAlignment w:val="auto"/>
        <w:rPr>
          <w:rFonts w:hint="default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上年末固定资产金额为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/>
        </w:rPr>
        <w:t>1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68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/>
        </w:rPr>
        <w:t>.0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万元。其中：办公用房243.83平方米，价值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/>
        </w:rPr>
        <w:t>52.9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万元。</w:t>
      </w:r>
    </w:p>
    <w:p w14:paraId="3102DF2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firstLine="640" w:firstLineChars="200"/>
        <w:contextualSpacing/>
        <w:textAlignment w:val="auto"/>
        <w:rPr>
          <w:rFonts w:hint="eastAsia"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</w:rPr>
        <w:t>九、其他重要事项情况说明</w:t>
      </w:r>
    </w:p>
    <w:p w14:paraId="313DB67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firstLine="643" w:firstLineChars="200"/>
        <w:contextualSpacing/>
        <w:textAlignment w:val="auto"/>
        <w:rPr>
          <w:rFonts w:hint="default" w:ascii="Times New Roman" w:hAnsi="Times New Roman" w:eastAsia="楷体_GB2312" w:cs="Times New Roman"/>
          <w:b/>
          <w:bCs/>
          <w:kern w:val="0"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bCs/>
          <w:kern w:val="0"/>
          <w:sz w:val="32"/>
          <w:szCs w:val="32"/>
        </w:rPr>
        <w:t>（一）政府性基金预算支出情况</w:t>
      </w:r>
    </w:p>
    <w:p w14:paraId="3AA5313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firstLine="640" w:firstLineChars="200"/>
        <w:contextualSpacing/>
        <w:textAlignment w:val="auto"/>
        <w:rPr>
          <w:rFonts w:hint="default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未安排预算</w:t>
      </w:r>
    </w:p>
    <w:p w14:paraId="52EB37A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firstLine="643" w:firstLineChars="200"/>
        <w:contextualSpacing/>
        <w:textAlignment w:val="auto"/>
        <w:rPr>
          <w:rFonts w:hint="default" w:ascii="Times New Roman" w:hAnsi="Times New Roman" w:eastAsia="楷体_GB2312" w:cs="Times New Roman"/>
          <w:b/>
          <w:bCs/>
          <w:kern w:val="0"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bCs/>
          <w:kern w:val="0"/>
          <w:sz w:val="32"/>
          <w:szCs w:val="32"/>
        </w:rPr>
        <w:t>（二）非税收入情况</w:t>
      </w:r>
    </w:p>
    <w:p w14:paraId="7A875E3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firstLine="640" w:firstLineChars="200"/>
        <w:contextualSpacing/>
        <w:textAlignment w:val="auto"/>
        <w:rPr>
          <w:rFonts w:hint="default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本单位202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年无非税收入</w:t>
      </w:r>
    </w:p>
    <w:p w14:paraId="0EB9A7D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firstLine="643" w:firstLineChars="200"/>
        <w:contextualSpacing/>
        <w:textAlignment w:val="auto"/>
        <w:rPr>
          <w:rFonts w:hint="default" w:ascii="Times New Roman" w:hAnsi="Times New Roman" w:eastAsia="楷体_GB2312" w:cs="Times New Roman"/>
          <w:b/>
          <w:bCs/>
          <w:kern w:val="0"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bCs/>
          <w:kern w:val="0"/>
          <w:sz w:val="32"/>
          <w:szCs w:val="32"/>
        </w:rPr>
        <w:t>（三）重点项目情况</w:t>
      </w:r>
    </w:p>
    <w:p w14:paraId="1E3335D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firstLine="640" w:firstLineChars="200"/>
        <w:contextualSpacing/>
        <w:textAlignment w:val="auto"/>
        <w:rPr>
          <w:rFonts w:hint="default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本单位年初预算未安排项目支出，无重点项目说明</w:t>
      </w:r>
    </w:p>
    <w:p w14:paraId="726E92C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firstLine="643" w:firstLineChars="200"/>
        <w:contextualSpacing/>
        <w:textAlignment w:val="auto"/>
        <w:rPr>
          <w:rFonts w:hint="default" w:ascii="Times New Roman" w:hAnsi="Times New Roman" w:eastAsia="楷体_GB2312" w:cs="Times New Roman"/>
          <w:b/>
          <w:bCs/>
          <w:kern w:val="0"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bCs/>
          <w:kern w:val="0"/>
          <w:sz w:val="32"/>
          <w:szCs w:val="32"/>
        </w:rPr>
        <w:t>（四）部门管理转移支付情况</w:t>
      </w:r>
    </w:p>
    <w:p w14:paraId="7E6AE77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firstLine="640" w:firstLineChars="200"/>
        <w:contextualSpacing/>
        <w:textAlignment w:val="auto"/>
        <w:rPr>
          <w:rFonts w:hint="default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未安排预算，部门/单位管理转移支付表为空表</w:t>
      </w:r>
    </w:p>
    <w:p w14:paraId="1B95B03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firstLine="643" w:firstLineChars="200"/>
        <w:contextualSpacing/>
        <w:textAlignment w:val="auto"/>
        <w:rPr>
          <w:rFonts w:hint="default" w:ascii="Times New Roman" w:hAnsi="Times New Roman" w:eastAsia="楷体_GB2312" w:cs="Times New Roman"/>
          <w:b/>
          <w:bCs/>
          <w:kern w:val="0"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bCs/>
          <w:kern w:val="0"/>
          <w:sz w:val="32"/>
          <w:szCs w:val="32"/>
        </w:rPr>
        <w:t>（五）国有资本经营预算支出情况</w:t>
      </w:r>
    </w:p>
    <w:p w14:paraId="502A438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firstLine="640" w:firstLineChars="200"/>
        <w:contextualSpacing/>
        <w:textAlignment w:val="auto"/>
        <w:rPr>
          <w:rFonts w:hint="default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未安排预算，国有资本经营预算支出情况表为空表</w:t>
      </w:r>
    </w:p>
    <w:p w14:paraId="06D0612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firstLine="640" w:firstLineChars="200"/>
        <w:contextualSpacing/>
        <w:textAlignment w:val="auto"/>
        <w:rPr>
          <w:rFonts w:hint="default" w:ascii="黑体" w:hAnsi="黑体" w:eastAsia="黑体" w:cs="黑体"/>
          <w:kern w:val="0"/>
          <w:sz w:val="32"/>
          <w:szCs w:val="32"/>
        </w:rPr>
      </w:pPr>
      <w:r>
        <w:rPr>
          <w:rFonts w:hint="default" w:ascii="黑体" w:hAnsi="黑体" w:eastAsia="黑体" w:cs="黑体"/>
          <w:kern w:val="0"/>
          <w:sz w:val="32"/>
          <w:szCs w:val="32"/>
        </w:rPr>
        <w:t>十、预算绩效管理情况</w:t>
      </w:r>
    </w:p>
    <w:p w14:paraId="019F3FB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firstLine="643" w:firstLineChars="200"/>
        <w:contextualSpacing/>
        <w:textAlignment w:val="auto"/>
        <w:rPr>
          <w:rFonts w:hint="default" w:ascii="Times New Roman" w:hAnsi="Times New Roman" w:eastAsia="楷体_GB2312" w:cs="Times New Roman"/>
          <w:b/>
          <w:bCs/>
          <w:kern w:val="0"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bCs/>
          <w:kern w:val="0"/>
          <w:sz w:val="32"/>
          <w:szCs w:val="32"/>
        </w:rPr>
        <w:t>（一）202</w:t>
      </w:r>
      <w:r>
        <w:rPr>
          <w:rFonts w:hint="eastAsia" w:ascii="Times New Roman" w:hAnsi="Times New Roman" w:eastAsia="楷体_GB2312" w:cs="Times New Roman"/>
          <w:b/>
          <w:bCs/>
          <w:kern w:val="0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楷体_GB2312" w:cs="Times New Roman"/>
          <w:b/>
          <w:bCs/>
          <w:kern w:val="0"/>
          <w:sz w:val="32"/>
          <w:szCs w:val="32"/>
        </w:rPr>
        <w:t>年预算绩效管理工作情况</w:t>
      </w:r>
    </w:p>
    <w:p w14:paraId="614D0A3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firstLine="640" w:firstLineChars="200"/>
        <w:contextualSpacing/>
        <w:textAlignment w:val="auto"/>
        <w:rPr>
          <w:rFonts w:hint="default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按照《中共中央 国务院关于全面实施预算绩效管理的意见》《中共甘肃省委 甘肃省人民政府关于全面实施预算绩效管理的实施意见》等相关要求，我们将绩效理念和方法融入预算编制、执行、决算和监督全过程认真开展各项工作。</w:t>
      </w:r>
    </w:p>
    <w:p w14:paraId="57589EE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firstLine="640" w:firstLineChars="200"/>
        <w:contextualSpacing/>
        <w:textAlignment w:val="auto"/>
        <w:rPr>
          <w:rFonts w:hint="default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1.绩效目标管理情况。20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年度，按照“谁申请资金，谁设置目标”的原则，纳入部门预算管理的部门/单位整体支出和项目绩效目标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/>
        </w:rPr>
        <w:t>7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个，按规定随年度预算一并公开项目7个，公开率为10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%。</w:t>
      </w:r>
    </w:p>
    <w:p w14:paraId="6ACE057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firstLine="640" w:firstLineChars="200"/>
        <w:contextualSpacing/>
        <w:textAlignment w:val="auto"/>
        <w:rPr>
          <w:rFonts w:hint="default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2.绩效运行监控情况。202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年7月，组织开展1-6月绩效运行监控项目7个，占本部门/单位项目的100%。截至7月底，如期完成预算执行和绩效目标指标值的项目7个，完成率为100%。“双监控”发现存在的问题和主要原因是：完成预算执行和绩效目标不够及时、有效。开展1-9月绩效运行监控项目7个，占本部门（单位）项目的100 %。截至10月底，如期完成预算执行和绩效目标指标值的项目7个，完成率为100%。“双监控”发现存在的问题和主要原因是：无。绩效运行监控在部门内部通报无整改情况。</w:t>
      </w:r>
    </w:p>
    <w:p w14:paraId="569E74D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firstLine="640" w:firstLineChars="200"/>
        <w:contextualSpacing/>
        <w:textAlignment w:val="auto"/>
        <w:rPr>
          <w:rFonts w:hint="default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3.绩效自评开展情况。202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年度，组织开展绩效自评项目共7个，其中，部门（单位）整体支出7个，项目支出7个，转移支付项目0个，绩效自评覆盖率为100%。绩效自评结果随部门决算报送财政和随决算公开情况：已公开。</w:t>
      </w:r>
    </w:p>
    <w:p w14:paraId="083FD82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firstLine="640" w:firstLineChars="200"/>
        <w:contextualSpacing/>
        <w:textAlignment w:val="auto"/>
        <w:rPr>
          <w:rFonts w:hint="default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4.绩效结果应用情况。根据202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年度绩效运行监控、绩效自评等情况，202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年度部门预算项目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/>
        </w:rPr>
        <w:t>与202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/>
        </w:rPr>
        <w:t>年一致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。</w:t>
      </w:r>
    </w:p>
    <w:p w14:paraId="28DD4D6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firstLine="643" w:firstLineChars="200"/>
        <w:contextualSpacing/>
        <w:textAlignment w:val="auto"/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  <w:t>（二）202</w:t>
      </w: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val="en-US" w:eastAsia="zh-CN"/>
        </w:rPr>
        <w:t>6</w:t>
      </w: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  <w:t>年绩效目标编制情况</w:t>
      </w:r>
    </w:p>
    <w:p w14:paraId="56345F0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firstLine="640" w:firstLineChars="200"/>
        <w:contextualSpacing/>
        <w:textAlignment w:val="auto"/>
        <w:rPr>
          <w:rFonts w:hint="default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202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年，纳入部门/单位预算绩效目标管理的项目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个。其中，部门整体支出绩效目标围绕部门管理、履职效果、能力建设三个维度，设置二级指标11个、三级指标14个；项目支出绩效目标围绕成本指标、产出指标、效益指标、满意度指标四个维度，设置二级指标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/>
        </w:rPr>
        <w:t>7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个、三级指标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/>
        </w:rPr>
        <w:t>7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个。各项绩效目标内容指向明确、细化量化、合理可行，符合规定的格式要求。</w:t>
      </w:r>
    </w:p>
    <w:p w14:paraId="6785920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firstLine="640" w:firstLineChars="200"/>
        <w:contextualSpacing/>
        <w:textAlignment w:val="auto"/>
        <w:rPr>
          <w:rFonts w:hint="eastAsia"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</w:rPr>
        <w:t>十一、名词解释</w:t>
      </w:r>
    </w:p>
    <w:p w14:paraId="3AC78E4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firstLine="640" w:firstLineChars="200"/>
        <w:contextualSpacing/>
        <w:textAlignment w:val="auto"/>
        <w:rPr>
          <w:rFonts w:hint="default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1、财政拨款:指由一般公共预算、政府性基金预算、国有资本经营预算安排的财政拨款数。</w:t>
      </w:r>
    </w:p>
    <w:p w14:paraId="6AFC931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firstLine="640" w:firstLineChars="200"/>
        <w:contextualSpacing/>
        <w:textAlignment w:val="auto"/>
        <w:rPr>
          <w:rFonts w:hint="default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2、一般公共预算:包括公共财政拨款（补助）资金、专项收入。</w:t>
      </w:r>
    </w:p>
    <w:p w14:paraId="2AA1CBA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firstLine="640" w:firstLineChars="200"/>
        <w:contextualSpacing/>
        <w:textAlignment w:val="auto"/>
        <w:rPr>
          <w:rFonts w:hint="default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3、财政专户管理资金:包括专户管理行政事业性收费（主要是教育收费）、其他非税收入。</w:t>
      </w:r>
    </w:p>
    <w:p w14:paraId="288548B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firstLine="640" w:firstLineChars="200"/>
        <w:contextualSpacing/>
        <w:textAlignment w:val="auto"/>
        <w:rPr>
          <w:rFonts w:hint="default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4、其他资金:包括事业收入、事业经营收入、其他收入等。</w:t>
      </w:r>
    </w:p>
    <w:p w14:paraId="35F4BBF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firstLine="640" w:firstLineChars="200"/>
        <w:contextualSpacing/>
        <w:textAlignment w:val="auto"/>
        <w:rPr>
          <w:rFonts w:hint="default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5、基本支出:包括人员经费、公用经费（定额）。其中，人员经费包括工资福利支出、对个人和家庭的补助。</w:t>
      </w:r>
    </w:p>
    <w:p w14:paraId="3A572CE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firstLine="640" w:firstLineChars="200"/>
        <w:contextualSpacing/>
        <w:textAlignment w:val="auto"/>
        <w:rPr>
          <w:rFonts w:hint="default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6、项目支出:部门（单位）支出预算的组成部分，是各部门（单位）为完成其特定的行政任务或事业发展目标，在基本支出预算之外编制的年度项目支出计划。</w:t>
      </w:r>
    </w:p>
    <w:p w14:paraId="0687D5D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firstLine="640" w:firstLineChars="200"/>
        <w:contextualSpacing/>
        <w:textAlignment w:val="auto"/>
        <w:rPr>
          <w:rFonts w:hint="default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7、“三公”经费:指因公出国（境）费、公务用车购置及运行维护费和公务接待费。其中，因公出国（境）费反映单位公务出国（境）的国际旅费、国外城市间交通费、住宿费、伙食费、培训费、公杂费等支出；公务用车运行维护费反映单位按规定保留的公务用车租用费、燃料费、维修费、过路过桥费、保险费、安全奖励费用等支出；公务接待费反映单位按规定开支的各类公务接待（含外宾接待）支出。</w:t>
      </w:r>
    </w:p>
    <w:p w14:paraId="4D7BA47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firstLine="640" w:firstLineChars="200"/>
        <w:contextualSpacing/>
        <w:textAlignment w:val="auto"/>
        <w:rPr>
          <w:rFonts w:hint="default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8、机关运行经费:为保障行政单位（包括实行公务员管理的事业单位）运行用于购买货物和服务的各项资金，包括办公及印刷费、邮电费、差旅费、会议费、福利费、日常维修费、一般设备购置费、办公用房水电费、办公用房取暖费、办公用房物业管理费、公务用车运行维护费以及其他费用。</w:t>
      </w:r>
    </w:p>
    <w:p w14:paraId="41BCF42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firstLine="640" w:firstLineChars="200"/>
        <w:contextualSpacing/>
        <w:textAlignment w:val="auto"/>
        <w:rPr>
          <w:rFonts w:hint="default" w:ascii="Times New Roman" w:hAnsi="Times New Roman" w:eastAsia="仿宋_GB2312" w:cs="Times New Roman"/>
          <w:kern w:val="0"/>
          <w:sz w:val="32"/>
          <w:szCs w:val="32"/>
        </w:rPr>
      </w:pPr>
    </w:p>
    <w:p w14:paraId="308F535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firstLine="640" w:firstLineChars="200"/>
        <w:contextualSpacing/>
        <w:textAlignment w:val="auto"/>
        <w:rPr>
          <w:rFonts w:hint="default" w:ascii="Times New Roman" w:hAnsi="Times New Roman" w:eastAsia="仿宋_GB2312" w:cs="Times New Roman"/>
          <w:kern w:val="0"/>
          <w:sz w:val="32"/>
          <w:szCs w:val="32"/>
        </w:rPr>
      </w:pPr>
    </w:p>
    <w:p w14:paraId="27040D2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firstLine="640" w:firstLineChars="200"/>
        <w:contextualSpacing/>
        <w:textAlignment w:val="auto"/>
        <w:rPr>
          <w:rFonts w:hint="default" w:ascii="Times New Roman" w:hAnsi="Times New Roman" w:eastAsia="仿宋_GB2312" w:cs="Times New Roman"/>
          <w:spacing w:val="-20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附件：</w:t>
      </w:r>
      <w:r>
        <w:rPr>
          <w:rFonts w:hint="default" w:ascii="Times New Roman" w:hAnsi="Times New Roman" w:eastAsia="仿宋_GB2312" w:cs="Times New Roman"/>
          <w:spacing w:val="-20"/>
          <w:kern w:val="0"/>
          <w:sz w:val="32"/>
          <w:szCs w:val="32"/>
        </w:rPr>
        <w:t>1.中共华池县委员会政法委员会202</w:t>
      </w:r>
      <w:r>
        <w:rPr>
          <w:rFonts w:hint="eastAsia" w:ascii="Times New Roman" w:hAnsi="Times New Roman" w:eastAsia="仿宋_GB2312" w:cs="Times New Roman"/>
          <w:spacing w:val="-20"/>
          <w:kern w:val="0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spacing w:val="-20"/>
          <w:kern w:val="0"/>
          <w:sz w:val="32"/>
          <w:szCs w:val="32"/>
        </w:rPr>
        <w:t>年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部门</w:t>
      </w:r>
      <w:r>
        <w:rPr>
          <w:rFonts w:hint="default" w:ascii="Times New Roman" w:hAnsi="Times New Roman" w:eastAsia="仿宋_GB2312" w:cs="Times New Roman"/>
          <w:spacing w:val="-20"/>
          <w:kern w:val="0"/>
          <w:sz w:val="32"/>
          <w:szCs w:val="32"/>
        </w:rPr>
        <w:t>预算公开表</w:t>
      </w:r>
    </w:p>
    <w:p w14:paraId="17988E0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left="1796" w:leftChars="767" w:hanging="185" w:hangingChars="58"/>
        <w:contextualSpacing/>
        <w:textAlignment w:val="auto"/>
        <w:rPr>
          <w:rFonts w:hint="default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2.中共华池县委员会政法委员会</w:t>
      </w:r>
      <w:r>
        <w:rPr>
          <w:rFonts w:hint="default" w:ascii="Times New Roman" w:hAnsi="Times New Roman" w:eastAsia="仿宋_GB2312" w:cs="Times New Roman"/>
          <w:spacing w:val="-20"/>
          <w:kern w:val="0"/>
          <w:sz w:val="32"/>
          <w:szCs w:val="32"/>
        </w:rPr>
        <w:t>202</w:t>
      </w:r>
      <w:r>
        <w:rPr>
          <w:rFonts w:hint="eastAsia" w:ascii="Times New Roman" w:hAnsi="Times New Roman" w:eastAsia="仿宋_GB2312" w:cs="Times New Roman"/>
          <w:spacing w:val="-20"/>
          <w:kern w:val="0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spacing w:val="-20"/>
          <w:kern w:val="0"/>
          <w:sz w:val="32"/>
          <w:szCs w:val="32"/>
        </w:rPr>
        <w:t>年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部门</w:t>
      </w:r>
      <w:r>
        <w:rPr>
          <w:rFonts w:hint="default" w:ascii="Times New Roman" w:hAnsi="Times New Roman" w:eastAsia="仿宋_GB2312" w:cs="Times New Roman"/>
          <w:spacing w:val="-20"/>
          <w:kern w:val="0"/>
          <w:sz w:val="32"/>
          <w:szCs w:val="32"/>
        </w:rPr>
        <w:t>预算公开表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整体支出绩效目标及预算项目绩效目标表</w:t>
      </w:r>
    </w:p>
    <w:p w14:paraId="065D83E1">
      <w:pPr>
        <w:keepNext w:val="0"/>
        <w:keepLines w:val="0"/>
        <w:pageBreakBefore w:val="0"/>
        <w:tabs>
          <w:tab w:val="left" w:pos="1272"/>
        </w:tabs>
        <w:kinsoku/>
        <w:wordWrap/>
        <w:overflowPunct/>
        <w:topLinePunct w:val="0"/>
        <w:autoSpaceDE/>
        <w:autoSpaceDN/>
        <w:bidi w:val="0"/>
        <w:spacing w:line="640" w:lineRule="exact"/>
        <w:textAlignment w:val="auto"/>
        <w:rPr>
          <w:rFonts w:hint="default" w:ascii="Times New Roman" w:hAnsi="Times New Roman" w:cs="Times New Roman"/>
        </w:rPr>
      </w:pPr>
    </w:p>
    <w:sectPr>
      <w:footerReference r:id="rId4" w:type="default"/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05DFCD">
    <w:pPr>
      <w:pStyle w:val="5"/>
      <w:jc w:val="center"/>
    </w:pPr>
  </w:p>
  <w:p w14:paraId="362AE5E4"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4C854A">
    <w:pPr>
      <w:pStyle w:val="5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27</w:t>
    </w:r>
    <w:r>
      <w:fldChar w:fldCharType="end"/>
    </w:r>
  </w:p>
  <w:p w14:paraId="7F222DAC"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BjNDcxNWMxNzA4MWQ4MjRlNWExMTQwYmYzY2EyYmIifQ=="/>
  </w:docVars>
  <w:rsids>
    <w:rsidRoot w:val="00FB4362"/>
    <w:rsid w:val="00000C55"/>
    <w:rsid w:val="00001446"/>
    <w:rsid w:val="0001130C"/>
    <w:rsid w:val="00011F27"/>
    <w:rsid w:val="00012457"/>
    <w:rsid w:val="00021BBF"/>
    <w:rsid w:val="00030443"/>
    <w:rsid w:val="00030F4C"/>
    <w:rsid w:val="0003278A"/>
    <w:rsid w:val="000368FE"/>
    <w:rsid w:val="00042A06"/>
    <w:rsid w:val="00043601"/>
    <w:rsid w:val="000442B5"/>
    <w:rsid w:val="0004639D"/>
    <w:rsid w:val="000465E2"/>
    <w:rsid w:val="0005161F"/>
    <w:rsid w:val="000547D1"/>
    <w:rsid w:val="00055759"/>
    <w:rsid w:val="000612EE"/>
    <w:rsid w:val="00061BAF"/>
    <w:rsid w:val="0006337D"/>
    <w:rsid w:val="00074626"/>
    <w:rsid w:val="00076B62"/>
    <w:rsid w:val="00082093"/>
    <w:rsid w:val="000861D5"/>
    <w:rsid w:val="0009273A"/>
    <w:rsid w:val="000A20A7"/>
    <w:rsid w:val="000A655B"/>
    <w:rsid w:val="000B54DD"/>
    <w:rsid w:val="000C2055"/>
    <w:rsid w:val="000C2B7F"/>
    <w:rsid w:val="000C37BE"/>
    <w:rsid w:val="000C4C50"/>
    <w:rsid w:val="000D0130"/>
    <w:rsid w:val="000D2EEE"/>
    <w:rsid w:val="000D2F19"/>
    <w:rsid w:val="000E0CEA"/>
    <w:rsid w:val="000F3CBF"/>
    <w:rsid w:val="000F3F42"/>
    <w:rsid w:val="000F473D"/>
    <w:rsid w:val="001017F3"/>
    <w:rsid w:val="0011297B"/>
    <w:rsid w:val="00123768"/>
    <w:rsid w:val="00126B08"/>
    <w:rsid w:val="001272E5"/>
    <w:rsid w:val="00127D01"/>
    <w:rsid w:val="00130F5F"/>
    <w:rsid w:val="001374F5"/>
    <w:rsid w:val="00152FDC"/>
    <w:rsid w:val="001561FD"/>
    <w:rsid w:val="0015647B"/>
    <w:rsid w:val="00156619"/>
    <w:rsid w:val="00156C8B"/>
    <w:rsid w:val="00160A8C"/>
    <w:rsid w:val="001700B4"/>
    <w:rsid w:val="00171070"/>
    <w:rsid w:val="001A416A"/>
    <w:rsid w:val="001A6118"/>
    <w:rsid w:val="001B0364"/>
    <w:rsid w:val="001B0B8E"/>
    <w:rsid w:val="001B342F"/>
    <w:rsid w:val="001C1259"/>
    <w:rsid w:val="001D1DA7"/>
    <w:rsid w:val="001E17E4"/>
    <w:rsid w:val="001E2410"/>
    <w:rsid w:val="001E347C"/>
    <w:rsid w:val="001E6110"/>
    <w:rsid w:val="001F3C4D"/>
    <w:rsid w:val="002033EA"/>
    <w:rsid w:val="00214046"/>
    <w:rsid w:val="0022561F"/>
    <w:rsid w:val="00232DBE"/>
    <w:rsid w:val="002355E7"/>
    <w:rsid w:val="00235F73"/>
    <w:rsid w:val="0023681E"/>
    <w:rsid w:val="00241FEC"/>
    <w:rsid w:val="00243562"/>
    <w:rsid w:val="0025164A"/>
    <w:rsid w:val="00265C3D"/>
    <w:rsid w:val="00266C2E"/>
    <w:rsid w:val="00270DF8"/>
    <w:rsid w:val="002754B3"/>
    <w:rsid w:val="0028392B"/>
    <w:rsid w:val="002934F2"/>
    <w:rsid w:val="002A3A19"/>
    <w:rsid w:val="002A3ED4"/>
    <w:rsid w:val="002A7274"/>
    <w:rsid w:val="002B2833"/>
    <w:rsid w:val="002B7BA1"/>
    <w:rsid w:val="002C01BB"/>
    <w:rsid w:val="002C3FA4"/>
    <w:rsid w:val="002E2161"/>
    <w:rsid w:val="002E30F2"/>
    <w:rsid w:val="002E4E72"/>
    <w:rsid w:val="002F0CE0"/>
    <w:rsid w:val="002F4ED9"/>
    <w:rsid w:val="002F75FE"/>
    <w:rsid w:val="002F7FA5"/>
    <w:rsid w:val="003017F4"/>
    <w:rsid w:val="00301AAB"/>
    <w:rsid w:val="00306B68"/>
    <w:rsid w:val="003129FE"/>
    <w:rsid w:val="003322AC"/>
    <w:rsid w:val="00335342"/>
    <w:rsid w:val="00343A8E"/>
    <w:rsid w:val="00345713"/>
    <w:rsid w:val="003566B9"/>
    <w:rsid w:val="00356C98"/>
    <w:rsid w:val="0036367B"/>
    <w:rsid w:val="0036496C"/>
    <w:rsid w:val="00365414"/>
    <w:rsid w:val="00372734"/>
    <w:rsid w:val="00372A33"/>
    <w:rsid w:val="0037374A"/>
    <w:rsid w:val="00377A88"/>
    <w:rsid w:val="00392E2B"/>
    <w:rsid w:val="003A396F"/>
    <w:rsid w:val="003A68FD"/>
    <w:rsid w:val="003A7A18"/>
    <w:rsid w:val="003B3187"/>
    <w:rsid w:val="003B327A"/>
    <w:rsid w:val="003B4612"/>
    <w:rsid w:val="003B76D2"/>
    <w:rsid w:val="003D6D41"/>
    <w:rsid w:val="003E3B0A"/>
    <w:rsid w:val="0040581D"/>
    <w:rsid w:val="00417BF3"/>
    <w:rsid w:val="00425D21"/>
    <w:rsid w:val="00426463"/>
    <w:rsid w:val="00427875"/>
    <w:rsid w:val="004317A0"/>
    <w:rsid w:val="0043556D"/>
    <w:rsid w:val="0043739B"/>
    <w:rsid w:val="00441579"/>
    <w:rsid w:val="004418B5"/>
    <w:rsid w:val="00445789"/>
    <w:rsid w:val="00463FB8"/>
    <w:rsid w:val="00480A2F"/>
    <w:rsid w:val="00480B47"/>
    <w:rsid w:val="00481F19"/>
    <w:rsid w:val="00487BC0"/>
    <w:rsid w:val="00490FF8"/>
    <w:rsid w:val="004A1851"/>
    <w:rsid w:val="004B337A"/>
    <w:rsid w:val="004B5538"/>
    <w:rsid w:val="004C3127"/>
    <w:rsid w:val="004D27C3"/>
    <w:rsid w:val="004D44D2"/>
    <w:rsid w:val="004D491E"/>
    <w:rsid w:val="004E3E51"/>
    <w:rsid w:val="004E625A"/>
    <w:rsid w:val="004F73BD"/>
    <w:rsid w:val="00502474"/>
    <w:rsid w:val="00515110"/>
    <w:rsid w:val="00523062"/>
    <w:rsid w:val="00532434"/>
    <w:rsid w:val="00537019"/>
    <w:rsid w:val="0054271B"/>
    <w:rsid w:val="00545281"/>
    <w:rsid w:val="00551A39"/>
    <w:rsid w:val="00566585"/>
    <w:rsid w:val="00580A2F"/>
    <w:rsid w:val="005A2CB7"/>
    <w:rsid w:val="005B15C7"/>
    <w:rsid w:val="005B51EA"/>
    <w:rsid w:val="005C6B92"/>
    <w:rsid w:val="005F4CC9"/>
    <w:rsid w:val="0060056E"/>
    <w:rsid w:val="006039C9"/>
    <w:rsid w:val="00605602"/>
    <w:rsid w:val="00605D22"/>
    <w:rsid w:val="00620A03"/>
    <w:rsid w:val="00621126"/>
    <w:rsid w:val="0062145A"/>
    <w:rsid w:val="00633C60"/>
    <w:rsid w:val="00645C9F"/>
    <w:rsid w:val="00650775"/>
    <w:rsid w:val="0065388D"/>
    <w:rsid w:val="00655506"/>
    <w:rsid w:val="00674396"/>
    <w:rsid w:val="006849AD"/>
    <w:rsid w:val="006853A7"/>
    <w:rsid w:val="0069507F"/>
    <w:rsid w:val="006955DD"/>
    <w:rsid w:val="00697A98"/>
    <w:rsid w:val="006A0492"/>
    <w:rsid w:val="006A3DED"/>
    <w:rsid w:val="006A6E23"/>
    <w:rsid w:val="006B05FF"/>
    <w:rsid w:val="006C4D2E"/>
    <w:rsid w:val="006D3D60"/>
    <w:rsid w:val="006E1F9C"/>
    <w:rsid w:val="006E4A2C"/>
    <w:rsid w:val="006E721A"/>
    <w:rsid w:val="006F0E11"/>
    <w:rsid w:val="006F40C8"/>
    <w:rsid w:val="00700872"/>
    <w:rsid w:val="00706BB4"/>
    <w:rsid w:val="00714029"/>
    <w:rsid w:val="007203B6"/>
    <w:rsid w:val="007222C1"/>
    <w:rsid w:val="00725205"/>
    <w:rsid w:val="0074091B"/>
    <w:rsid w:val="00740927"/>
    <w:rsid w:val="00744302"/>
    <w:rsid w:val="00747C60"/>
    <w:rsid w:val="007732EA"/>
    <w:rsid w:val="00777EA3"/>
    <w:rsid w:val="007933F9"/>
    <w:rsid w:val="00793C7B"/>
    <w:rsid w:val="007954B6"/>
    <w:rsid w:val="007A5E22"/>
    <w:rsid w:val="007B3768"/>
    <w:rsid w:val="007B5395"/>
    <w:rsid w:val="007C38FB"/>
    <w:rsid w:val="007C6434"/>
    <w:rsid w:val="007D4E4C"/>
    <w:rsid w:val="007D5F13"/>
    <w:rsid w:val="007D69F8"/>
    <w:rsid w:val="007E4819"/>
    <w:rsid w:val="007E4E03"/>
    <w:rsid w:val="007E7289"/>
    <w:rsid w:val="00805F3F"/>
    <w:rsid w:val="00817A5D"/>
    <w:rsid w:val="00821209"/>
    <w:rsid w:val="00821491"/>
    <w:rsid w:val="00831411"/>
    <w:rsid w:val="00842536"/>
    <w:rsid w:val="00843692"/>
    <w:rsid w:val="0085135B"/>
    <w:rsid w:val="0085287C"/>
    <w:rsid w:val="008559B6"/>
    <w:rsid w:val="008559FD"/>
    <w:rsid w:val="00855E65"/>
    <w:rsid w:val="0085612E"/>
    <w:rsid w:val="00880868"/>
    <w:rsid w:val="00880D30"/>
    <w:rsid w:val="008811AD"/>
    <w:rsid w:val="008812FA"/>
    <w:rsid w:val="008B222B"/>
    <w:rsid w:val="008C138F"/>
    <w:rsid w:val="008C204C"/>
    <w:rsid w:val="008C2625"/>
    <w:rsid w:val="008C4FE2"/>
    <w:rsid w:val="008D4D6A"/>
    <w:rsid w:val="008F7014"/>
    <w:rsid w:val="009049E9"/>
    <w:rsid w:val="00907F9B"/>
    <w:rsid w:val="00911503"/>
    <w:rsid w:val="00917C2D"/>
    <w:rsid w:val="009209B6"/>
    <w:rsid w:val="00923CB4"/>
    <w:rsid w:val="009335E0"/>
    <w:rsid w:val="00941732"/>
    <w:rsid w:val="009510F3"/>
    <w:rsid w:val="00954018"/>
    <w:rsid w:val="00955590"/>
    <w:rsid w:val="00970435"/>
    <w:rsid w:val="009704EC"/>
    <w:rsid w:val="00971619"/>
    <w:rsid w:val="00982EAB"/>
    <w:rsid w:val="0098505E"/>
    <w:rsid w:val="00991480"/>
    <w:rsid w:val="009945A7"/>
    <w:rsid w:val="00995E63"/>
    <w:rsid w:val="0099643D"/>
    <w:rsid w:val="009969DC"/>
    <w:rsid w:val="00996BA5"/>
    <w:rsid w:val="009A0F79"/>
    <w:rsid w:val="009A3C75"/>
    <w:rsid w:val="009B03F2"/>
    <w:rsid w:val="009C4EE2"/>
    <w:rsid w:val="009D46B1"/>
    <w:rsid w:val="009E7F6E"/>
    <w:rsid w:val="009F2B6A"/>
    <w:rsid w:val="009F5541"/>
    <w:rsid w:val="00A01204"/>
    <w:rsid w:val="00A022BA"/>
    <w:rsid w:val="00A256AC"/>
    <w:rsid w:val="00A32BE3"/>
    <w:rsid w:val="00A4207A"/>
    <w:rsid w:val="00A5653E"/>
    <w:rsid w:val="00A63533"/>
    <w:rsid w:val="00A723C4"/>
    <w:rsid w:val="00A72D2B"/>
    <w:rsid w:val="00A820E9"/>
    <w:rsid w:val="00A82942"/>
    <w:rsid w:val="00A83E24"/>
    <w:rsid w:val="00AA20F8"/>
    <w:rsid w:val="00AA327B"/>
    <w:rsid w:val="00AA55AF"/>
    <w:rsid w:val="00AB19A5"/>
    <w:rsid w:val="00AC2FD6"/>
    <w:rsid w:val="00AC78FC"/>
    <w:rsid w:val="00AD4CFE"/>
    <w:rsid w:val="00AE79BA"/>
    <w:rsid w:val="00AF350E"/>
    <w:rsid w:val="00AF3D8F"/>
    <w:rsid w:val="00AF5273"/>
    <w:rsid w:val="00AF5D3D"/>
    <w:rsid w:val="00B0671C"/>
    <w:rsid w:val="00B13495"/>
    <w:rsid w:val="00B262DD"/>
    <w:rsid w:val="00B278DE"/>
    <w:rsid w:val="00B30287"/>
    <w:rsid w:val="00B30EBD"/>
    <w:rsid w:val="00B351C3"/>
    <w:rsid w:val="00B36AC9"/>
    <w:rsid w:val="00B36E7A"/>
    <w:rsid w:val="00B542CD"/>
    <w:rsid w:val="00B6465B"/>
    <w:rsid w:val="00B772D7"/>
    <w:rsid w:val="00B85451"/>
    <w:rsid w:val="00B86006"/>
    <w:rsid w:val="00B86D86"/>
    <w:rsid w:val="00BA2A96"/>
    <w:rsid w:val="00BA5FE5"/>
    <w:rsid w:val="00BC1FD9"/>
    <w:rsid w:val="00BC30FF"/>
    <w:rsid w:val="00BC500D"/>
    <w:rsid w:val="00BD7FD7"/>
    <w:rsid w:val="00BF1606"/>
    <w:rsid w:val="00BF1647"/>
    <w:rsid w:val="00BF5A25"/>
    <w:rsid w:val="00C06428"/>
    <w:rsid w:val="00C11347"/>
    <w:rsid w:val="00C35018"/>
    <w:rsid w:val="00C40A34"/>
    <w:rsid w:val="00C4484E"/>
    <w:rsid w:val="00C46F7C"/>
    <w:rsid w:val="00C519B5"/>
    <w:rsid w:val="00C55EDB"/>
    <w:rsid w:val="00C573E9"/>
    <w:rsid w:val="00C729DA"/>
    <w:rsid w:val="00C764B7"/>
    <w:rsid w:val="00C90B56"/>
    <w:rsid w:val="00CA3F25"/>
    <w:rsid w:val="00CB5B9D"/>
    <w:rsid w:val="00CB6428"/>
    <w:rsid w:val="00CC01A5"/>
    <w:rsid w:val="00CC2134"/>
    <w:rsid w:val="00CD255A"/>
    <w:rsid w:val="00D126EC"/>
    <w:rsid w:val="00D14955"/>
    <w:rsid w:val="00D24CD6"/>
    <w:rsid w:val="00D24FA6"/>
    <w:rsid w:val="00D544D2"/>
    <w:rsid w:val="00D660F8"/>
    <w:rsid w:val="00D744C5"/>
    <w:rsid w:val="00D827AF"/>
    <w:rsid w:val="00D8451F"/>
    <w:rsid w:val="00D8474D"/>
    <w:rsid w:val="00D84D5B"/>
    <w:rsid w:val="00D86771"/>
    <w:rsid w:val="00D90C73"/>
    <w:rsid w:val="00D90F17"/>
    <w:rsid w:val="00D9480E"/>
    <w:rsid w:val="00D94FFD"/>
    <w:rsid w:val="00DA7038"/>
    <w:rsid w:val="00DB4AF2"/>
    <w:rsid w:val="00DB572A"/>
    <w:rsid w:val="00DC14B3"/>
    <w:rsid w:val="00DC399C"/>
    <w:rsid w:val="00DC7D6D"/>
    <w:rsid w:val="00DD2999"/>
    <w:rsid w:val="00DD2B43"/>
    <w:rsid w:val="00DD2CF8"/>
    <w:rsid w:val="00DD5C58"/>
    <w:rsid w:val="00DE240B"/>
    <w:rsid w:val="00DE529C"/>
    <w:rsid w:val="00DE6D9E"/>
    <w:rsid w:val="00DF3482"/>
    <w:rsid w:val="00DF450F"/>
    <w:rsid w:val="00E04A58"/>
    <w:rsid w:val="00E07425"/>
    <w:rsid w:val="00E07A05"/>
    <w:rsid w:val="00E16025"/>
    <w:rsid w:val="00E167FD"/>
    <w:rsid w:val="00E16F50"/>
    <w:rsid w:val="00E24179"/>
    <w:rsid w:val="00E31783"/>
    <w:rsid w:val="00E36636"/>
    <w:rsid w:val="00E43A34"/>
    <w:rsid w:val="00E44D37"/>
    <w:rsid w:val="00E52850"/>
    <w:rsid w:val="00E609A5"/>
    <w:rsid w:val="00E61928"/>
    <w:rsid w:val="00E656D2"/>
    <w:rsid w:val="00E7276C"/>
    <w:rsid w:val="00E84382"/>
    <w:rsid w:val="00E9180B"/>
    <w:rsid w:val="00EA0646"/>
    <w:rsid w:val="00EA2BA4"/>
    <w:rsid w:val="00EA3103"/>
    <w:rsid w:val="00EB15C1"/>
    <w:rsid w:val="00EC325A"/>
    <w:rsid w:val="00EC3A8E"/>
    <w:rsid w:val="00EC57F0"/>
    <w:rsid w:val="00ED68AF"/>
    <w:rsid w:val="00EF2E7C"/>
    <w:rsid w:val="00F01A6E"/>
    <w:rsid w:val="00F11811"/>
    <w:rsid w:val="00F20178"/>
    <w:rsid w:val="00F23C6C"/>
    <w:rsid w:val="00F24BC8"/>
    <w:rsid w:val="00F25045"/>
    <w:rsid w:val="00F30F3E"/>
    <w:rsid w:val="00F32002"/>
    <w:rsid w:val="00F4605D"/>
    <w:rsid w:val="00F51EF5"/>
    <w:rsid w:val="00F74928"/>
    <w:rsid w:val="00F8197E"/>
    <w:rsid w:val="00F833B1"/>
    <w:rsid w:val="00F87D90"/>
    <w:rsid w:val="00F90495"/>
    <w:rsid w:val="00FA4179"/>
    <w:rsid w:val="00FB4362"/>
    <w:rsid w:val="00FB53A1"/>
    <w:rsid w:val="00FD30CF"/>
    <w:rsid w:val="00FE0E46"/>
    <w:rsid w:val="00FF0AEC"/>
    <w:rsid w:val="00FF1DF4"/>
    <w:rsid w:val="00FF4165"/>
    <w:rsid w:val="02E03DF9"/>
    <w:rsid w:val="03552A08"/>
    <w:rsid w:val="0AB503E0"/>
    <w:rsid w:val="113741D2"/>
    <w:rsid w:val="18330BA7"/>
    <w:rsid w:val="1C433764"/>
    <w:rsid w:val="1D34261E"/>
    <w:rsid w:val="1E56782A"/>
    <w:rsid w:val="20E1754F"/>
    <w:rsid w:val="227E0799"/>
    <w:rsid w:val="39E927D9"/>
    <w:rsid w:val="3EB70E41"/>
    <w:rsid w:val="3EE01BB7"/>
    <w:rsid w:val="42A05423"/>
    <w:rsid w:val="4C433C79"/>
    <w:rsid w:val="51611D91"/>
    <w:rsid w:val="527E074E"/>
    <w:rsid w:val="56393C72"/>
    <w:rsid w:val="56EF64E8"/>
    <w:rsid w:val="579503FF"/>
    <w:rsid w:val="57D83FAF"/>
    <w:rsid w:val="60535296"/>
    <w:rsid w:val="67010C0E"/>
    <w:rsid w:val="6AEB7BDB"/>
    <w:rsid w:val="72FD2525"/>
    <w:rsid w:val="73607959"/>
    <w:rsid w:val="748B0824"/>
    <w:rsid w:val="78106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8"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/>
      <w:b/>
      <w:bCs/>
      <w:kern w:val="44"/>
      <w:sz w:val="44"/>
      <w:szCs w:val="44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20"/>
    <w:autoRedefine/>
    <w:qFormat/>
    <w:uiPriority w:val="0"/>
    <w:pPr>
      <w:jc w:val="left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5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8">
    <w:name w:val="annotation subject"/>
    <w:basedOn w:val="3"/>
    <w:next w:val="3"/>
    <w:link w:val="21"/>
    <w:autoRedefine/>
    <w:qFormat/>
    <w:uiPriority w:val="0"/>
    <w:rPr>
      <w:b/>
      <w:bCs/>
    </w:rPr>
  </w:style>
  <w:style w:type="character" w:styleId="11">
    <w:name w:val="Strong"/>
    <w:basedOn w:val="10"/>
    <w:qFormat/>
    <w:uiPriority w:val="0"/>
    <w:rPr>
      <w:b/>
    </w:rPr>
  </w:style>
  <w:style w:type="character" w:styleId="12">
    <w:name w:val="line number"/>
    <w:autoRedefine/>
    <w:qFormat/>
    <w:uiPriority w:val="0"/>
  </w:style>
  <w:style w:type="character" w:styleId="13">
    <w:name w:val="annotation reference"/>
    <w:autoRedefine/>
    <w:qFormat/>
    <w:uiPriority w:val="0"/>
    <w:rPr>
      <w:sz w:val="21"/>
      <w:szCs w:val="21"/>
    </w:rPr>
  </w:style>
  <w:style w:type="character" w:customStyle="1" w:styleId="14">
    <w:name w:val="页脚 Char"/>
    <w:link w:val="5"/>
    <w:qFormat/>
    <w:uiPriority w:val="0"/>
    <w:rPr>
      <w:sz w:val="18"/>
      <w:szCs w:val="18"/>
    </w:rPr>
  </w:style>
  <w:style w:type="character" w:customStyle="1" w:styleId="15">
    <w:name w:val="页眉 Char"/>
    <w:link w:val="6"/>
    <w:autoRedefine/>
    <w:qFormat/>
    <w:uiPriority w:val="0"/>
    <w:rPr>
      <w:sz w:val="18"/>
      <w:szCs w:val="18"/>
    </w:rPr>
  </w:style>
  <w:style w:type="paragraph" w:styleId="16">
    <w:name w:val="List Paragraph"/>
    <w:basedOn w:val="1"/>
    <w:qFormat/>
    <w:uiPriority w:val="0"/>
    <w:pPr>
      <w:ind w:firstLine="420" w:firstLineChars="200"/>
    </w:pPr>
  </w:style>
  <w:style w:type="character" w:customStyle="1" w:styleId="17">
    <w:name w:val="批注框文本 Char"/>
    <w:link w:val="4"/>
    <w:qFormat/>
    <w:uiPriority w:val="0"/>
    <w:rPr>
      <w:kern w:val="2"/>
      <w:sz w:val="18"/>
      <w:szCs w:val="18"/>
    </w:rPr>
  </w:style>
  <w:style w:type="character" w:customStyle="1" w:styleId="18">
    <w:name w:val="标题 1 Char"/>
    <w:link w:val="2"/>
    <w:autoRedefine/>
    <w:qFormat/>
    <w:uiPriority w:val="0"/>
    <w:rPr>
      <w:rFonts w:ascii="Times New Roman" w:hAnsi="Times New Roman"/>
      <w:b/>
      <w:bCs/>
      <w:kern w:val="44"/>
      <w:sz w:val="44"/>
      <w:szCs w:val="44"/>
    </w:rPr>
  </w:style>
  <w:style w:type="paragraph" w:customStyle="1" w:styleId="19">
    <w:name w:val="TOC Heading"/>
    <w:basedOn w:val="2"/>
    <w:next w:val="1"/>
    <w:qFormat/>
    <w:uiPriority w:val="0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20">
    <w:name w:val="批注文字 Char"/>
    <w:link w:val="3"/>
    <w:qFormat/>
    <w:uiPriority w:val="0"/>
    <w:rPr>
      <w:kern w:val="2"/>
      <w:sz w:val="21"/>
      <w:szCs w:val="22"/>
    </w:rPr>
  </w:style>
  <w:style w:type="character" w:customStyle="1" w:styleId="21">
    <w:name w:val="批注主题 Char"/>
    <w:link w:val="8"/>
    <w:qFormat/>
    <w:uiPriority w:val="0"/>
    <w:rPr>
      <w:b/>
      <w:bCs/>
      <w:kern w:val="2"/>
      <w:sz w:val="21"/>
      <w:szCs w:val="22"/>
    </w:rPr>
  </w:style>
  <w:style w:type="character" w:customStyle="1" w:styleId="22">
    <w:name w:val="fontstyle01"/>
    <w:autoRedefine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3">
    <w:name w:val="fontstyle21"/>
    <w:autoRedefine/>
    <w:qFormat/>
    <w:uiPriority w:val="0"/>
    <w:rPr>
      <w:rFonts w:hint="default" w:ascii="TimesNewRomanPSMT" w:hAnsi="TimesNewRomanPSMT"/>
      <w:color w:val="000000"/>
      <w:sz w:val="32"/>
      <w:szCs w:val="32"/>
    </w:rPr>
  </w:style>
  <w:style w:type="character" w:customStyle="1" w:styleId="24">
    <w:name w:val="fontstyle11"/>
    <w:autoRedefine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5">
    <w:name w:val="fontstyle31"/>
    <w:autoRedefine/>
    <w:qFormat/>
    <w:uiPriority w:val="0"/>
    <w:rPr>
      <w:rFonts w:hint="default" w:ascii="TimesNewRomanPSMT" w:hAnsi="TimesNewRomanPSMT"/>
      <w:color w:val="00000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beijing</Company>
  <Pages>11</Pages>
  <Words>3721</Words>
  <Characters>3979</Characters>
  <Lines>68</Lines>
  <Paragraphs>19</Paragraphs>
  <TotalTime>9</TotalTime>
  <ScaleCrop>false</ScaleCrop>
  <LinksUpToDate>false</LinksUpToDate>
  <CharactersWithSpaces>3990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2024-01-30T09:03:00Z</dcterms:created>
  <dc:creator>home</dc:creator>
  <cp:lastModifiedBy>羁绊</cp:lastModifiedBy>
  <cp:lastPrinted>2025-02-12T02:35:00Z</cp:lastPrinted>
  <dcterms:modified xsi:type="dcterms:W3CDTF">2026-03-17T11:40:47Z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C1542270F6A844FEB95C55CCCDD93204_13</vt:lpwstr>
  </property>
  <property fmtid="{D5CDD505-2E9C-101B-9397-08002B2CF9AE}" pid="4" name="KSOTemplateDocerSaveRecord">
    <vt:lpwstr>eyJoZGlkIjoiNzc4NGJlZmRiYzM1MGU4MzYxMjc2M2MxMjE3MGFhNDAiLCJ1c2VySWQiOiIzMjM1OTY5MzkifQ==</vt:lpwstr>
  </property>
</Properties>
</file>