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中共华池县委办公室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7F761621">
      <w:pPr>
        <w:spacing w:before="100" w:beforeLines="0" w:after="100" w:afterLines="0"/>
        <w:ind w:firstLine="640" w:firstLineChars="200"/>
        <w:jc w:val="left"/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（一）负责省委、市委、县委重大决策和重要工作部署贯彻实施情况的督促检查工作。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br w:type="textWrapping"/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二）负责县委日常文电的收发处理，县委重要决策和重大工作部署的贯彻落实，县委指示、县委领导批示的督促落实。县委领导同志参加的重大活动的组织安排及协调服务，负责县党代会、县委全委会、县委常委会、书记办公会及县委其他各种会议的组织、服务工作；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br w:type="textWrapping"/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三）承担县委、县委办公室文书处理，文件、文稿起草、校对、印制、收发、档案管理和以县委、县委办公室（县档案局、县委机要和保密局、县国家保密局、县国家密码管理局）名义制发文件的审核、把关工作，负责全县党委系统文件、电报、档案管理的业务指导工作。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br w:type="textWrapping"/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（四）负责党委信息的收集、处理、报送工作，指导全县党委系统信息工作，为县委和上级党委的决策提供服务。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br w:type="textWrapping"/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 w:eastAsia="zh-CN"/>
        </w:rPr>
        <w:t>五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）负责全县各部门档案行政管理工作、保密工作、机要密码工作、电子政务内网建设和管理工作。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br w:type="textWrapping"/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（六）负责县委机关党的建设和工会、妇女、计划生育工作。</w:t>
      </w:r>
    </w:p>
    <w:p w14:paraId="346348ED">
      <w:pPr>
        <w:spacing w:line="600" w:lineRule="exact"/>
        <w:ind w:firstLine="640" w:firstLineChars="200"/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（七）负责县委办公室国有资产管理、工资晋升审核和财务管理；负责县委办公室的车辆管理；负责应由县委办公室承担的接待工作；负责职工的文娱活动和福利服务；负责办公室离退休人员管理和服务工作。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br w:type="textWrapping"/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（八）负责对档案馆以及其他机关、团体、企事业单位和组织档案工作进行监督检查。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br w:type="textWrapping"/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val="zh-CN"/>
        </w:rPr>
        <w:t>（九）完成县委、县政府和上级业务部门交办的其他事项。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36C7E3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年度，我单位共有编制35名，其中：行政编制20名，事业编制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名，后勤编制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名。财政供养总人数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人，其中：在职人员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人，临时4人，遗属4人，退休12人。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1242.52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1242.52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1242.52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1242.52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1022.52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82.29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1"/>
          <w:rFonts w:hint="eastAsia" w:ascii="仿宋_GB2312" w:hAnsi="仿宋" w:eastAsia="仿宋_GB2312"/>
          <w:lang w:val="en-US" w:eastAsia="zh-CN"/>
        </w:rPr>
        <w:t>;</w:t>
      </w:r>
      <w:r>
        <w:rPr>
          <w:rStyle w:val="20"/>
          <w:rFonts w:hint="default" w:hAnsi="仿宋"/>
        </w:rPr>
        <w:t>项目支出</w:t>
      </w:r>
      <w:r>
        <w:rPr>
          <w:rStyle w:val="20"/>
          <w:rFonts w:hint="eastAsia" w:hAnsi="仿宋" w:eastAsia="仿宋_GB2312"/>
          <w:lang w:val="en-US" w:eastAsia="zh-CN"/>
        </w:rPr>
        <w:t>220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17.71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1242.52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1121.55</w:t>
      </w:r>
      <w:r>
        <w:rPr>
          <w:rStyle w:val="20"/>
          <w:rFonts w:hint="default" w:hAnsi="仿宋"/>
        </w:rPr>
        <w:t>万元、卫生健康支出支出</w:t>
      </w:r>
      <w:r>
        <w:rPr>
          <w:rStyle w:val="21"/>
          <w:rFonts w:hint="eastAsia" w:ascii="仿宋_GB2312" w:hAnsi="仿宋" w:eastAsia="仿宋_GB2312"/>
          <w:lang w:val="en-US" w:eastAsia="zh-CN"/>
        </w:rPr>
        <w:t>22.6</w:t>
      </w:r>
      <w:r>
        <w:rPr>
          <w:rStyle w:val="20"/>
          <w:rFonts w:hint="default" w:hAnsi="仿宋"/>
        </w:rPr>
        <w:t>万元、住房保障支出支出</w:t>
      </w:r>
      <w:r>
        <w:rPr>
          <w:rStyle w:val="21"/>
          <w:rFonts w:hint="eastAsia" w:ascii="仿宋_GB2312" w:hAnsi="仿宋" w:eastAsia="仿宋_GB2312"/>
          <w:lang w:val="en-US" w:eastAsia="zh-CN"/>
        </w:rPr>
        <w:t>31.76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66.61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1021.52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50.68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5.23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单位人员增加，基本支出预算增加。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436.47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机关事业单位基本养老保险缴费、职业年金缴费、职工基本医疗保险缴费、公务员医疗补助缴费、其他社会保障缴费、住房公积金、医疗费、生活补助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585.05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水费、电费、邮电费、取暖费、物业管理费、差旅费、维修（护）费、租赁费、会议费、培训费、公务接待费、专用材料费、工会经费、福利费、公务用车运行维护费、其他交通费用、其他商品和服务支出、办公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0547B82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280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127.27</w:t>
      </w:r>
      <w:r>
        <w:rPr>
          <w:rFonts w:hint="eastAsia" w:ascii="仿宋_GB2312" w:hAnsi="仿宋" w:eastAsia="仿宋_GB2312"/>
          <w:sz w:val="32"/>
          <w:szCs w:val="32"/>
        </w:rPr>
        <w:t>%，减少的主要原因是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该项目实施计划不同。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个，主要是项目1全市国产电脑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购置</w:t>
      </w:r>
      <w:r>
        <w:rPr>
          <w:rFonts w:hint="eastAsia" w:ascii="仿宋_GB2312" w:hAnsi="仿宋" w:eastAsia="仿宋_GB2312"/>
          <w:sz w:val="32"/>
          <w:szCs w:val="32"/>
        </w:rPr>
        <w:t>工作项目。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BDBEB6A">
      <w:pPr>
        <w:adjustRightInd w:val="0"/>
        <w:snapToGrid w:val="0"/>
        <w:spacing w:line="640" w:lineRule="exact"/>
        <w:ind w:firstLine="640" w:firstLineChars="200"/>
        <w:contextualSpacing/>
        <w:rPr>
          <w:rStyle w:val="20"/>
          <w:rFonts w:hint="default" w:hAnsi="仿宋"/>
        </w:rPr>
      </w:pPr>
      <w:r>
        <w:rPr>
          <w:rStyle w:val="20"/>
          <w:rFonts w:hint="default" w:hAnsi="仿宋"/>
        </w:rPr>
        <w:t>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1121.55</w:t>
      </w:r>
      <w:r>
        <w:rPr>
          <w:rStyle w:val="20"/>
          <w:rFonts w:hint="default" w:hAnsi="仿宋"/>
        </w:rPr>
        <w:t>万元、卫生健康支出支出</w:t>
      </w:r>
      <w:r>
        <w:rPr>
          <w:rStyle w:val="21"/>
          <w:rFonts w:hint="eastAsia" w:ascii="仿宋_GB2312" w:hAnsi="仿宋" w:eastAsia="仿宋_GB2312"/>
          <w:lang w:val="en-US" w:eastAsia="zh-CN"/>
        </w:rPr>
        <w:t>22.6</w:t>
      </w:r>
      <w:r>
        <w:rPr>
          <w:rStyle w:val="20"/>
          <w:rFonts w:hint="default" w:hAnsi="仿宋"/>
        </w:rPr>
        <w:t>万元、住房保障支出支出</w:t>
      </w:r>
      <w:r>
        <w:rPr>
          <w:rStyle w:val="21"/>
          <w:rFonts w:hint="eastAsia" w:ascii="仿宋_GB2312" w:hAnsi="仿宋" w:eastAsia="仿宋_GB2312"/>
          <w:lang w:val="en-US" w:eastAsia="zh-CN"/>
        </w:rPr>
        <w:t>31.76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66.61</w:t>
      </w:r>
      <w:r>
        <w:rPr>
          <w:rStyle w:val="20"/>
          <w:rFonts w:hint="default" w:hAnsi="仿宋"/>
        </w:rPr>
        <w:t>万元。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19.5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 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19.5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105.26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我单位公务用车增加为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2辆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19.82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536.3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52.44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9.8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压减机关运行经费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115.7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70.1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45.6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70.1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上年末固定资产金额为546.13万元。其中：办公用房4408平方米，价值419.66万元。预算部门（单位）共有公务用车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43.7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43.7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716D7D7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C391A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本单位年初预算未安排项目支出，无重点项目说明。</w:t>
      </w:r>
    </w:p>
    <w:p w14:paraId="54BB88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（四）部门管理转移支付情况</w:t>
      </w:r>
    </w:p>
    <w:p w14:paraId="387AE2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未安排预算，部门/单位管理转移支付表为空表。</w:t>
      </w:r>
    </w:p>
    <w:p w14:paraId="7A81CA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（五）国有资本经营预算支出情况</w:t>
      </w:r>
    </w:p>
    <w:p w14:paraId="662252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A4FC2D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个，占本单位项目的100%。截至7月底，如期完成预算执行和绩效目“双监控”未发现存在的问题。开展1-9月绩效运行监控项目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个，占本单位项目100%。截至10月底，如期完成预算执行和绩效目标指标值的项目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个，完成率为100 %。</w:t>
      </w:r>
    </w:p>
    <w:p w14:paraId="18291AA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3.绩效自评开展情况。2025年度，组织开展绩效自评项目共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个，其中，部门（单位）整体支出1个，项目支出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个，绩效自评覆盖率为100%。</w:t>
      </w:r>
    </w:p>
    <w:p w14:paraId="080BE16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4.绩效结果应用情况。根据2025年度绩效运行监控、绩效自评等情况，当年盘活财政资金0万元，2026年度减少部门预算项目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个，同时对政策和项目资金管理作出调整的0个。</w:t>
      </w:r>
    </w:p>
    <w:p w14:paraId="5460AD0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（二）2026年绩效目标编制情况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个。其中，部门整体支出绩效目标围绕部门管理、履职效果、能力建设三个维度，设置二级指标1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个、三级指标3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个、三级指标11个。各项绩效目标内容指向明确、细化量化、合理可行，符合规定的格式要求。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  <w:bookmarkStart w:id="0" w:name="_GoBack"/>
      <w:bookmarkEnd w:id="0"/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××部门/单位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年  月 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FDD888-7D58-4B85-839F-DAC6BCF85F0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8E4843F-676D-4C26-802B-A5AAE2BE5553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0EC3F31-DB92-4A64-8EC1-28A2637CA54D}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A8064D9-D518-403A-826B-85127302908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DA25373-80E9-44E2-817C-B80322E97A5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3CF988A-8F5A-4FDF-8AFB-4A0C7419EEA2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7" w:fontKey="{82364CE0-E1E5-4046-A610-E918DDD3A7F0}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8" w:fontKey="{7D786F67-3140-403D-9751-6147F1F0D1C3}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9" w:fontKey="{7DA76B4E-9807-4523-A20C-8DF4CCEF0773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0" w:fontKey="{8127F57E-714B-4E63-870C-AC5B0E63EF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0723712"/>
    <w:rsid w:val="113741D2"/>
    <w:rsid w:val="18330BA7"/>
    <w:rsid w:val="1D34261E"/>
    <w:rsid w:val="3CFF70E0"/>
    <w:rsid w:val="42A05423"/>
    <w:rsid w:val="4C433C79"/>
    <w:rsid w:val="527E074E"/>
    <w:rsid w:val="56393C72"/>
    <w:rsid w:val="579503FF"/>
    <w:rsid w:val="5E35793B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4798</Words>
  <Characters>5031</Characters>
  <Lines>68</Lines>
  <Paragraphs>19</Paragraphs>
  <TotalTime>2</TotalTime>
  <ScaleCrop>false</ScaleCrop>
  <LinksUpToDate>false</LinksUpToDate>
  <CharactersWithSpaces>5492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孙瑞</cp:lastModifiedBy>
  <cp:lastPrinted>2022-02-15T15:45:00Z</cp:lastPrinted>
  <dcterms:modified xsi:type="dcterms:W3CDTF">2026-03-17T03:30:18Z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eyJoZGlkIjoiZGI0NWQ1ZmE4OWYzMjk0ZTkzNDBiODAxZTkzMjRhMDIiLCJ1c2VySWQiOiIzNjU1NDQ1NzIifQ==</vt:lpwstr>
  </property>
</Properties>
</file>