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EF9682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3EFBFDA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2806C952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BC24CFC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王咀子乡人民政府</w:t>
      </w:r>
    </w:p>
    <w:p w14:paraId="7CB3FBE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202</w:t>
      </w:r>
      <w:r>
        <w:rPr>
          <w:rFonts w:ascii="宋体" w:hAnsi="宋体" w:cs="宋体"/>
          <w:b/>
          <w:bCs/>
          <w:kern w:val="0"/>
          <w:sz w:val="44"/>
          <w:szCs w:val="44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年部门/单位预算公开情况说明 </w:t>
      </w:r>
    </w:p>
    <w:p w14:paraId="1710FEB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04D3B1CC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77CA2114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2E15388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470127F2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0732E62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5CE0E1DC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第二部分 202</w:t>
      </w:r>
      <w:r>
        <w:rPr>
          <w:rFonts w:ascii="仿宋_GB2312" w:hAnsi="仿宋" w:eastAsia="仿宋_GB2312"/>
          <w:b/>
          <w:color w:val="000000"/>
          <w:sz w:val="30"/>
          <w:szCs w:val="30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243B0CF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三、收支总体情况</w:t>
      </w:r>
    </w:p>
    <w:p w14:paraId="5D1D38F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四、一般公共预算情况</w:t>
      </w:r>
    </w:p>
    <w:p w14:paraId="331923D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五、一般公共预算财政拨款“三公”经费、培训费、会议费等情况</w:t>
      </w:r>
    </w:p>
    <w:p w14:paraId="5FE22D9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六、一般公共预算财政拨款机关运行经费情况</w:t>
      </w:r>
    </w:p>
    <w:p w14:paraId="7053265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七、政府采购安排情况</w:t>
      </w:r>
    </w:p>
    <w:p w14:paraId="5E34F51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八、国有资产占用情况</w:t>
      </w:r>
    </w:p>
    <w:p w14:paraId="026B0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九、其他重要事项情况说明</w:t>
      </w:r>
    </w:p>
    <w:p w14:paraId="22ABA45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十、预算绩效管理情况</w:t>
      </w:r>
    </w:p>
    <w:p w14:paraId="62E03CF8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十一、名词解释</w:t>
      </w:r>
    </w:p>
    <w:p w14:paraId="3063921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第三部分 202</w:t>
      </w:r>
      <w:r>
        <w:rPr>
          <w:rFonts w:ascii="仿宋_GB2312" w:hAnsi="仿宋" w:eastAsia="仿宋_GB2312"/>
          <w:b/>
          <w:color w:val="000000"/>
          <w:sz w:val="30"/>
          <w:szCs w:val="30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91D39C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163DBA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375E210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76F0AFB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2CA3592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451F367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5C74517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76F1DC0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3BDF7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39100CA8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1697B828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77ADB11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2AFCF60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2C1FB93B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266EC7FD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27AACFA2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25B7C8FB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甘肃省人民政府办公厅关于进一步推进预算公开工作的实施方案》要求，现将202</w:t>
      </w:r>
      <w:r>
        <w:rPr>
          <w:rFonts w:ascii="仿宋_GB2312" w:hAnsi="仿宋" w:eastAsia="仿宋_GB2312" w:cs="宋体"/>
          <w:kern w:val="0"/>
          <w:sz w:val="32"/>
          <w:szCs w:val="32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855C285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</w:p>
    <w:p w14:paraId="40CE1FF2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1.贯彻执行党的路线、方针、政策和国家法律法规，贯彻执行上级行政机关的决议、命令及镇党委的决定，执行乡人民代表大会的决议；</w:t>
      </w:r>
    </w:p>
    <w:p w14:paraId="6FF25033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2.对乡人民代表大会及其主席团和县政府负责并报告工作；</w:t>
      </w:r>
    </w:p>
    <w:p w14:paraId="7EEE4CF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3.编制和执行乡国民经济和社会发展计划，编制并执行财政预算；</w:t>
      </w:r>
    </w:p>
    <w:p w14:paraId="43918A4E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4.管理经济和各项社会事业的行政工作；</w:t>
      </w:r>
    </w:p>
    <w:p w14:paraId="2C1070B1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5.负责乡行政执法工作，维护社会秩序，保护公民人身、民主、财产等合法权利，保护各种经济组织的合法权益；</w:t>
      </w:r>
    </w:p>
    <w:p w14:paraId="0923ED23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6.支持和帮助村民委员会工作；</w:t>
      </w:r>
    </w:p>
    <w:p w14:paraId="0AAEC59B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7.法律规定的其他职责。</w:t>
      </w:r>
    </w:p>
    <w:p w14:paraId="6E3D88D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0B89C43C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5105185D">
      <w:pPr>
        <w:spacing w:line="52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王咀子乡人民政府内设4个党政机构（1.党政综合办公室负责乡党委、人大、政府日常工作和组织人事机构编制工作；2.党建办公室负责乡机关党务、纪检和党风廉政建设、宣传工作；3、经济发展和社会事务办公室负责经济发展规划的制定和落实，第一、二、三产业的指导、管理工作；4、平安法治办公室负责治安防控体系建设、平安创建活动工作，负责网格化管理、网络信息技术平台建设、维护网格化综合管理的事务性、辅助性工作，承担人民来信来访、司法、人民调解、治安联防、协调政法综治、群防群治、安全创建等工作，宣传贯彻安全生产有关法律、法规、政策；协助做好安全生产（含消防安全）综合监管和打非治违、禁毒、反邪教等工作。并设置3个事业机构，分别为农业服务中心负责宣传贯彻农业农村相关法律、法规、政策、农业技术推广应用与指导，动植物病虫害、疫情的监测与防治，农产品质量监管服务；党群服务中心负责为群众提供公共服务，宣传贯彻相关政策方针，劳动就业、残疾人事业和基本养老、医疗、工伤、失业等社会保险相关事务性工作，办理本级和经授权行使的相关行政审批服务、证照办理、信息咨询、非涉密文件查询等工作，窗口工作人员的服务评价和绩效考核工作；综合执法队负责依据相关法律法规，统一承担辖区范围内综合行政执法的工作；根据县直有关部门委托，集中行使乡村集镇管理、自然资源、生态环境保护、水利、交通运输、安全生产（含消防安全）、社会保障、农业、林业草原、文化旅游等领域的行政监督权和相对集中的行政处罚权；负责执法信息报送；配合上级执法部门开展联合执法、专项执法等工作。</w:t>
      </w:r>
    </w:p>
    <w:p w14:paraId="6815F0C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172C9AA7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按照预算管理有关规定，202</w:t>
      </w:r>
      <w:r>
        <w:rPr>
          <w:rFonts w:ascii="仿宋_GB2312" w:hAnsi="仿宋" w:eastAsia="仿宋_GB2312" w:cs="宋体"/>
          <w:kern w:val="0"/>
          <w:sz w:val="32"/>
          <w:szCs w:val="32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5C466B6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202</w:t>
      </w:r>
      <w:r>
        <w:rPr>
          <w:rFonts w:ascii="仿宋_GB2312" w:hAnsi="仿宋" w:eastAsia="仿宋_GB2312" w:cs="宋体"/>
          <w:kern w:val="0"/>
          <w:sz w:val="32"/>
          <w:szCs w:val="32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869万元。按照综合预算的原则，部门（单位）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4A0C6A42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1AA24E2A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ascii="仿宋_GB2312" w:hAnsi="仿宋" w:eastAsia="仿宋_GB2312"/>
          <w:sz w:val="32"/>
          <w:szCs w:val="32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869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04408277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869</w:t>
      </w:r>
      <w:r>
        <w:rPr>
          <w:rFonts w:hint="eastAsia" w:ascii="仿宋_GB2312" w:hAnsi="仿宋" w:eastAsia="仿宋_GB2312"/>
          <w:sz w:val="32"/>
          <w:szCs w:val="32"/>
        </w:rPr>
        <w:t>万元，占100%；</w:t>
      </w:r>
    </w:p>
    <w:p w14:paraId="4EFD07EF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政府性基金预算收入0万元，占0%；</w:t>
      </w:r>
    </w:p>
    <w:p w14:paraId="7C4B1A84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上年结转收入0万元，占0%；</w:t>
      </w:r>
    </w:p>
    <w:p w14:paraId="2107E5A9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其他收入 0万元，占0%。</w:t>
      </w:r>
    </w:p>
    <w:p w14:paraId="4210DB2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0E6A334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ascii="仿宋_GB2312" w:hAnsi="仿宋" w:eastAsia="仿宋_GB2312"/>
          <w:sz w:val="32"/>
          <w:szCs w:val="32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 xml:space="preserve">年支出预算 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869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0"/>
          <w:rFonts w:hint="default" w:hAnsi="仿宋"/>
        </w:rPr>
        <w:t>其中：基本支出</w:t>
      </w:r>
      <w:r>
        <w:rPr>
          <w:rStyle w:val="21"/>
          <w:rFonts w:hint="eastAsia" w:ascii="仿宋_GB2312" w:hAnsi="仿宋" w:eastAsia="仿宋_GB2312"/>
        </w:rPr>
        <w:t xml:space="preserve"> 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856.58</w:t>
      </w:r>
      <w:r>
        <w:rPr>
          <w:rStyle w:val="20"/>
          <w:rFonts w:hint="default" w:hAnsi="仿宋"/>
        </w:rPr>
        <w:t>万元，占</w:t>
      </w:r>
      <w:r>
        <w:rPr>
          <w:rStyle w:val="21"/>
          <w:rFonts w:hint="eastAsia" w:ascii="仿宋_GB2312" w:hAnsi="仿宋" w:eastAsia="仿宋_GB2312"/>
        </w:rPr>
        <w:t>98.57%</w:t>
      </w:r>
      <w:r>
        <w:rPr>
          <w:rStyle w:val="20"/>
          <w:rFonts w:hint="default" w:hAnsi="仿宋"/>
        </w:rPr>
        <w:t xml:space="preserve">；项目支出 </w:t>
      </w:r>
      <w:r>
        <w:rPr>
          <w:rStyle w:val="21"/>
          <w:rFonts w:hint="eastAsia" w:ascii="仿宋_GB2312" w:hAnsi="仿宋" w:eastAsia="仿宋_GB2312"/>
        </w:rPr>
        <w:t xml:space="preserve">12 </w:t>
      </w:r>
      <w:r>
        <w:rPr>
          <w:rStyle w:val="20"/>
          <w:rFonts w:hint="default" w:hAnsi="仿宋"/>
        </w:rPr>
        <w:t>万元，占</w:t>
      </w:r>
      <w:r>
        <w:rPr>
          <w:rStyle w:val="21"/>
          <w:rFonts w:hint="eastAsia" w:ascii="仿宋_GB2312" w:hAnsi="仿宋" w:eastAsia="仿宋_GB2312"/>
        </w:rPr>
        <w:t xml:space="preserve"> 1.38 %</w:t>
      </w:r>
      <w:r>
        <w:rPr>
          <w:rStyle w:val="20"/>
          <w:rFonts w:hint="default" w:hAnsi="仿宋"/>
        </w:rPr>
        <w:t>。</w:t>
      </w:r>
    </w:p>
    <w:p w14:paraId="1DEE3996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16FA4E24">
      <w:pPr>
        <w:widowControl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ascii="仿宋_GB2312" w:hAnsi="仿宋" w:eastAsia="仿宋_GB2312"/>
          <w:sz w:val="32"/>
          <w:szCs w:val="32"/>
        </w:rPr>
        <w:t>6年一般公共预算当年支出</w:t>
      </w:r>
      <w:r>
        <w:rPr>
          <w:rFonts w:hint="eastAsia" w:ascii="仿宋_GB2312" w:hAnsi="仿宋" w:eastAsia="仿宋_GB2312"/>
          <w:sz w:val="32"/>
          <w:szCs w:val="32"/>
        </w:rPr>
        <w:t xml:space="preserve"> 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869</w:t>
      </w:r>
      <w:r>
        <w:rPr>
          <w:rFonts w:ascii="仿宋_GB2312" w:hAnsi="仿宋" w:eastAsia="仿宋_GB2312"/>
          <w:sz w:val="32"/>
          <w:szCs w:val="32"/>
        </w:rPr>
        <w:t>万元，包括：农林水支</w:t>
      </w:r>
    </w:p>
    <w:p w14:paraId="2CDCA3F8">
      <w:pPr>
        <w:widowControl/>
        <w:spacing w:line="640" w:lineRule="exact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出</w:t>
      </w:r>
      <w:r>
        <w:rPr>
          <w:rFonts w:hint="eastAsia" w:ascii="仿宋_GB2312" w:hAnsi="仿宋" w:eastAsia="仿宋_GB2312"/>
          <w:sz w:val="32"/>
          <w:szCs w:val="32"/>
        </w:rPr>
        <w:t>652.77</w:t>
      </w:r>
      <w:r>
        <w:rPr>
          <w:rStyle w:val="20"/>
          <w:rFonts w:hint="default" w:hAnsi="仿宋_GB2312" w:cs="仿宋_GB2312"/>
        </w:rPr>
        <w:t>元、</w:t>
      </w:r>
      <w:r>
        <w:rPr>
          <w:rStyle w:val="20"/>
          <w:rFonts w:hint="default" w:hAnsi="仿宋"/>
        </w:rPr>
        <w:t>卫生健康支出</w:t>
      </w:r>
      <w:r>
        <w:rPr>
          <w:rStyle w:val="20"/>
          <w:rFonts w:hAnsi="仿宋"/>
        </w:rPr>
        <w:t>39.26</w:t>
      </w:r>
      <w:r>
        <w:rPr>
          <w:rStyle w:val="20"/>
          <w:rFonts w:hint="default" w:hAnsi="仿宋"/>
        </w:rPr>
        <w:t>万元，社会保障和就业支出</w:t>
      </w:r>
      <w:r>
        <w:rPr>
          <w:rStyle w:val="21"/>
          <w:rFonts w:hint="eastAsia" w:ascii="仿宋_GB2312" w:hAnsi="仿宋_GB2312" w:eastAsia="仿宋_GB2312" w:cs="仿宋_GB2312"/>
        </w:rPr>
        <w:t>119.28</w:t>
      </w:r>
      <w:r>
        <w:rPr>
          <w:rStyle w:val="20"/>
          <w:rFonts w:hint="default" w:hAnsi="仿宋_GB2312" w:cs="仿宋_GB2312"/>
        </w:rPr>
        <w:t>万元、住房保障支出</w:t>
      </w:r>
      <w:r>
        <w:rPr>
          <w:rStyle w:val="20"/>
          <w:rFonts w:hAnsi="仿宋_GB2312" w:cs="仿宋_GB2312"/>
        </w:rPr>
        <w:t>57.28</w:t>
      </w:r>
      <w:r>
        <w:rPr>
          <w:rStyle w:val="20"/>
          <w:rFonts w:hint="default" w:hAnsi="仿宋_GB2312" w:cs="仿宋_GB2312"/>
        </w:rPr>
        <w:t>万元</w:t>
      </w:r>
      <w:r>
        <w:rPr>
          <w:rStyle w:val="20"/>
          <w:rFonts w:hint="default" w:hAnsi="仿宋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2ED1A71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66C880D4">
      <w:pPr>
        <w:widowControl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ascii="仿宋_GB2312" w:hAnsi="仿宋" w:eastAsia="仿宋_GB2312"/>
          <w:sz w:val="32"/>
          <w:szCs w:val="32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 856.58万元，比202</w:t>
      </w:r>
      <w:r>
        <w:rPr>
          <w:rFonts w:ascii="仿宋_GB2312" w:hAnsi="仿宋" w:eastAsia="仿宋_GB2312"/>
          <w:sz w:val="32"/>
          <w:szCs w:val="32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color w:val="0000FF"/>
          <w:sz w:val="32"/>
          <w:szCs w:val="32"/>
        </w:rPr>
        <w:t>95.96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color w:val="0000FF"/>
          <w:sz w:val="32"/>
          <w:szCs w:val="32"/>
        </w:rPr>
        <w:t>12.61</w:t>
      </w:r>
      <w:r>
        <w:rPr>
          <w:rFonts w:hint="eastAsia" w:ascii="仿宋_GB2312" w:hAnsi="仿宋" w:eastAsia="仿宋_GB2312"/>
          <w:sz w:val="32"/>
          <w:szCs w:val="32"/>
        </w:rPr>
        <w:t>%，增长的主要原因是人员变动。</w:t>
      </w:r>
    </w:p>
    <w:p w14:paraId="008D3A03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770.35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助学金、奖励金、个人农业生产补贴、代缴社会保险费 、其他对个人和家庭的补助等。</w:t>
      </w:r>
    </w:p>
    <w:p w14:paraId="6B5E384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 86.33 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 w14:paraId="373B79F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0AFEB65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ascii="仿宋_GB2312" w:hAnsi="仿宋" w:eastAsia="仿宋_GB2312"/>
          <w:sz w:val="32"/>
          <w:szCs w:val="32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年一般公共预算财政拨款项目支出预算12万元，比202</w:t>
      </w:r>
      <w:r>
        <w:rPr>
          <w:rFonts w:ascii="仿宋_GB2312" w:hAnsi="仿宋" w:eastAsia="仿宋_GB2312"/>
          <w:sz w:val="32"/>
          <w:szCs w:val="32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年预算增加12万元，增长的主要原因是项目增加。</w:t>
      </w:r>
    </w:p>
    <w:p w14:paraId="05D7518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部门专项 1 个，主要是项目村级公益性共享共管基金。</w:t>
      </w:r>
    </w:p>
    <w:p w14:paraId="0A623A6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5D0DECB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250E74B6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“三公”经费预算2.423万元，较2025年预算无变化。</w:t>
      </w:r>
    </w:p>
    <w:p w14:paraId="7F73241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1.公务接待费 0.1 万元，较2025年预算无变化。</w:t>
      </w:r>
    </w:p>
    <w:p w14:paraId="4ACDFDE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2.公务用车购置及运行维护费 2.32万元（其中：公务用车购置    0万元，公务用车运行维护费 2.32万元），较2025年预算无变化。</w:t>
      </w:r>
    </w:p>
    <w:p w14:paraId="0E28283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2E1076F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3.培训费0万元。</w:t>
      </w:r>
    </w:p>
    <w:p w14:paraId="31FF0D4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7CE95E9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机关运行经费47.837 万元，较2025年预算减少0.493 万元，下降47.34 %，下降的主要原因是压缩办公支出。</w:t>
      </w:r>
      <w:bookmarkStart w:id="0" w:name="_GoBack"/>
      <w:bookmarkEnd w:id="0"/>
    </w:p>
    <w:p w14:paraId="4A52F166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auto"/>
          <w:kern w:val="0"/>
          <w:sz w:val="32"/>
          <w:szCs w:val="32"/>
        </w:rPr>
        <w:t>七、政府采购安排情况</w:t>
      </w:r>
    </w:p>
    <w:p w14:paraId="4A47765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2025</w:t>
      </w:r>
      <w:r>
        <w:rPr>
          <w:rFonts w:hint="eastAsia" w:ascii="仿宋_GB2312" w:hAnsi="仿宋" w:eastAsia="仿宋_GB2312"/>
          <w:sz w:val="32"/>
          <w:szCs w:val="32"/>
        </w:rPr>
        <w:t>年，部门（单位）政府采购预算总额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16.54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2.54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7B810BE6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1E2F146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55.14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2550.83</w:t>
      </w:r>
      <w:r>
        <w:rPr>
          <w:rFonts w:hint="eastAsia" w:ascii="仿宋_GB2312" w:hAnsi="仿宋" w:eastAsia="仿宋_GB2312"/>
          <w:sz w:val="32"/>
          <w:szCs w:val="32"/>
        </w:rPr>
        <w:t>平方米，价值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58.34</w:t>
      </w:r>
      <w:r>
        <w:rPr>
          <w:rFonts w:hint="eastAsia" w:ascii="仿宋_GB2312" w:hAnsi="仿宋" w:eastAsia="仿宋_GB2312"/>
          <w:sz w:val="32"/>
          <w:szCs w:val="32"/>
        </w:rPr>
        <w:t>万元。预算单位共有公务用车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2.86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309FA688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1AE12076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4C7BA80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未安排预算，政府性基金预算支出情况表为空表。</w:t>
      </w:r>
    </w:p>
    <w:p w14:paraId="198C098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2D73306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本部门/单位2026年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300728B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48F539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本部门/单位年初预算未安排项目支出，无重点项目说明。</w:t>
      </w:r>
    </w:p>
    <w:p w14:paraId="3C85B6F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4540A51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未安排预算，部门/单位管理转移支付表为空表。</w:t>
      </w:r>
    </w:p>
    <w:p w14:paraId="6D12ED0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7C65418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5CE8AFFA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2A52906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（一）2025年预算绩效管理工作情况。</w:t>
      </w:r>
    </w:p>
    <w:p w14:paraId="1AC951D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399D1A1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</w:rPr>
        <w:t>2025年度，按照“谁申请资金，谁设置目标”的原则，纳入部门预算管理的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   个，按规定随年度预算一并公开项目1 个，公开率为 100%。</w:t>
      </w:r>
    </w:p>
    <w:p w14:paraId="39FAFBCE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</w:rPr>
        <w:t>2025年7月，组织开展1-6月绩效运行监控项目 1个，占本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项目的 100%。截至7月底，如期完成预算执行和绩效目标指标值的项目1 个，完成率为100%。““双监控”发现存在的问题和主要原因是：填报绩效目标设置过于宏观，具体的量化指标不足，提现绩效目标的实现程度较为模糊。开展1-9月绩效运行监控项目1个，占本部门（单位）项目的100%。截至10月底，如期完成预算执行和绩效目标指标值的项目1个，完成率为100%。“双监控”发现存在的问题和主要原因是：绩效运行监控报表填报不规范，无法监控绩效目标的实现程度。</w:t>
      </w:r>
    </w:p>
    <w:p w14:paraId="4332CDC4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个，其中，部门（单位）整体支出1个，项目支出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转移支付项目0个，绩效自评覆盖率为100 %。绩效自评结果随部门决算报送财政和随决算公开情况：根据年初设定的绩效目标，绩效自评得分为91分。绩效目标完成情况：一是按时全面完成全年工作任务；二是质量指标：经费使用合规，实际实施中符合政策且支出规范；三是成本指标：降低机关运行成本；四是满意度指标：绩效目标受益群体或服务对象满意度大于95%。自评结果均达到设定的绩效目标，取得良好的社会效益。</w:t>
      </w:r>
    </w:p>
    <w:p w14:paraId="16C2763F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根据2025年度绩效运行监控、绩效自评等情况，当年盘活财政资金 0 万元，2026年度增加（减少）部门预算项目0 个。同时对政策和项目资金管理作出调整的 0 个。</w:t>
      </w:r>
    </w:p>
    <w:p w14:paraId="0E889C2E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（二）2026年绩效目标编制情况</w:t>
      </w:r>
    </w:p>
    <w:p w14:paraId="573ED2E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2026年，纳入部门/单位预算绩效目标管理的项目 1个。其中，部门整体支出绩效目标围绕部门管理、履职效果、能力建设三个维度，设置二级指标3 个、三级指标 15个。</w:t>
      </w:r>
    </w:p>
    <w:p w14:paraId="5CC90AEA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53EC979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59C7FD5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432FED88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3AC86C98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187615B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736DBFA3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2B701B6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70314A68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2BD1D63B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325F3B18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62E5FF9F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</w:rPr>
        <w:t>王咀子乡人民政府</w:t>
      </w:r>
    </w:p>
    <w:p w14:paraId="776DC566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</w:rPr>
        <w:t>2026年 3 月13日</w:t>
      </w:r>
    </w:p>
    <w:p w14:paraId="6FA18A7C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4F8DADB2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1.华池县王咀子乡人民政府 2026年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49DB00B1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华池县王咀子乡人民政府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2026年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3F6C1FAD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E4F4D5">
    <w:pPr>
      <w:pStyle w:val="5"/>
      <w:jc w:val="center"/>
    </w:pPr>
  </w:p>
  <w:p w14:paraId="2487726C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13F0A2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7</w:t>
    </w:r>
    <w:r>
      <w:fldChar w:fldCharType="end"/>
    </w:r>
  </w:p>
  <w:p w14:paraId="0A9E2521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3F43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517F2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031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0595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0ACC69B4"/>
    <w:rsid w:val="113741D2"/>
    <w:rsid w:val="17237E42"/>
    <w:rsid w:val="180133F2"/>
    <w:rsid w:val="18330BA7"/>
    <w:rsid w:val="1D34261E"/>
    <w:rsid w:val="1D675652"/>
    <w:rsid w:val="39B333ED"/>
    <w:rsid w:val="42A05423"/>
    <w:rsid w:val="437E33A1"/>
    <w:rsid w:val="4C433C79"/>
    <w:rsid w:val="5016142E"/>
    <w:rsid w:val="50E45781"/>
    <w:rsid w:val="527E074E"/>
    <w:rsid w:val="55D342C0"/>
    <w:rsid w:val="56393C72"/>
    <w:rsid w:val="579503FF"/>
    <w:rsid w:val="5E7E312C"/>
    <w:rsid w:val="60535296"/>
    <w:rsid w:val="72FD2525"/>
    <w:rsid w:val="78106856"/>
    <w:rsid w:val="7A462A03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autoRedefine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autoRedefine/>
    <w:qFormat/>
    <w:uiPriority w:val="0"/>
    <w:rPr>
      <w:b/>
      <w:bCs/>
    </w:rPr>
  </w:style>
  <w:style w:type="character" w:styleId="10">
    <w:name w:val="line number"/>
    <w:autoRedefine/>
    <w:qFormat/>
    <w:uiPriority w:val="0"/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autoRedefine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标题1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beijing</Company>
  <Pages>11</Pages>
  <Words>4439</Words>
  <Characters>4706</Characters>
  <Lines>34</Lines>
  <Paragraphs>9</Paragraphs>
  <TotalTime>0</TotalTime>
  <ScaleCrop>false</ScaleCrop>
  <LinksUpToDate>false</LinksUpToDate>
  <CharactersWithSpaces>4779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WPS_1718760788</cp:lastModifiedBy>
  <cp:lastPrinted>2022-02-15T15:45:00Z</cp:lastPrinted>
  <dcterms:modified xsi:type="dcterms:W3CDTF">2026-03-16T03:07:20Z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99701EE8549B436BBEBC017D1ECCBB97_13</vt:lpwstr>
  </property>
  <property fmtid="{D5CDD505-2E9C-101B-9397-08002B2CF9AE}" pid="4" name="KSOTemplateDocerSaveRecord">
    <vt:lpwstr>eyJoZGlkIjoiODUyZGUwNmI2MTc1YTM0ODRlYjU2NWIyYzRmNmM2ZDIiLCJ1c2VySWQiOiIxNjA5MzI1NDQ1In0=</vt:lpwstr>
  </property>
</Properties>
</file>