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D173358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华池县自然资源局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31BDEFC">
      <w:pPr>
        <w:spacing w:before="100" w:after="100"/>
        <w:ind w:firstLine="600" w:firstLineChars="200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  <w:lang w:val="en-US" w:eastAsia="zh-CN"/>
        </w:rPr>
        <w:t>根据县委办发（2019）13号中共华池县委办公室 华池县人民政府办公室关于印发《华池县机构改革方案》的通知文件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精神，县国土资源局主要履行土地资源、矿产资源的规划、管理、保护、合理开发利用及测绘行业的管理等工作职能。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4B34B8FD">
      <w:pPr>
        <w:pStyle w:val="8"/>
        <w:shd w:val="clear" w:color="auto" w:fill="FFFFFF"/>
        <w:spacing w:before="0" w:beforeAutospacing="0" w:after="0" w:afterAutospacing="0" w:line="560" w:lineRule="exact"/>
        <w:ind w:firstLine="600" w:firstLineChars="200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纳入202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年预算编制范围的是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  <w:lang w:val="en-US" w:eastAsia="zh-CN"/>
        </w:rPr>
        <w:t>华池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县自然资源局部门本级，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包括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个职能股室，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个二级事业单位和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个基层自然资源管理所。局机关内设办公室、财务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、政策法规股、耕地保护监督股等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个职能股室，下辖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华池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县不动产登记中心、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华池县草原监理站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个二级事业单位和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个基层自然资源管理所。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026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年度，我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单位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共有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编制83名，其中：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行政编制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14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名，事业编制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69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。财政供养总人数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98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人，其中：在职人员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98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038E8F1B">
      <w:pPr>
        <w:spacing w:line="600" w:lineRule="exact"/>
        <w:ind w:firstLine="640" w:firstLineChars="200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本单位下属有2个参照公务员管理二级单位，包括华池县退耕还林（草）办公室、</w:t>
      </w:r>
    </w:p>
    <w:p w14:paraId="6F8AA4F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A18BC42">
      <w:pPr>
        <w:spacing w:line="600" w:lineRule="exact"/>
        <w:ind w:firstLine="640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本单位下属有13个事业单位，包括华池县林业草原综合事务中心、华池县公益林补偿工作管理办公室、华池县林草资源管护中心、华池县不动产登记事务中心、华池县自然资源调查中心、华池县地质环境监测站、华池县土地开发储备中心、华池县土地开发整理中心、华池县柔远自然资源所、华池县悦乐自然资源所、华池县五蛟自然资源所、华池县元城自然资源所、华池县山庄自然资源所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2878.19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2878.19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2878.19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    万元，占XX.XX%；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    万元，占XX.XX%；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    万元，占XX.XX%。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2878.19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2"/>
          <w:rFonts w:hint="default" w:hAnsi="仿宋"/>
        </w:rPr>
        <w:t>其中：基本支出</w:t>
      </w:r>
      <w:r>
        <w:rPr>
          <w:rStyle w:val="23"/>
          <w:rFonts w:hint="eastAsia" w:ascii="仿宋_GB2312" w:hAnsi="仿宋" w:eastAsia="仿宋_GB2312"/>
          <w:lang w:val="en-US" w:eastAsia="zh-CN"/>
        </w:rPr>
        <w:t>1649.62</w:t>
      </w:r>
      <w:r>
        <w:rPr>
          <w:rStyle w:val="22"/>
          <w:rFonts w:hint="default" w:hAnsi="仿宋"/>
        </w:rPr>
        <w:t>万元， 占</w:t>
      </w:r>
      <w:r>
        <w:rPr>
          <w:rStyle w:val="22"/>
          <w:rFonts w:hint="eastAsia" w:hAnsi="仿宋" w:eastAsia="仿宋_GB2312"/>
          <w:lang w:val="en-US" w:eastAsia="zh-CN"/>
        </w:rPr>
        <w:t>57.31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项目支出</w:t>
      </w:r>
      <w:r>
        <w:rPr>
          <w:rStyle w:val="22"/>
          <w:rFonts w:hint="eastAsia" w:hAnsi="仿宋" w:eastAsia="仿宋_GB2312"/>
          <w:lang w:val="en-US" w:eastAsia="zh-CN"/>
        </w:rPr>
        <w:t>1228.57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42.69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上年结转</w:t>
      </w:r>
      <w:r>
        <w:rPr>
          <w:rStyle w:val="23"/>
          <w:rFonts w:hint="eastAsia" w:ascii="仿宋_GB2312" w:hAnsi="仿宋" w:eastAsia="仿宋_GB2312"/>
        </w:rPr>
        <w:t xml:space="preserve">    </w:t>
      </w:r>
      <w:r>
        <w:rPr>
          <w:rStyle w:val="22"/>
          <w:rFonts w:hint="default" w:hAnsi="仿宋"/>
        </w:rPr>
        <w:t>万元， 占</w:t>
      </w:r>
      <w:r>
        <w:rPr>
          <w:rStyle w:val="23"/>
          <w:rFonts w:hint="eastAsia" w:ascii="仿宋_GB2312" w:hAnsi="仿宋" w:eastAsia="仿宋_GB2312"/>
        </w:rPr>
        <w:t xml:space="preserve">   %</w:t>
      </w:r>
      <w:r>
        <w:rPr>
          <w:rStyle w:val="22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3"/>
          <w:rFonts w:hint="eastAsia" w:ascii="仿宋_GB2312" w:hAnsi="仿宋" w:eastAsia="仿宋_GB2312"/>
          <w:lang w:eastAsia="zh-CN"/>
        </w:rPr>
        <w:t>202</w:t>
      </w:r>
      <w:r>
        <w:rPr>
          <w:rStyle w:val="23"/>
          <w:rFonts w:hint="default" w:ascii="仿宋_GB2312" w:hAnsi="仿宋" w:eastAsia="仿宋_GB2312"/>
          <w:lang w:val="en-US" w:eastAsia="zh-CN"/>
        </w:rPr>
        <w:t>6</w:t>
      </w:r>
      <w:r>
        <w:rPr>
          <w:rStyle w:val="22"/>
          <w:rFonts w:hint="default" w:hAnsi="仿宋"/>
        </w:rPr>
        <w:t>年一般公共预算当年支出</w:t>
      </w:r>
      <w:r>
        <w:rPr>
          <w:rStyle w:val="23"/>
          <w:rFonts w:hint="eastAsia" w:ascii="仿宋_GB2312" w:hAnsi="仿宋" w:eastAsia="仿宋_GB2312"/>
          <w:lang w:val="en-US" w:eastAsia="zh-CN"/>
        </w:rPr>
        <w:t>2878.19</w:t>
      </w:r>
      <w:r>
        <w:rPr>
          <w:rStyle w:val="22"/>
          <w:rFonts w:hint="default" w:hAnsi="仿宋"/>
        </w:rPr>
        <w:t>万元，包括：一般公共服务支出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万元、公共安全支出</w:t>
      </w:r>
      <w:r>
        <w:rPr>
          <w:rStyle w:val="23"/>
          <w:rFonts w:hint="eastAsia" w:ascii="仿宋_GB2312" w:hAnsi="仿宋" w:eastAsia="仿宋_GB2312"/>
        </w:rPr>
        <w:t xml:space="preserve">  </w:t>
      </w:r>
      <w:r>
        <w:rPr>
          <w:rStyle w:val="22"/>
          <w:rFonts w:hint="default" w:hAnsi="仿宋"/>
        </w:rPr>
        <w:t>万元、教育支出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万元、科学技术支出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万元、社会保障和就业支出</w:t>
      </w:r>
      <w:r>
        <w:rPr>
          <w:rStyle w:val="23"/>
          <w:rFonts w:hint="eastAsia" w:ascii="仿宋_GB2312" w:hAnsi="仿宋" w:eastAsia="仿宋_GB2312"/>
          <w:lang w:val="en-US" w:eastAsia="zh-CN"/>
        </w:rPr>
        <w:t>250.11</w:t>
      </w:r>
      <w:r>
        <w:rPr>
          <w:rStyle w:val="22"/>
          <w:rFonts w:hint="default" w:hAnsi="仿宋"/>
        </w:rPr>
        <w:t>万元、卫生健康支出</w:t>
      </w:r>
      <w:r>
        <w:rPr>
          <w:rStyle w:val="22"/>
          <w:rFonts w:hint="eastAsia" w:hAnsi="仿宋" w:eastAsia="仿宋_GB2312"/>
          <w:lang w:val="en-US" w:eastAsia="zh-CN"/>
        </w:rPr>
        <w:t>82.8万元、农林水支出496.49万元、自然资源海洋气象等支出1931.73万元、住房保障支出114.98万元、灾害防治及应急管理支出2.08万元、</w:t>
      </w:r>
      <w:r>
        <w:rPr>
          <w:rStyle w:val="22"/>
          <w:rFonts w:hint="default" w:hAnsi="仿宋"/>
        </w:rPr>
        <w:t>其他支出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1649.62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84.84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5.14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人员经费增加，职工社会保险增加。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1550.75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98.73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1228.57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52.74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本年度项目安排增加。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    个，主要主要是项目1、项目2、项目3……。</w:t>
      </w:r>
    </w:p>
    <w:p w14:paraId="6F5722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个，主要是主要是森林保险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13.56万元</w:t>
      </w:r>
      <w:r>
        <w:rPr>
          <w:rFonts w:hint="eastAsia" w:ascii="仿宋_GB2312" w:hAnsi="仿宋" w:eastAsia="仿宋_GB2312"/>
          <w:sz w:val="32"/>
          <w:szCs w:val="32"/>
        </w:rPr>
        <w:t>、生态护林员保险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19.93万元</w:t>
      </w:r>
      <w:r>
        <w:rPr>
          <w:rFonts w:hint="eastAsia" w:ascii="仿宋_GB2312" w:hAnsi="仿宋" w:eastAsia="仿宋_GB2312"/>
          <w:sz w:val="32"/>
          <w:szCs w:val="32"/>
        </w:rPr>
        <w:t>、生态及地质灾害避险搬迁项目贷款贴息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个，主要是地质灾害隐患点监测经费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2.08万元</w:t>
      </w:r>
      <w:r>
        <w:rPr>
          <w:rFonts w:hint="eastAsia" w:ascii="仿宋_GB2312" w:hAnsi="仿宋" w:eastAsia="仿宋_GB2312"/>
          <w:sz w:val="32"/>
          <w:szCs w:val="32"/>
        </w:rPr>
        <w:t>、自然资源统一确权登记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50万元</w:t>
      </w:r>
      <w:r>
        <w:rPr>
          <w:rFonts w:hint="eastAsia" w:ascii="仿宋_GB2312" w:hAnsi="仿宋" w:eastAsia="仿宋_GB2312"/>
          <w:sz w:val="32"/>
          <w:szCs w:val="32"/>
        </w:rPr>
        <w:t>、义务植树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万元、华池县国土空间等相关规划编制200万元、华池县自然资源局2026年自然资源事务，测绘、评估、林草监测等业务费用300万元、亚行贷款丝绸之路沿线地区生态治理与保护项目华池子项目150万元、2025年甘肃省庆阳市“三北”工程林草湿荒一体化保护修复项目华池县中幼林抚育、退化林修复100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37D01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250.11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27.84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职工保险基数增加。</w:t>
      </w:r>
    </w:p>
    <w:p w14:paraId="704354C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82.8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6.56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职工保险基数增加。</w:t>
      </w:r>
    </w:p>
    <w:p w14:paraId="7AF1C4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3.自然资源海洋气象等支出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1931.71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2421.17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预算项目增加。</w:t>
      </w:r>
    </w:p>
    <w:p w14:paraId="0FE00CE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4、住房保障支出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114.98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8.25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人员工资增加。</w:t>
      </w:r>
    </w:p>
    <w:p w14:paraId="156CBF95">
      <w:pPr>
        <w:pStyle w:val="2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5.农林水支出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496.49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448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预算项目增加。</w:t>
      </w:r>
    </w:p>
    <w:p w14:paraId="205AF879">
      <w:pPr>
        <w:pStyle w:val="2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6.灾害防治及应急管理支出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2.08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预算项目无变化。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公务接待减少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    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0C1AA7BE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64.67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31.34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32.7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公用经费支出减少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1940.9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1940.9</w:t>
      </w:r>
      <w:r>
        <w:rPr>
          <w:rFonts w:hint="eastAsia" w:ascii="仿宋_GB2312" w:hAnsi="仿宋" w:eastAsia="仿宋_GB2312"/>
          <w:sz w:val="32"/>
          <w:szCs w:val="32"/>
        </w:rPr>
        <w:t>万元，政府采购工程预算    万元，政府采购服务预算  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1910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2350.52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11284.96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1576.99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39.14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     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    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7905B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年使用政府性基金预算拨款安排支出  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 万元，增长（下降）    %。</w:t>
      </w:r>
    </w:p>
    <w:p w14:paraId="1924DC8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1．交通运输支出（ 类） 民航发展基金支出（ 款） 民航安全（ 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 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   万元，主要原因是……。</w:t>
      </w:r>
    </w:p>
    <w:p w14:paraId="5B6FFB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……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说明:如果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年未安排政府性基金预算支出，请写成“未安排预算，政府性基金预算支出情况表为空表。”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AE6C9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年本部门/单位涉及非税收入，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年计划征收    万元。其中：中央（省级）批准设立   个，主要是   费、  费……，分别计划征收   万元、  万元……。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年无非税收入，请写成“本部门/单位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6B2374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</w:p>
    <w:p w14:paraId="3208073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</w:p>
    <w:p w14:paraId="4A3CDD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bookmarkStart w:id="0" w:name="_GoBack"/>
      <w:bookmarkEnd w:id="0"/>
    </w:p>
    <w:p w14:paraId="4926F7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</w:p>
    <w:p w14:paraId="4AB689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</w:p>
    <w:p w14:paraId="75155F7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</w:p>
    <w:p w14:paraId="7B870A6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</w:p>
    <w:p w14:paraId="472FB6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说明：如果本部门没有一般公共预算的项目支出预算，则写“本部门/单位年初预算未安排项目支出，无重点项目说明。”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1B8A0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年，部门管理转移支付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5F0DA0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（有转移支付时使用）</w:t>
      </w:r>
    </w:p>
    <w:p w14:paraId="3E9B6DF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1.一般性转移支付   万元，具体项目有：</w:t>
      </w:r>
    </w:p>
    <w:p w14:paraId="4ADBF1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(1)项目1    万元；</w:t>
      </w:r>
    </w:p>
    <w:p w14:paraId="79629C8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(2)项目2    万元；</w:t>
      </w:r>
    </w:p>
    <w:p w14:paraId="4F1B5AE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(3)项目3    万元</w:t>
      </w:r>
    </w:p>
    <w:p w14:paraId="2F8BEB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4295EA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2.专项转移支付    万元，具体项目有：</w:t>
      </w:r>
    </w:p>
    <w:p w14:paraId="3DB02A8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(1)项目1    万元；</w:t>
      </w:r>
    </w:p>
    <w:p w14:paraId="53DAC3D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(2)项目2    万元；</w:t>
      </w:r>
    </w:p>
    <w:p w14:paraId="0650AC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(3)项目3    万元</w:t>
      </w:r>
    </w:p>
    <w:p w14:paraId="4EBFD3F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5F8FC5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3.政府性基金转移支付    万元，具体项目有：</w:t>
      </w:r>
    </w:p>
    <w:p w14:paraId="7CC201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(1)项目1    万元；</w:t>
      </w:r>
    </w:p>
    <w:p w14:paraId="16EE098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(2)项目2    万元；</w:t>
      </w:r>
    </w:p>
    <w:p w14:paraId="38AECB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(3)项目3    万元</w:t>
      </w:r>
    </w:p>
    <w:p w14:paraId="7714681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备注: 如果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年无部门/单位管理转移支付，请写成“未安排预算，部门/单位管理转移支付表为空表。”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5FC3794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年使用国有资本经营预算拨款安排支出  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万元，增长（下降）  %。</w:t>
      </w:r>
    </w:p>
    <w:p w14:paraId="2B31899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1.国有资本经营预算支出（ 类）解决历史遗留问题及改革成本支出（ 款）国有企业改革成本支出（项）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  万元，主要原因是……。</w:t>
      </w:r>
    </w:p>
    <w:p w14:paraId="2B41ADE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……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备注：1.分科目到项级进行说明，请参考一般公共预算和政府性基金的要求。2.如果 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sz w:val="32"/>
          <w:szCs w:val="32"/>
        </w:rPr>
        <w:t>年未安排国有资本经营预算支出，请写成“未安排预算，国有资本经营预算支出情况表为空表。”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   个，公开率为    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月绩效运行监控项目  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   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   个，完成率为    %。“双监控”发现存在的问题和主要原因是：……(需自行完善编辑)。开展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月绩效运行监控项目   个，占本部门（单位）项目的    %。截至10月底，如期完成预算执行和绩效目标指标值的项目   个，完成率为    %。“双监控”发现存在的问题和主要原因是：……。绩效运行监控在部门内部通报整改情况：……(需自行完善编辑)。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   个，其中，部门（单位）整体支出   个，项目支出   个，转移支付项目   个，绩效自评覆盖率为    %。绩效自评结果随部门决算报送财政和随决算公开情况：┄┄(需自行完善编辑)。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 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   个，增长率/压减率   %。同时对政策和项目资金管理作出调整的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   个。其中，部门整体支出绩效目标围绕部门管理、履职效果、能力建设三个维度，设置二级指标   个、三级指标   个；项目支出绩效目标围绕成本指标、产出指标、效益指标、满意度指标四个维度，设置二级指标   个、三级指标   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××部门/单位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年  月 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647ECA"/>
    <w:rsid w:val="02E03DF9"/>
    <w:rsid w:val="04732647"/>
    <w:rsid w:val="06FC0676"/>
    <w:rsid w:val="0D580A46"/>
    <w:rsid w:val="113741D2"/>
    <w:rsid w:val="18330BA7"/>
    <w:rsid w:val="1BB13D28"/>
    <w:rsid w:val="1D34261E"/>
    <w:rsid w:val="329B2BE5"/>
    <w:rsid w:val="36DF7544"/>
    <w:rsid w:val="381D6186"/>
    <w:rsid w:val="42A05423"/>
    <w:rsid w:val="45EA5721"/>
    <w:rsid w:val="4B46773A"/>
    <w:rsid w:val="4C433C79"/>
    <w:rsid w:val="527E074E"/>
    <w:rsid w:val="56393C72"/>
    <w:rsid w:val="574978B0"/>
    <w:rsid w:val="579503FF"/>
    <w:rsid w:val="59B10DAF"/>
    <w:rsid w:val="5D9F2949"/>
    <w:rsid w:val="60535296"/>
    <w:rsid w:val="67786A75"/>
    <w:rsid w:val="72FD2525"/>
    <w:rsid w:val="74033B6B"/>
    <w:rsid w:val="76E71522"/>
    <w:rsid w:val="78106856"/>
    <w:rsid w:val="7FBF303C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99"/>
    <w:pPr>
      <w:spacing w:after="120" w:line="480" w:lineRule="auto"/>
      <w:ind w:left="420" w:leftChars="200"/>
    </w:pPr>
    <w:rPr>
      <w:szCs w:val="24"/>
    </w:rPr>
  </w:style>
  <w:style w:type="paragraph" w:styleId="4">
    <w:name w:val="annotation text"/>
    <w:basedOn w:val="1"/>
    <w:link w:val="20"/>
    <w:autoRedefine/>
    <w:qFormat/>
    <w:uiPriority w:val="0"/>
    <w:pPr>
      <w:jc w:val="left"/>
    </w:p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4"/>
    <w:next w:val="4"/>
    <w:link w:val="21"/>
    <w:autoRedefine/>
    <w:qFormat/>
    <w:uiPriority w:val="0"/>
    <w:rPr>
      <w:b/>
      <w:bCs/>
    </w:rPr>
  </w:style>
  <w:style w:type="character" w:styleId="12">
    <w:name w:val="line number"/>
    <w:autoRedefine/>
    <w:qFormat/>
    <w:uiPriority w:val="0"/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页脚 Char"/>
    <w:link w:val="6"/>
    <w:qFormat/>
    <w:uiPriority w:val="0"/>
    <w:rPr>
      <w:sz w:val="18"/>
      <w:szCs w:val="18"/>
    </w:rPr>
  </w:style>
  <w:style w:type="character" w:customStyle="1" w:styleId="15">
    <w:name w:val="页眉 Char"/>
    <w:link w:val="7"/>
    <w:autoRedefine/>
    <w:qFormat/>
    <w:uiPriority w:val="0"/>
    <w:rPr>
      <w:sz w:val="18"/>
      <w:szCs w:val="18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3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9">
    <w:name w:val="TOC Heading"/>
    <w:basedOn w:val="3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0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21">
    <w:name w:val="批注主题 Char"/>
    <w:link w:val="9"/>
    <w:qFormat/>
    <w:uiPriority w:val="0"/>
    <w:rPr>
      <w:b/>
      <w:bCs/>
      <w:kern w:val="2"/>
      <w:sz w:val="21"/>
      <w:szCs w:val="22"/>
    </w:rPr>
  </w:style>
  <w:style w:type="character" w:customStyle="1" w:styleId="22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15</Pages>
  <Words>1829</Words>
  <Characters>1912</Characters>
  <Lines>68</Lines>
  <Paragraphs>19</Paragraphs>
  <TotalTime>15</TotalTime>
  <ScaleCrop>false</ScaleCrop>
  <LinksUpToDate>false</LinksUpToDate>
  <CharactersWithSpaces>2053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田晓霞</cp:lastModifiedBy>
  <cp:lastPrinted>2022-02-15T15:45:00Z</cp:lastPrinted>
  <dcterms:modified xsi:type="dcterms:W3CDTF">2026-03-06T02:51:30Z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eyJoZGlkIjoiMGE4NjY5OTQ1MDk5ZDc3ZWFkN2JkMTQ2NDZiY2ZkZWYiLCJ1c2VySWQiOiI3MDQ1OTg0NjMifQ==</vt:lpwstr>
  </property>
</Properties>
</file>