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D8B6B5">
      <w:pPr>
        <w:spacing w:line="660" w:lineRule="exact"/>
        <w:jc w:val="both"/>
        <w:rPr>
          <w:rFonts w:hint="default" w:ascii="宋体" w:hAnsi="宋体" w:eastAsia="宋体" w:cs="宋体"/>
          <w:b/>
          <w:bCs/>
          <w:kern w:val="0"/>
          <w:sz w:val="44"/>
          <w:szCs w:val="44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  <w:t xml:space="preserve"> </w:t>
      </w:r>
    </w:p>
    <w:p w14:paraId="0065D36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AF7918B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325A6F10">
      <w:pPr>
        <w:spacing w:line="660" w:lineRule="exact"/>
        <w:jc w:val="center"/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华池县社区卫生服务中心</w:t>
      </w:r>
    </w:p>
    <w:p w14:paraId="67ACC143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  <w:sectPr>
          <w:footerReference r:id="rId3" w:type="default"/>
          <w:pgSz w:w="11906" w:h="16838"/>
          <w:pgMar w:top="1134" w:right="1134" w:bottom="1440" w:left="1276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202</w:t>
      </w:r>
      <w:r>
        <w:rPr>
          <w:rFonts w:hint="default" w:ascii="宋体" w:hAnsi="宋体" w:cs="宋体"/>
          <w:b/>
          <w:bCs/>
          <w:kern w:val="0"/>
          <w:sz w:val="44"/>
          <w:szCs w:val="44"/>
          <w:lang w:val="en-US" w:eastAsia="zh-CN"/>
        </w:rPr>
        <w:t>6</w:t>
      </w:r>
      <w:r>
        <w:rPr>
          <w:rFonts w:hint="eastAsia" w:ascii="宋体" w:hAnsi="宋体" w:cs="宋体"/>
          <w:b/>
          <w:bCs/>
          <w:kern w:val="0"/>
          <w:sz w:val="44"/>
          <w:szCs w:val="44"/>
        </w:rPr>
        <w:t xml:space="preserve">年部门/单位预算公开情况说明 </w:t>
      </w:r>
    </w:p>
    <w:p w14:paraId="2329893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目  录</w:t>
      </w:r>
    </w:p>
    <w:p w14:paraId="404A4908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81C7286">
      <w:pPr>
        <w:spacing w:line="30" w:lineRule="exact"/>
        <w:jc w:val="center"/>
        <w:rPr>
          <w:rFonts w:ascii="黑体" w:eastAsia="黑体"/>
          <w:color w:val="000000"/>
          <w:sz w:val="18"/>
          <w:szCs w:val="18"/>
        </w:rPr>
      </w:pPr>
    </w:p>
    <w:p w14:paraId="53002029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第一部分 部门/单位基本概况</w:t>
      </w:r>
    </w:p>
    <w:p w14:paraId="70C024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一、部门/单位职责</w:t>
      </w:r>
    </w:p>
    <w:p w14:paraId="4D83AF2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二、机构设置情况</w:t>
      </w:r>
    </w:p>
    <w:p w14:paraId="433351F8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第二部分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年部门/单位预算情况说明</w:t>
      </w:r>
    </w:p>
    <w:p w14:paraId="44EBD67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三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、收支总体情况</w:t>
      </w:r>
    </w:p>
    <w:p w14:paraId="0BB73FF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四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、一般公共预算情况</w:t>
      </w:r>
    </w:p>
    <w:p w14:paraId="4A12B8C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五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、一般公共预算财政拨款“三公”经费、培训费、会议费等情况</w:t>
      </w:r>
    </w:p>
    <w:p w14:paraId="435BC81C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六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、一般公共预算财政拨款机关运行经费情况</w:t>
      </w:r>
    </w:p>
    <w:p w14:paraId="2F88CE3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七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、政府采购安排情况</w:t>
      </w:r>
    </w:p>
    <w:p w14:paraId="5046C44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八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、国有资产占用情况</w:t>
      </w:r>
    </w:p>
    <w:p w14:paraId="6D55E2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九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、其他重要事项情况说明</w:t>
      </w:r>
    </w:p>
    <w:p w14:paraId="171C4917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、预算绩效管理情况</w:t>
      </w:r>
    </w:p>
    <w:p w14:paraId="7042C3D9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十一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、名词解释</w:t>
      </w:r>
    </w:p>
    <w:p w14:paraId="734FD345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第三部分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年部门（单位）预算公开表</w:t>
      </w:r>
    </w:p>
    <w:p w14:paraId="3FD2078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一、部门/单位收支总体情况表</w:t>
      </w:r>
    </w:p>
    <w:p w14:paraId="72142C8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二、部门/单位收入总体情况表</w:t>
      </w:r>
    </w:p>
    <w:p w14:paraId="45966E8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三、部门/单位支出总体情况表</w:t>
      </w:r>
    </w:p>
    <w:p w14:paraId="675B820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四、财政拨款收支总体情况表</w:t>
      </w:r>
    </w:p>
    <w:p w14:paraId="7622165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五、财政拨款支出表</w:t>
      </w:r>
    </w:p>
    <w:p w14:paraId="6361183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六、一般公共预算支出情况表</w:t>
      </w:r>
    </w:p>
    <w:p w14:paraId="600E529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七、一般公共预算基本支出情况表</w:t>
      </w:r>
    </w:p>
    <w:p w14:paraId="5189B486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pacing w:val="-2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八、</w:t>
      </w:r>
      <w:r>
        <w:rPr>
          <w:rFonts w:hint="eastAsia" w:ascii="仿宋_GB2312" w:hAnsi="仿宋" w:eastAsia="仿宋_GB2312"/>
          <w:color w:val="000000"/>
          <w:spacing w:val="-20"/>
          <w:sz w:val="30"/>
          <w:szCs w:val="30"/>
        </w:rPr>
        <w:t>一般公共预算财政拨款“三公”经费、会议费、培训费支出情况表</w:t>
      </w:r>
    </w:p>
    <w:p w14:paraId="4B121EF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九、一般公共预算财政拨款机关运行经费表</w:t>
      </w:r>
    </w:p>
    <w:p w14:paraId="031FDB5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十、政府性基金预算支出情况表</w:t>
      </w:r>
    </w:p>
    <w:p w14:paraId="5FFFCFA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十一、部门管理转移支付表</w:t>
      </w:r>
    </w:p>
    <w:p w14:paraId="505BB7C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十二、国有资本经营预算支出情况表</w:t>
      </w:r>
    </w:p>
    <w:p w14:paraId="4129F3F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十三、部门/单位整体支出绩效目标表和项目支出绩效目标表</w:t>
      </w:r>
    </w:p>
    <w:p w14:paraId="7F85859C">
      <w:pPr>
        <w:spacing w:line="660" w:lineRule="exact"/>
        <w:jc w:val="center"/>
        <w:rPr>
          <w:rFonts w:ascii="仿宋_GB2312" w:hAnsi="宋体" w:eastAsia="仿宋_GB2312" w:cs="宋体"/>
          <w:b/>
          <w:bCs/>
          <w:kern w:val="0"/>
          <w:sz w:val="44"/>
          <w:szCs w:val="44"/>
        </w:rPr>
      </w:pPr>
    </w:p>
    <w:p w14:paraId="6DBFCF8A">
      <w:pPr>
        <w:spacing w:line="600" w:lineRule="exact"/>
        <w:ind w:firstLine="562" w:firstLineChars="200"/>
        <w:rPr>
          <w:rFonts w:ascii="仿宋_GB2312" w:hAnsi="仿宋" w:eastAsia="仿宋_GB2312" w:cs="宋体"/>
          <w:b/>
          <w:kern w:val="0"/>
          <w:sz w:val="28"/>
          <w:szCs w:val="28"/>
        </w:rPr>
        <w:sectPr>
          <w:footerReference r:id="rId4" w:type="default"/>
          <w:pgSz w:w="11906" w:h="16838"/>
          <w:pgMar w:top="1134" w:right="1134" w:bottom="1440" w:left="1276" w:header="851" w:footer="992" w:gutter="0"/>
          <w:pgNumType w:start="1"/>
          <w:cols w:space="720" w:num="1"/>
          <w:docGrid w:type="lines" w:linePitch="312" w:charSpace="0"/>
        </w:sectPr>
      </w:pPr>
    </w:p>
    <w:p w14:paraId="0D987C83">
      <w:pPr>
        <w:spacing w:line="600" w:lineRule="exact"/>
        <w:ind w:firstLine="643" w:firstLineChars="200"/>
        <w:rPr>
          <w:rFonts w:ascii="仿宋_GB2312" w:hAnsi="黑体" w:eastAsia="仿宋_GB2312" w:cs="宋体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黑体" w:eastAsia="仿宋_GB2312" w:cs="宋体"/>
          <w:b/>
          <w:color w:val="auto"/>
          <w:kern w:val="0"/>
          <w:sz w:val="32"/>
          <w:szCs w:val="32"/>
          <w:highlight w:val="none"/>
        </w:rPr>
        <w:t>前言</w:t>
      </w:r>
    </w:p>
    <w:p w14:paraId="7174F13B">
      <w:pPr>
        <w:spacing w:line="600" w:lineRule="exact"/>
        <w:ind w:firstLine="640" w:firstLineChars="200"/>
        <w:rPr>
          <w:rFonts w:ascii="仿宋_GB2312" w:hAnsi="仿宋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" w:eastAsia="仿宋_GB2312" w:cs="宋体"/>
          <w:color w:val="auto"/>
          <w:kern w:val="0"/>
          <w:sz w:val="32"/>
          <w:szCs w:val="32"/>
          <w:highlight w:val="none"/>
        </w:rPr>
        <w:t>按照《中华人民共和国预算法》《中华人民共和国预算法实施条例》以及</w:t>
      </w:r>
      <w:r>
        <w:rPr>
          <w:rFonts w:ascii="仿宋_GB2312" w:hAnsi="仿宋" w:eastAsia="仿宋_GB2312" w:cs="宋体"/>
          <w:color w:val="auto"/>
          <w:kern w:val="0"/>
          <w:sz w:val="32"/>
          <w:szCs w:val="32"/>
          <w:highlight w:val="none"/>
        </w:rPr>
        <w:t>财政部</w:t>
      </w:r>
      <w:r>
        <w:rPr>
          <w:rFonts w:hint="eastAsia" w:ascii="仿宋_GB2312" w:hAnsi="仿宋" w:eastAsia="仿宋_GB2312" w:cs="宋体"/>
          <w:color w:val="auto"/>
          <w:kern w:val="0"/>
          <w:sz w:val="32"/>
          <w:szCs w:val="32"/>
          <w:highlight w:val="none"/>
        </w:rPr>
        <w:t>《地方预决算公开操作规程》《关于推进部门所属单位预算公开的指导意见》和《中共甘肃省委办公厅 甘肃省人民政府办公厅关于进一步推进预算公开工作的实施方案》要求，现将202</w:t>
      </w:r>
      <w:r>
        <w:rPr>
          <w:rFonts w:hint="eastAsia" w:ascii="仿宋_GB2312" w:hAnsi="仿宋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" w:eastAsia="仿宋_GB2312" w:cs="宋体"/>
          <w:color w:val="auto"/>
          <w:kern w:val="0"/>
          <w:sz w:val="32"/>
          <w:szCs w:val="32"/>
          <w:highlight w:val="none"/>
        </w:rPr>
        <w:t>年部门预算公开如下：</w:t>
      </w:r>
    </w:p>
    <w:p w14:paraId="6B6E7BC2">
      <w:pPr>
        <w:spacing w:line="600" w:lineRule="exact"/>
        <w:ind w:firstLine="640" w:firstLineChars="200"/>
        <w:rPr>
          <w:rFonts w:ascii="黑体" w:hAnsi="黑体" w:eastAsia="黑体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宋体"/>
          <w:color w:val="auto"/>
          <w:kern w:val="0"/>
          <w:sz w:val="32"/>
          <w:szCs w:val="32"/>
          <w:highlight w:val="none"/>
        </w:rPr>
        <w:t>一、</w:t>
      </w:r>
      <w:r>
        <w:rPr>
          <w:rFonts w:hint="eastAsia" w:ascii="黑体" w:hAnsi="黑体" w:eastAsia="黑体" w:cs="宋体"/>
          <w:color w:val="auto"/>
          <w:kern w:val="0"/>
          <w:sz w:val="32"/>
          <w:szCs w:val="32"/>
          <w:highlight w:val="none"/>
          <w:lang w:eastAsia="zh-CN"/>
        </w:rPr>
        <w:t>单位</w:t>
      </w:r>
      <w:r>
        <w:rPr>
          <w:rFonts w:hint="eastAsia" w:ascii="黑体" w:hAnsi="黑体" w:eastAsia="黑体" w:cs="宋体"/>
          <w:color w:val="auto"/>
          <w:kern w:val="0"/>
          <w:sz w:val="32"/>
          <w:szCs w:val="32"/>
          <w:highlight w:val="none"/>
        </w:rPr>
        <w:t>职责</w:t>
      </w:r>
    </w:p>
    <w:p w14:paraId="4394ABBE">
      <w:pPr>
        <w:spacing w:line="600" w:lineRule="exact"/>
        <w:ind w:firstLine="640" w:firstLineChars="200"/>
        <w:rPr>
          <w:rFonts w:hint="eastAsia" w:ascii="仿宋_GB2312" w:hAnsi="仿宋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" w:eastAsia="仿宋_GB2312" w:cs="宋体"/>
          <w:color w:val="auto"/>
          <w:kern w:val="0"/>
          <w:sz w:val="32"/>
          <w:szCs w:val="32"/>
          <w:highlight w:val="none"/>
        </w:rPr>
        <w:t>华池县</w:t>
      </w:r>
      <w:r>
        <w:rPr>
          <w:rFonts w:hint="eastAsia" w:ascii="仿宋_GB2312" w:hAnsi="仿宋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社区卫生服务中心</w:t>
      </w:r>
      <w:r>
        <w:rPr>
          <w:rFonts w:hint="eastAsia" w:ascii="仿宋_GB2312" w:hAnsi="仿宋" w:eastAsia="仿宋_GB2312" w:cs="宋体"/>
          <w:color w:val="auto"/>
          <w:kern w:val="0"/>
          <w:sz w:val="32"/>
          <w:szCs w:val="32"/>
          <w:highlight w:val="none"/>
        </w:rPr>
        <w:t>是以公共卫生服务为主，综合提供预防、保健和基本医疗等服务等工作的职能部门。主要职责是承担本镇辖区各项医疗卫生服务和公共卫生服务。</w:t>
      </w:r>
    </w:p>
    <w:p w14:paraId="73716DA6">
      <w:pPr>
        <w:spacing w:line="600" w:lineRule="exact"/>
        <w:ind w:firstLine="640" w:firstLineChars="200"/>
        <w:rPr>
          <w:rFonts w:hint="eastAsia" w:ascii="仿宋_GB2312" w:hAnsi="仿宋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" w:eastAsia="仿宋_GB2312" w:cs="宋体"/>
          <w:color w:val="auto"/>
          <w:kern w:val="0"/>
          <w:sz w:val="32"/>
          <w:szCs w:val="32"/>
          <w:highlight w:val="none"/>
        </w:rPr>
        <w:t>一、提供基本医疗服务</w:t>
      </w:r>
    </w:p>
    <w:p w14:paraId="01C7AD0D">
      <w:pPr>
        <w:spacing w:line="600" w:lineRule="exact"/>
        <w:ind w:firstLine="640" w:firstLineChars="200"/>
        <w:rPr>
          <w:rFonts w:hint="eastAsia" w:ascii="仿宋_GB2312" w:hAnsi="仿宋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" w:eastAsia="仿宋_GB2312" w:cs="宋体"/>
          <w:color w:val="auto"/>
          <w:kern w:val="0"/>
          <w:sz w:val="32"/>
          <w:szCs w:val="32"/>
          <w:highlight w:val="none"/>
        </w:rPr>
        <w:t xml:space="preserve">1、开展内、外、中医等各科常见病、多发病的诊疗；  </w:t>
      </w:r>
    </w:p>
    <w:p w14:paraId="1FB5DC9D">
      <w:pPr>
        <w:spacing w:line="600" w:lineRule="exact"/>
        <w:ind w:firstLine="640" w:firstLineChars="200"/>
        <w:rPr>
          <w:rFonts w:hint="eastAsia" w:ascii="仿宋_GB2312" w:hAnsi="仿宋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hAnsi="仿宋" w:eastAsia="仿宋_GB2312" w:cs="宋体"/>
          <w:color w:val="auto"/>
          <w:kern w:val="0"/>
          <w:sz w:val="32"/>
          <w:szCs w:val="32"/>
          <w:highlight w:val="none"/>
        </w:rPr>
        <w:t>、提供政府卫生行政部门批准的其他医疗服务。</w:t>
      </w:r>
    </w:p>
    <w:p w14:paraId="7A6C2214">
      <w:pPr>
        <w:spacing w:line="600" w:lineRule="exact"/>
        <w:ind w:firstLine="640" w:firstLineChars="200"/>
        <w:rPr>
          <w:rFonts w:hint="eastAsia" w:ascii="仿宋_GB2312" w:hAnsi="仿宋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" w:eastAsia="仿宋_GB2312" w:cs="宋体"/>
          <w:color w:val="auto"/>
          <w:kern w:val="0"/>
          <w:sz w:val="32"/>
          <w:szCs w:val="32"/>
          <w:highlight w:val="none"/>
          <w:lang w:eastAsia="zh-CN"/>
        </w:rPr>
        <w:t>二、</w:t>
      </w:r>
      <w:r>
        <w:rPr>
          <w:rFonts w:hint="eastAsia" w:ascii="仿宋_GB2312" w:hAnsi="仿宋" w:eastAsia="仿宋_GB2312" w:cs="宋体"/>
          <w:color w:val="auto"/>
          <w:kern w:val="0"/>
          <w:sz w:val="32"/>
          <w:szCs w:val="32"/>
          <w:highlight w:val="none"/>
        </w:rPr>
        <w:t>提供公共卫生服务</w:t>
      </w:r>
    </w:p>
    <w:p w14:paraId="555A5BB6">
      <w:pPr>
        <w:spacing w:line="600" w:lineRule="exact"/>
        <w:ind w:firstLine="640" w:firstLineChars="200"/>
        <w:rPr>
          <w:rFonts w:hint="eastAsia" w:ascii="仿宋_GB2312" w:hAnsi="仿宋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" w:eastAsia="仿宋_GB2312" w:cs="宋体"/>
          <w:color w:val="auto"/>
          <w:kern w:val="0"/>
          <w:sz w:val="32"/>
          <w:szCs w:val="32"/>
          <w:highlight w:val="none"/>
        </w:rPr>
        <w:t xml:space="preserve">1、承担着本乡居民的十四项基本公共卫生服务工作（如健康档案的管理，爱国卫生工作，预防接种，孕产妇保健，65岁及以上老年人、传染病、高血压、糖尿病、精神病等重点人群管理及随访等）；                                                     </w:t>
      </w:r>
    </w:p>
    <w:p w14:paraId="3361D7A7">
      <w:pPr>
        <w:spacing w:line="600" w:lineRule="exact"/>
        <w:ind w:left="638" w:leftChars="304" w:firstLine="0" w:firstLineChars="0"/>
        <w:rPr>
          <w:rFonts w:hint="eastAsia" w:ascii="仿宋_GB2312" w:hAnsi="仿宋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" w:eastAsia="仿宋_GB2312" w:cs="宋体"/>
          <w:color w:val="auto"/>
          <w:kern w:val="0"/>
          <w:sz w:val="32"/>
          <w:szCs w:val="32"/>
          <w:highlight w:val="none"/>
        </w:rPr>
        <w:t xml:space="preserve">2、负责辖区内突发公共卫生事件的报告并协助处理；                                                      3、做好卫生行政部门规定的其他公共卫生服务；                                                                 </w:t>
      </w:r>
    </w:p>
    <w:p w14:paraId="433F297A">
      <w:pPr>
        <w:spacing w:line="600" w:lineRule="exact"/>
        <w:ind w:firstLine="640" w:firstLineChars="200"/>
        <w:rPr>
          <w:rFonts w:ascii="黑体" w:hAnsi="黑体" w:eastAsia="黑体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宋体"/>
          <w:color w:val="auto"/>
          <w:kern w:val="0"/>
          <w:sz w:val="32"/>
          <w:szCs w:val="32"/>
          <w:highlight w:val="none"/>
        </w:rPr>
        <w:t>二、机构设置情况</w:t>
      </w:r>
    </w:p>
    <w:p w14:paraId="581BED5E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" w:eastAsia="楷体_GB2312" w:cs="宋体"/>
          <w:b/>
          <w:bCs/>
          <w:color w:val="auto"/>
          <w:kern w:val="0"/>
          <w:sz w:val="32"/>
          <w:szCs w:val="32"/>
          <w:highlight w:val="none"/>
        </w:rPr>
        <w:t>（一）机关内设机构</w:t>
      </w:r>
    </w:p>
    <w:p w14:paraId="7BADA1DB">
      <w:pPr>
        <w:spacing w:line="600" w:lineRule="exact"/>
        <w:ind w:firstLine="640" w:firstLineChars="200"/>
        <w:rPr>
          <w:rFonts w:hint="eastAsia" w:ascii="仿宋_GB2312" w:hAnsi="仿宋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1、机构情况：</w:t>
      </w:r>
      <w:r>
        <w:rPr>
          <w:rFonts w:hint="eastAsia" w:ascii="仿宋_GB2312" w:hAnsi="仿宋" w:eastAsia="仿宋_GB2312" w:cs="宋体"/>
          <w:color w:val="auto"/>
          <w:kern w:val="0"/>
          <w:sz w:val="32"/>
          <w:szCs w:val="32"/>
          <w:highlight w:val="none"/>
          <w:lang w:eastAsia="zh-CN"/>
        </w:rPr>
        <w:t>华池</w:t>
      </w:r>
      <w:r>
        <w:rPr>
          <w:rFonts w:hint="eastAsia" w:ascii="仿宋_GB2312" w:hAnsi="仿宋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社区卫生服务中心</w:t>
      </w:r>
      <w:r>
        <w:rPr>
          <w:rFonts w:hint="eastAsia" w:ascii="仿宋_GB2312" w:hAnsi="仿宋" w:eastAsia="仿宋_GB2312" w:cs="宋体"/>
          <w:color w:val="auto"/>
          <w:kern w:val="0"/>
          <w:sz w:val="32"/>
          <w:szCs w:val="32"/>
          <w:highlight w:val="none"/>
          <w:lang w:eastAsia="zh-CN"/>
        </w:rPr>
        <w:t>内设门诊部、药房、心电图室，</w:t>
      </w:r>
      <w:r>
        <w:rPr>
          <w:rFonts w:hint="eastAsia" w:ascii="仿宋_GB2312" w:hAnsi="仿宋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B超室、化验室、公卫科、疫苗接种室、妇幼保健室、儿童保健室、高血压室、糖尿病室、老年人室、中医馆。</w:t>
      </w:r>
    </w:p>
    <w:p w14:paraId="46D23EA7">
      <w:pPr>
        <w:pStyle w:val="4"/>
        <w:rPr>
          <w:rFonts w:hint="default"/>
          <w:color w:val="auto"/>
          <w:highlight w:val="none"/>
          <w:lang w:val="en-US" w:eastAsia="zh-CN"/>
        </w:rPr>
      </w:pPr>
      <w:r>
        <w:rPr>
          <w:rFonts w:hint="eastAsia" w:ascii="仿宋_GB2312" w:hAnsi="仿宋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 xml:space="preserve">    2、人员情况：2025年度。我单位共有编制6人，年末实有人数19人，其中在职14人，退休5人。</w:t>
      </w:r>
    </w:p>
    <w:p w14:paraId="15322B27">
      <w:pPr>
        <w:spacing w:line="600" w:lineRule="exact"/>
        <w:ind w:firstLine="640" w:firstLineChars="200"/>
        <w:rPr>
          <w:rFonts w:ascii="黑体" w:hAnsi="黑体" w:eastAsia="黑体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宋体"/>
          <w:color w:val="auto"/>
          <w:kern w:val="0"/>
          <w:sz w:val="32"/>
          <w:szCs w:val="32"/>
          <w:highlight w:val="none"/>
        </w:rPr>
        <w:t>三、</w:t>
      </w:r>
      <w:r>
        <w:rPr>
          <w:rFonts w:hint="eastAsia" w:ascii="黑体" w:hAnsi="黑体" w:eastAsia="黑体" w:cs="宋体"/>
          <w:color w:val="auto"/>
          <w:kern w:val="0"/>
          <w:sz w:val="32"/>
          <w:szCs w:val="32"/>
          <w:highlight w:val="none"/>
          <w:lang w:eastAsia="zh-CN"/>
        </w:rPr>
        <w:t>单位</w:t>
      </w:r>
      <w:r>
        <w:rPr>
          <w:rFonts w:hint="eastAsia" w:ascii="黑体" w:hAnsi="黑体" w:eastAsia="黑体" w:cs="宋体"/>
          <w:color w:val="auto"/>
          <w:kern w:val="0"/>
          <w:sz w:val="32"/>
          <w:szCs w:val="32"/>
          <w:highlight w:val="none"/>
        </w:rPr>
        <w:t>收支总体情况</w:t>
      </w:r>
    </w:p>
    <w:p w14:paraId="6D0C39AC">
      <w:pPr>
        <w:spacing w:line="600" w:lineRule="exact"/>
        <w:ind w:firstLine="640" w:firstLineChars="200"/>
        <w:rPr>
          <w:rFonts w:ascii="仿宋_GB2312" w:hAnsi="仿宋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" w:eastAsia="仿宋_GB2312" w:cs="宋体"/>
          <w:color w:val="auto"/>
          <w:kern w:val="0"/>
          <w:sz w:val="32"/>
          <w:szCs w:val="32"/>
          <w:highlight w:val="none"/>
        </w:rPr>
        <w:t>按照预算管理有关规定，202</w:t>
      </w:r>
      <w:r>
        <w:rPr>
          <w:rFonts w:hint="eastAsia" w:ascii="仿宋_GB2312" w:hAnsi="仿宋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" w:eastAsia="仿宋_GB2312" w:cs="宋体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" w:eastAsia="仿宋_GB2312" w:cs="宋体"/>
          <w:color w:val="auto"/>
          <w:kern w:val="0"/>
          <w:sz w:val="32"/>
          <w:szCs w:val="32"/>
          <w:highlight w:val="none"/>
          <w:lang w:eastAsia="zh-CN"/>
        </w:rPr>
        <w:t>单位</w:t>
      </w:r>
      <w:r>
        <w:rPr>
          <w:rFonts w:hint="eastAsia" w:ascii="仿宋_GB2312" w:hAnsi="仿宋" w:eastAsia="仿宋_GB2312" w:cs="宋体"/>
          <w:color w:val="auto"/>
          <w:kern w:val="0"/>
          <w:sz w:val="32"/>
          <w:szCs w:val="32"/>
          <w:highlight w:val="none"/>
        </w:rPr>
        <w:t>收支包括机关预算和直属单位预算在内的汇总情况。</w:t>
      </w:r>
    </w:p>
    <w:p w14:paraId="66D799D4">
      <w:pPr>
        <w:spacing w:line="600" w:lineRule="exact"/>
        <w:ind w:firstLine="640" w:firstLineChars="200"/>
        <w:rPr>
          <w:rFonts w:ascii="仿宋_GB2312" w:hAnsi="仿宋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" w:eastAsia="仿宋_GB2312" w:cs="宋体"/>
          <w:color w:val="auto"/>
          <w:kern w:val="0"/>
          <w:sz w:val="32"/>
          <w:szCs w:val="32"/>
          <w:highlight w:val="none"/>
        </w:rPr>
        <w:t>202</w:t>
      </w:r>
      <w:r>
        <w:rPr>
          <w:rFonts w:hint="eastAsia" w:ascii="仿宋_GB2312" w:hAnsi="仿宋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hAnsi="仿宋" w:eastAsia="仿宋_GB2312" w:cs="宋体"/>
          <w:color w:val="auto"/>
          <w:kern w:val="0"/>
          <w:sz w:val="32"/>
          <w:szCs w:val="32"/>
          <w:highlight w:val="none"/>
        </w:rPr>
        <w:t>年部门收支总</w:t>
      </w:r>
      <w:r>
        <w:rPr>
          <w:rFonts w:hint="eastAsia" w:ascii="仿宋_GB2312" w:hAnsi="仿宋" w:eastAsia="仿宋_GB2312" w:cs="宋体"/>
          <w:color w:val="auto"/>
          <w:kern w:val="0"/>
          <w:sz w:val="32"/>
          <w:szCs w:val="32"/>
          <w:highlight w:val="yellow"/>
          <w:lang w:val="en-US" w:eastAsia="zh-CN"/>
        </w:rPr>
        <w:t>226.7</w:t>
      </w:r>
      <w:r>
        <w:rPr>
          <w:rFonts w:hint="eastAsia" w:ascii="仿宋_GB2312" w:hAnsi="仿宋" w:eastAsia="仿宋_GB2312" w:cs="宋体"/>
          <w:color w:val="auto"/>
          <w:kern w:val="0"/>
          <w:sz w:val="32"/>
          <w:szCs w:val="32"/>
          <w:highlight w:val="none"/>
        </w:rPr>
        <w:t>万元。按照综合预算的原则，</w:t>
      </w:r>
      <w:r>
        <w:rPr>
          <w:rFonts w:hint="eastAsia" w:ascii="仿宋_GB2312" w:hAnsi="仿宋" w:eastAsia="仿宋_GB2312" w:cs="宋体"/>
          <w:color w:val="auto"/>
          <w:kern w:val="0"/>
          <w:sz w:val="32"/>
          <w:szCs w:val="32"/>
          <w:highlight w:val="none"/>
          <w:lang w:eastAsia="zh-CN"/>
        </w:rPr>
        <w:t>单</w:t>
      </w:r>
      <w:r>
        <w:rPr>
          <w:rFonts w:hint="eastAsia" w:ascii="仿宋_GB2312" w:hAnsi="仿宋" w:eastAsia="仿宋_GB2312" w:cs="宋体"/>
          <w:color w:val="auto"/>
          <w:kern w:val="0"/>
          <w:sz w:val="32"/>
          <w:szCs w:val="32"/>
          <w:highlight w:val="none"/>
        </w:rPr>
        <w:t>位所有收入和支出均纳入部门预算管理。收入包括：一般公共预算拨款收入、支出包括：社会保障和就业支出、卫生健康支出、住房保障支出、</w:t>
      </w:r>
    </w:p>
    <w:p w14:paraId="41F3B2A8">
      <w:pPr>
        <w:spacing w:line="600" w:lineRule="exact"/>
        <w:ind w:firstLine="643" w:firstLineChars="200"/>
        <w:rPr>
          <w:rFonts w:ascii="楷体_GB2312" w:hAnsi="楷体" w:eastAsia="楷体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" w:eastAsia="楷体_GB2312" w:cs="宋体"/>
          <w:b/>
          <w:bCs/>
          <w:color w:val="auto"/>
          <w:kern w:val="0"/>
          <w:sz w:val="32"/>
          <w:szCs w:val="32"/>
          <w:highlight w:val="none"/>
        </w:rPr>
        <w:t>（一）收入预算</w:t>
      </w:r>
    </w:p>
    <w:p w14:paraId="647AEC3C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202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年收入预算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yellow"/>
          <w:lang w:val="en-US" w:eastAsia="zh-CN"/>
        </w:rPr>
        <w:t>226.7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万元。包括：</w:t>
      </w:r>
    </w:p>
    <w:p w14:paraId="1D350F6D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一般公共预算收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yellow"/>
          <w:lang w:val="en-US" w:eastAsia="zh-CN"/>
        </w:rPr>
        <w:t>226.7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万元，占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100.00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%。</w:t>
      </w:r>
    </w:p>
    <w:p w14:paraId="71C59B3A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" w:eastAsia="楷体_GB2312" w:cs="宋体"/>
          <w:b/>
          <w:bCs/>
          <w:color w:val="auto"/>
          <w:kern w:val="0"/>
          <w:sz w:val="32"/>
          <w:szCs w:val="32"/>
          <w:highlight w:val="none"/>
        </w:rPr>
        <w:t>（二）支出预算</w:t>
      </w:r>
    </w:p>
    <w:p w14:paraId="0B3CBD38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202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年支出预算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yellow"/>
          <w:lang w:val="en-US" w:eastAsia="zh-CN"/>
        </w:rPr>
        <w:t>226.7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万元。</w:t>
      </w:r>
      <w:r>
        <w:rPr>
          <w:rStyle w:val="21"/>
          <w:rFonts w:hint="default" w:hAnsi="仿宋"/>
          <w:color w:val="auto"/>
          <w:highlight w:val="none"/>
        </w:rPr>
        <w:t>其中：基本支出</w:t>
      </w:r>
      <w:r>
        <w:rPr>
          <w:rStyle w:val="21"/>
          <w:rFonts w:hint="eastAsia" w:hAnsi="仿宋" w:eastAsia="仿宋_GB2312"/>
          <w:color w:val="auto"/>
          <w:highlight w:val="yellow"/>
          <w:lang w:val="en-US" w:eastAsia="zh-CN"/>
        </w:rPr>
        <w:t>226.7</w:t>
      </w:r>
      <w:r>
        <w:rPr>
          <w:rStyle w:val="21"/>
          <w:rFonts w:hint="default" w:hAnsi="仿宋"/>
          <w:color w:val="auto"/>
          <w:highlight w:val="none"/>
        </w:rPr>
        <w:t>万元， 占</w:t>
      </w:r>
      <w:r>
        <w:rPr>
          <w:rStyle w:val="21"/>
          <w:rFonts w:hint="eastAsia" w:hAnsi="仿宋" w:eastAsia="仿宋_GB2312"/>
          <w:color w:val="auto"/>
          <w:highlight w:val="none"/>
          <w:lang w:val="en-US" w:eastAsia="zh-CN"/>
        </w:rPr>
        <w:t>100.00</w:t>
      </w:r>
      <w:r>
        <w:rPr>
          <w:rStyle w:val="22"/>
          <w:rFonts w:hint="eastAsia" w:ascii="仿宋_GB2312" w:hAnsi="仿宋" w:eastAsia="仿宋_GB2312"/>
          <w:color w:val="auto"/>
          <w:highlight w:val="none"/>
        </w:rPr>
        <w:t>%</w:t>
      </w:r>
      <w:r>
        <w:rPr>
          <w:rStyle w:val="21"/>
          <w:rFonts w:hint="default" w:hAnsi="仿宋"/>
          <w:color w:val="auto"/>
          <w:highlight w:val="none"/>
        </w:rPr>
        <w:t>。</w:t>
      </w:r>
    </w:p>
    <w:p w14:paraId="56763054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宋体"/>
          <w:color w:val="auto"/>
          <w:kern w:val="0"/>
          <w:sz w:val="32"/>
          <w:szCs w:val="32"/>
          <w:highlight w:val="none"/>
        </w:rPr>
        <w:t>四、一般公共预算情况</w:t>
      </w:r>
    </w:p>
    <w:p w14:paraId="7AE3C652">
      <w:pPr>
        <w:spacing w:line="640" w:lineRule="exact"/>
        <w:ind w:firstLine="640" w:firstLineChars="200"/>
        <w:contextualSpacing/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</w:pPr>
      <w:r>
        <w:rPr>
          <w:rStyle w:val="22"/>
          <w:rFonts w:hint="eastAsia" w:ascii="仿宋_GB2312" w:hAnsi="仿宋" w:eastAsia="仿宋_GB2312"/>
          <w:color w:val="auto"/>
          <w:highlight w:val="none"/>
          <w:lang w:eastAsia="zh-CN"/>
        </w:rPr>
        <w:t>2025</w:t>
      </w:r>
      <w:r>
        <w:rPr>
          <w:rStyle w:val="22"/>
          <w:rFonts w:hint="eastAsia" w:ascii="仿宋_GB2312" w:hAnsi="仿宋" w:eastAsia="仿宋_GB2312"/>
          <w:color w:val="auto"/>
          <w:highlight w:val="none"/>
        </w:rPr>
        <w:t xml:space="preserve"> </w:t>
      </w:r>
      <w:r>
        <w:rPr>
          <w:rStyle w:val="21"/>
          <w:rFonts w:hint="default" w:hAnsi="仿宋"/>
          <w:color w:val="auto"/>
          <w:highlight w:val="none"/>
        </w:rPr>
        <w:t>年一般公共预算当年支出</w:t>
      </w:r>
      <w:r>
        <w:rPr>
          <w:rStyle w:val="22"/>
          <w:rFonts w:hint="eastAsia" w:ascii="仿宋_GB2312" w:hAnsi="仿宋" w:eastAsia="仿宋_GB2312"/>
          <w:color w:val="auto"/>
          <w:highlight w:val="yellow"/>
          <w:lang w:val="en-US" w:eastAsia="zh-CN"/>
        </w:rPr>
        <w:t>226.7</w:t>
      </w:r>
      <w:r>
        <w:rPr>
          <w:rStyle w:val="21"/>
          <w:rFonts w:hint="default" w:hAnsi="仿宋"/>
          <w:color w:val="auto"/>
          <w:highlight w:val="none"/>
        </w:rPr>
        <w:t>万元，包括：社会保障和就业支出</w:t>
      </w:r>
      <w:r>
        <w:rPr>
          <w:rStyle w:val="22"/>
          <w:rFonts w:hint="eastAsia" w:ascii="仿宋_GB2312" w:hAnsi="仿宋" w:eastAsia="仿宋_GB2312"/>
          <w:color w:val="auto"/>
          <w:highlight w:val="yellow"/>
          <w:lang w:val="en-US" w:eastAsia="zh-CN"/>
        </w:rPr>
        <w:t>32.95</w:t>
      </w:r>
      <w:r>
        <w:rPr>
          <w:rStyle w:val="21"/>
          <w:rFonts w:hint="default" w:hAnsi="仿宋"/>
          <w:color w:val="auto"/>
          <w:highlight w:val="none"/>
        </w:rPr>
        <w:t>万元、</w:t>
      </w:r>
      <w:r>
        <w:rPr>
          <w:rStyle w:val="21"/>
          <w:rFonts w:hint="eastAsia" w:hAnsi="仿宋" w:eastAsia="仿宋_GB2312"/>
          <w:color w:val="auto"/>
          <w:highlight w:val="none"/>
          <w:lang w:val="en-US" w:eastAsia="zh-CN"/>
        </w:rPr>
        <w:t>卫生健康</w:t>
      </w:r>
      <w:r>
        <w:rPr>
          <w:rStyle w:val="21"/>
          <w:rFonts w:hint="default" w:hAnsi="仿宋"/>
          <w:color w:val="auto"/>
          <w:highlight w:val="none"/>
        </w:rPr>
        <w:t>支出</w:t>
      </w:r>
      <w:r>
        <w:rPr>
          <w:rStyle w:val="22"/>
          <w:rFonts w:hint="eastAsia" w:ascii="仿宋_GB2312" w:hAnsi="仿宋" w:eastAsia="仿宋_GB2312"/>
          <w:color w:val="auto"/>
          <w:highlight w:val="yellow"/>
          <w:lang w:val="en-US" w:eastAsia="zh-CN"/>
        </w:rPr>
        <w:t>177.99</w:t>
      </w:r>
      <w:r>
        <w:rPr>
          <w:rStyle w:val="21"/>
          <w:rFonts w:hint="default" w:hAnsi="仿宋"/>
          <w:color w:val="auto"/>
          <w:highlight w:val="none"/>
        </w:rPr>
        <w:t>万元、</w:t>
      </w:r>
      <w:r>
        <w:rPr>
          <w:rStyle w:val="21"/>
          <w:rFonts w:hint="eastAsia" w:hAnsi="仿宋" w:eastAsia="仿宋_GB2312"/>
          <w:color w:val="auto"/>
          <w:highlight w:val="none"/>
          <w:lang w:eastAsia="zh-CN"/>
        </w:rPr>
        <w:t>住房保障支出</w:t>
      </w:r>
      <w:r>
        <w:rPr>
          <w:rStyle w:val="21"/>
          <w:rFonts w:hint="eastAsia" w:hAnsi="仿宋" w:eastAsia="仿宋_GB2312"/>
          <w:color w:val="auto"/>
          <w:highlight w:val="none"/>
          <w:lang w:val="en-US" w:eastAsia="zh-CN"/>
        </w:rPr>
        <w:t>15.75万</w:t>
      </w:r>
      <w:r>
        <w:rPr>
          <w:rStyle w:val="21"/>
          <w:rFonts w:hint="default" w:hAnsi="仿宋"/>
          <w:color w:val="auto"/>
          <w:highlight w:val="none"/>
        </w:rPr>
        <w:t>。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具体安排情况如下</w:t>
      </w:r>
      <w:r>
        <w:rPr>
          <w:rFonts w:hint="eastAsia" w:ascii="仿宋_GB2312" w:hAnsi="微软雅黑" w:eastAsia="仿宋_GB2312"/>
          <w:color w:val="auto"/>
          <w:sz w:val="32"/>
          <w:szCs w:val="32"/>
          <w:highlight w:val="none"/>
        </w:rPr>
        <w:t>（详见</w:t>
      </w:r>
      <w:r>
        <w:rPr>
          <w:rFonts w:hint="eastAsia" w:ascii="仿宋_GB2312" w:hAnsi="微软雅黑" w:eastAsia="仿宋_GB2312"/>
          <w:color w:val="auto"/>
          <w:sz w:val="32"/>
          <w:szCs w:val="32"/>
          <w:highlight w:val="none"/>
          <w:lang w:eastAsia="zh-CN"/>
        </w:rPr>
        <w:t>华池县</w:t>
      </w:r>
      <w:r>
        <w:rPr>
          <w:rFonts w:hint="eastAsia" w:ascii="仿宋_GB2312" w:hAnsi="微软雅黑" w:eastAsia="仿宋_GB2312"/>
          <w:color w:val="auto"/>
          <w:sz w:val="32"/>
          <w:szCs w:val="32"/>
          <w:highlight w:val="none"/>
          <w:lang w:val="en-US" w:eastAsia="zh-CN"/>
        </w:rPr>
        <w:t>社区卫生服务中心</w:t>
      </w:r>
      <w:r>
        <w:rPr>
          <w:rFonts w:hint="eastAsia" w:ascii="仿宋_GB2312" w:hAnsi="微软雅黑" w:eastAsia="仿宋_GB2312"/>
          <w:color w:val="auto"/>
          <w:sz w:val="32"/>
          <w:szCs w:val="32"/>
          <w:highlight w:val="none"/>
        </w:rPr>
        <w:t>预算公开表</w:t>
      </w:r>
      <w:r>
        <w:rPr>
          <w:rFonts w:hint="eastAsia" w:ascii="仿宋_GB2312" w:hAnsi="微软雅黑" w:eastAsia="仿宋_GB2312"/>
          <w:color w:val="auto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微软雅黑" w:eastAsia="仿宋_GB2312"/>
          <w:color w:val="auto"/>
          <w:sz w:val="32"/>
          <w:szCs w:val="32"/>
          <w:highlight w:val="none"/>
        </w:rPr>
        <w:t>,7）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：</w:t>
      </w:r>
    </w:p>
    <w:p w14:paraId="46586291">
      <w:pPr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" w:eastAsia="楷体_GB2312" w:cs="宋体"/>
          <w:b/>
          <w:bCs/>
          <w:color w:val="auto"/>
          <w:kern w:val="0"/>
          <w:sz w:val="32"/>
          <w:szCs w:val="32"/>
          <w:highlight w:val="none"/>
        </w:rPr>
        <w:t>（一）基本支出</w:t>
      </w:r>
    </w:p>
    <w:p w14:paraId="475F48D1">
      <w:pPr>
        <w:widowControl/>
        <w:spacing w:line="640" w:lineRule="exact"/>
        <w:ind w:firstLine="640" w:firstLineChars="200"/>
        <w:contextualSpacing/>
        <w:jc w:val="left"/>
        <w:rPr>
          <w:rFonts w:hint="default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年基本支出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yellow"/>
          <w:lang w:val="en-US" w:eastAsia="zh-CN"/>
        </w:rPr>
        <w:t>226.7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万元，比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年预算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增加8.34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万元，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增加了8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%，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增加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的主要原因是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人员变动后支出增加。</w:t>
      </w:r>
    </w:p>
    <w:p w14:paraId="22080CF4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其中：人员经费支出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yellow"/>
          <w:lang w:val="en-US" w:eastAsia="zh-CN"/>
        </w:rPr>
        <w:t>209.99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万元，主要包括：基本工资、津贴补贴、奖金、机关事业单位基本养老保险缴费、职业年金缴费、职工基本医疗保险缴费、其他社会保障缴费、住房公积金。</w:t>
      </w:r>
    </w:p>
    <w:p w14:paraId="5167C9C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公用经费支出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yellow"/>
          <w:lang w:val="en-US" w:eastAsia="zh-CN"/>
        </w:rPr>
        <w:t>16.71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万元，主要包括：工会经费、福利费、其他商品和服务支出。</w:t>
      </w:r>
    </w:p>
    <w:p w14:paraId="06B5DAA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" w:eastAsia="楷体_GB2312" w:cs="宋体"/>
          <w:b/>
          <w:bCs/>
          <w:color w:val="auto"/>
          <w:kern w:val="0"/>
          <w:sz w:val="32"/>
          <w:szCs w:val="32"/>
          <w:highlight w:val="none"/>
        </w:rPr>
        <w:t>（二）项目支出</w:t>
      </w:r>
    </w:p>
    <w:p w14:paraId="3E9AF44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202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年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eastAsia="zh-CN"/>
        </w:rPr>
        <w:t>无项目支出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。</w:t>
      </w:r>
    </w:p>
    <w:p w14:paraId="57281C06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" w:eastAsia="楷体_GB2312" w:cs="宋体"/>
          <w:b/>
          <w:bCs/>
          <w:color w:val="auto"/>
          <w:kern w:val="0"/>
          <w:sz w:val="32"/>
          <w:szCs w:val="32"/>
          <w:highlight w:val="none"/>
        </w:rPr>
        <w:t>（三）支出功能分类说明</w:t>
      </w:r>
    </w:p>
    <w:p w14:paraId="11B3AB8E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TimesNewRomanPS-BoldMT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仿宋_GB2312" w:hAnsi="TimesNewRomanPS-BoldMT" w:eastAsia="仿宋_GB2312"/>
          <w:bCs/>
          <w:color w:val="auto"/>
          <w:sz w:val="32"/>
          <w:szCs w:val="32"/>
          <w:highlight w:val="none"/>
        </w:rPr>
        <w:t>1.社会保障和就业支出202</w:t>
      </w:r>
      <w:r>
        <w:rPr>
          <w:rFonts w:hint="eastAsia" w:ascii="仿宋_GB2312" w:hAnsi="TimesNewRomanPS-BoldMT" w:eastAsia="仿宋_GB2312"/>
          <w:bCs/>
          <w:color w:val="auto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hAnsi="TimesNewRomanPS-BoldMT" w:eastAsia="仿宋_GB2312"/>
          <w:bCs/>
          <w:color w:val="auto"/>
          <w:sz w:val="32"/>
          <w:szCs w:val="32"/>
          <w:highlight w:val="none"/>
        </w:rPr>
        <w:t>年预算数为</w:t>
      </w:r>
      <w:r>
        <w:rPr>
          <w:rFonts w:hint="eastAsia" w:ascii="仿宋_GB2312" w:hAnsi="TimesNewRomanPS-BoldMT" w:eastAsia="仿宋_GB2312"/>
          <w:bCs/>
          <w:color w:val="auto"/>
          <w:sz w:val="32"/>
          <w:szCs w:val="32"/>
          <w:highlight w:val="yellow"/>
          <w:lang w:val="en-US" w:eastAsia="zh-CN"/>
        </w:rPr>
        <w:t>32.95</w:t>
      </w:r>
      <w:r>
        <w:rPr>
          <w:rFonts w:hint="eastAsia" w:ascii="仿宋_GB2312" w:hAnsi="TimesNewRomanPS-BoldMT" w:eastAsia="仿宋_GB2312"/>
          <w:bCs/>
          <w:color w:val="auto"/>
          <w:sz w:val="32"/>
          <w:szCs w:val="32"/>
          <w:highlight w:val="none"/>
        </w:rPr>
        <w:t>万元，比202</w:t>
      </w:r>
      <w:r>
        <w:rPr>
          <w:rFonts w:hint="eastAsia" w:ascii="仿宋_GB2312" w:hAnsi="TimesNewRomanPS-BoldMT" w:eastAsia="仿宋_GB2312"/>
          <w:bCs/>
          <w:color w:val="auto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TimesNewRomanPS-BoldMT" w:eastAsia="仿宋_GB2312"/>
          <w:bCs/>
          <w:color w:val="auto"/>
          <w:sz w:val="32"/>
          <w:szCs w:val="32"/>
          <w:highlight w:val="none"/>
        </w:rPr>
        <w:t>年预算</w:t>
      </w:r>
      <w:r>
        <w:rPr>
          <w:rFonts w:hint="eastAsia" w:ascii="仿宋_GB2312" w:hAnsi="TimesNewRomanPS-BoldMT" w:eastAsia="仿宋_GB2312"/>
          <w:bCs/>
          <w:color w:val="auto"/>
          <w:sz w:val="32"/>
          <w:szCs w:val="32"/>
          <w:highlight w:val="none"/>
          <w:lang w:val="en-US" w:eastAsia="zh-CN"/>
        </w:rPr>
        <w:t>增加0.14</w:t>
      </w:r>
      <w:r>
        <w:rPr>
          <w:rFonts w:hint="eastAsia" w:ascii="仿宋_GB2312" w:hAnsi="TimesNewRomanPS-BoldMT" w:eastAsia="仿宋_GB2312"/>
          <w:bCs/>
          <w:color w:val="auto"/>
          <w:sz w:val="32"/>
          <w:szCs w:val="32"/>
          <w:highlight w:val="none"/>
        </w:rPr>
        <w:t>万元，主要原因是单位人员变动，经费</w:t>
      </w:r>
      <w:r>
        <w:rPr>
          <w:rFonts w:hint="eastAsia" w:ascii="仿宋_GB2312" w:hAnsi="TimesNewRomanPS-BoldMT" w:eastAsia="仿宋_GB2312"/>
          <w:bCs/>
          <w:color w:val="auto"/>
          <w:sz w:val="32"/>
          <w:szCs w:val="32"/>
          <w:highlight w:val="none"/>
          <w:lang w:val="en-US" w:eastAsia="zh-CN"/>
        </w:rPr>
        <w:t>增加</w:t>
      </w:r>
      <w:r>
        <w:rPr>
          <w:rFonts w:hint="eastAsia" w:ascii="仿宋_GB2312" w:hAnsi="TimesNewRomanPS-BoldMT" w:eastAsia="仿宋_GB2312"/>
          <w:bCs/>
          <w:color w:val="auto"/>
          <w:sz w:val="32"/>
          <w:szCs w:val="32"/>
          <w:highlight w:val="none"/>
        </w:rPr>
        <w:t>；</w:t>
      </w:r>
    </w:p>
    <w:p w14:paraId="7E68DBD4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TimesNewRomanPS-BoldMT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仿宋_GB2312" w:hAnsi="TimesNewRomanPS-BoldMT" w:eastAsia="仿宋_GB2312"/>
          <w:bCs/>
          <w:color w:val="auto"/>
          <w:sz w:val="32"/>
          <w:szCs w:val="32"/>
          <w:highlight w:val="none"/>
        </w:rPr>
        <w:t>2.卫生健康支出202</w:t>
      </w:r>
      <w:r>
        <w:rPr>
          <w:rFonts w:hint="eastAsia" w:ascii="仿宋_GB2312" w:hAnsi="TimesNewRomanPS-BoldMT" w:eastAsia="仿宋_GB2312"/>
          <w:bCs/>
          <w:color w:val="auto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hAnsi="TimesNewRomanPS-BoldMT" w:eastAsia="仿宋_GB2312"/>
          <w:bCs/>
          <w:color w:val="auto"/>
          <w:sz w:val="32"/>
          <w:szCs w:val="32"/>
          <w:highlight w:val="none"/>
        </w:rPr>
        <w:t>年预算数为</w:t>
      </w:r>
      <w:r>
        <w:rPr>
          <w:rFonts w:hint="eastAsia" w:ascii="仿宋_GB2312" w:hAnsi="TimesNewRomanPS-BoldMT" w:eastAsia="仿宋_GB2312"/>
          <w:bCs/>
          <w:color w:val="auto"/>
          <w:sz w:val="32"/>
          <w:szCs w:val="32"/>
          <w:highlight w:val="yellow"/>
          <w:lang w:val="en-US" w:eastAsia="zh-CN"/>
        </w:rPr>
        <w:t>177.99</w:t>
      </w:r>
      <w:r>
        <w:rPr>
          <w:rFonts w:hint="eastAsia" w:ascii="仿宋_GB2312" w:hAnsi="TimesNewRomanPS-BoldMT" w:eastAsia="仿宋_GB2312"/>
          <w:bCs/>
          <w:color w:val="auto"/>
          <w:sz w:val="32"/>
          <w:szCs w:val="32"/>
          <w:highlight w:val="none"/>
        </w:rPr>
        <w:t>万元，比202</w:t>
      </w:r>
      <w:r>
        <w:rPr>
          <w:rFonts w:hint="eastAsia" w:ascii="仿宋_GB2312" w:hAnsi="TimesNewRomanPS-BoldMT" w:eastAsia="仿宋_GB2312"/>
          <w:bCs/>
          <w:color w:val="auto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TimesNewRomanPS-BoldMT" w:eastAsia="仿宋_GB2312"/>
          <w:bCs/>
          <w:color w:val="auto"/>
          <w:sz w:val="32"/>
          <w:szCs w:val="32"/>
          <w:highlight w:val="none"/>
        </w:rPr>
        <w:t>年预算增加</w:t>
      </w:r>
      <w:r>
        <w:rPr>
          <w:rFonts w:hint="eastAsia" w:ascii="仿宋_GB2312" w:hAnsi="TimesNewRomanPS-BoldMT" w:eastAsia="仿宋_GB2312"/>
          <w:bCs/>
          <w:color w:val="auto"/>
          <w:sz w:val="32"/>
          <w:szCs w:val="32"/>
          <w:highlight w:val="yellow"/>
          <w:lang w:val="en-US" w:eastAsia="zh-CN"/>
        </w:rPr>
        <w:t>7.29</w:t>
      </w:r>
      <w:r>
        <w:rPr>
          <w:rFonts w:hint="eastAsia" w:ascii="仿宋_GB2312" w:hAnsi="TimesNewRomanPS-BoldMT" w:eastAsia="仿宋_GB2312"/>
          <w:bCs/>
          <w:color w:val="auto"/>
          <w:sz w:val="32"/>
          <w:szCs w:val="32"/>
          <w:highlight w:val="none"/>
        </w:rPr>
        <w:t>万元，主要原因是单位人员</w:t>
      </w:r>
      <w:r>
        <w:rPr>
          <w:rFonts w:hint="eastAsia" w:ascii="仿宋_GB2312" w:hAnsi="TimesNewRomanPS-BoldMT" w:eastAsia="仿宋_GB2312"/>
          <w:bCs/>
          <w:color w:val="auto"/>
          <w:sz w:val="32"/>
          <w:szCs w:val="32"/>
          <w:highlight w:val="none"/>
          <w:lang w:val="en-US" w:eastAsia="zh-CN"/>
        </w:rPr>
        <w:t>变动</w:t>
      </w:r>
      <w:r>
        <w:rPr>
          <w:rFonts w:hint="eastAsia" w:ascii="仿宋_GB2312" w:hAnsi="TimesNewRomanPS-BoldMT" w:eastAsia="仿宋_GB2312"/>
          <w:bCs/>
          <w:color w:val="auto"/>
          <w:sz w:val="32"/>
          <w:szCs w:val="32"/>
          <w:highlight w:val="none"/>
        </w:rPr>
        <w:t>，经费增加；</w:t>
      </w:r>
    </w:p>
    <w:p w14:paraId="4D5B869B">
      <w:pPr>
        <w:adjustRightInd w:val="0"/>
        <w:snapToGrid w:val="0"/>
        <w:spacing w:line="640" w:lineRule="exact"/>
        <w:ind w:firstLine="640" w:firstLineChars="200"/>
        <w:contextualSpacing/>
        <w:rPr>
          <w:rFonts w:hint="default" w:ascii="仿宋_GB2312" w:hAnsi="TimesNewRomanPS-BoldMT" w:eastAsia="仿宋_GB2312"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TimesNewRomanPS-BoldMT" w:eastAsia="仿宋_GB2312"/>
          <w:bCs/>
          <w:color w:val="auto"/>
          <w:sz w:val="32"/>
          <w:szCs w:val="32"/>
          <w:highlight w:val="none"/>
          <w:lang w:val="en-US" w:eastAsia="zh-CN"/>
        </w:rPr>
        <w:t>3.住房保障支出15.75万，比2025年预算增加0.89万元，主要原因是单位人员变动，经费增加；</w:t>
      </w:r>
    </w:p>
    <w:p w14:paraId="1401DD8C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宋体"/>
          <w:color w:val="auto"/>
          <w:kern w:val="0"/>
          <w:sz w:val="32"/>
          <w:szCs w:val="32"/>
          <w:highlight w:val="none"/>
        </w:rPr>
        <w:t>五、</w:t>
      </w:r>
      <w:r>
        <w:rPr>
          <w:rFonts w:hint="eastAsia" w:ascii="黑体" w:hAnsi="黑体" w:eastAsia="黑体" w:cs="宋体"/>
          <w:color w:val="auto"/>
          <w:kern w:val="0"/>
          <w:sz w:val="32"/>
          <w:szCs w:val="32"/>
          <w:highlight w:val="none"/>
          <w:lang w:eastAsia="zh-CN"/>
        </w:rPr>
        <w:t>单位</w:t>
      </w:r>
      <w:r>
        <w:rPr>
          <w:rFonts w:hint="eastAsia" w:ascii="黑体" w:hAnsi="黑体" w:eastAsia="黑体" w:cs="宋体"/>
          <w:color w:val="auto"/>
          <w:kern w:val="0"/>
          <w:sz w:val="32"/>
          <w:szCs w:val="32"/>
          <w:highlight w:val="none"/>
        </w:rPr>
        <w:t>一般公共预算财政拨款“三公”经费、培训费、会议费等情况</w:t>
      </w:r>
    </w:p>
    <w:p w14:paraId="251BD14C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" w:eastAsia="楷体_GB2312" w:cs="宋体"/>
          <w:b/>
          <w:bCs/>
          <w:color w:val="auto"/>
          <w:kern w:val="0"/>
          <w:sz w:val="32"/>
          <w:szCs w:val="32"/>
          <w:highlight w:val="none"/>
        </w:rPr>
        <w:t>（一）“三公”经费情况说明</w:t>
      </w:r>
    </w:p>
    <w:p w14:paraId="374214E3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4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微软雅黑" w:eastAsia="仿宋_GB2312" w:cs="仿宋_GB2312"/>
          <w:color w:val="auto"/>
          <w:sz w:val="32"/>
          <w:szCs w:val="32"/>
          <w:highlight w:val="none"/>
          <w:shd w:val="clear" w:color="auto" w:fill="FFFFFF"/>
        </w:rPr>
        <w:t>我单位无三公经费</w:t>
      </w:r>
      <w:r>
        <w:rPr>
          <w:rFonts w:hint="eastAsia" w:ascii="仿宋_GB2312" w:hAnsi="微软雅黑" w:eastAsia="仿宋_GB2312" w:cs="仿宋_GB2312"/>
          <w:color w:val="auto"/>
          <w:sz w:val="32"/>
          <w:szCs w:val="32"/>
          <w:highlight w:val="none"/>
          <w:shd w:val="clear" w:color="auto" w:fill="FFFFFF"/>
          <w:lang w:eastAsia="zh-CN"/>
        </w:rPr>
        <w:t>、</w:t>
      </w:r>
      <w:r>
        <w:rPr>
          <w:rFonts w:hint="eastAsia" w:ascii="仿宋_GB2312" w:hAnsi="微软雅黑" w:eastAsia="仿宋_GB2312" w:cs="仿宋_GB2312"/>
          <w:color w:val="auto"/>
          <w:sz w:val="32"/>
          <w:szCs w:val="32"/>
          <w:highlight w:val="none"/>
          <w:shd w:val="clear" w:color="auto" w:fill="FFFFFF"/>
          <w:lang w:val="en-US" w:eastAsia="zh-CN"/>
        </w:rPr>
        <w:t>培训费、会议费等情况</w:t>
      </w:r>
      <w:r>
        <w:rPr>
          <w:rFonts w:hint="eastAsia" w:ascii="仿宋_GB2312" w:hAnsi="微软雅黑" w:eastAsia="仿宋_GB2312" w:cs="仿宋_GB2312"/>
          <w:color w:val="auto"/>
          <w:sz w:val="32"/>
          <w:szCs w:val="32"/>
          <w:highlight w:val="none"/>
          <w:shd w:val="clear" w:color="auto" w:fill="FFFFFF"/>
          <w:lang w:eastAsia="zh-CN"/>
        </w:rPr>
        <w:t>，</w:t>
      </w:r>
      <w:r>
        <w:rPr>
          <w:rFonts w:hint="eastAsia" w:ascii="仿宋_GB2312" w:hAnsi="微软雅黑" w:eastAsia="仿宋_GB2312" w:cs="仿宋_GB2312"/>
          <w:color w:val="auto"/>
          <w:sz w:val="32"/>
          <w:szCs w:val="32"/>
          <w:highlight w:val="none"/>
          <w:shd w:val="clear" w:color="auto" w:fill="FFFFFF"/>
          <w:lang w:val="en-US" w:eastAsia="zh-CN"/>
        </w:rPr>
        <w:t>与上年比较无变化。</w:t>
      </w:r>
    </w:p>
    <w:p w14:paraId="141DB35A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" w:eastAsia="楷体_GB2312" w:cs="宋体"/>
          <w:b/>
          <w:bCs/>
          <w:color w:val="auto"/>
          <w:kern w:val="0"/>
          <w:sz w:val="32"/>
          <w:szCs w:val="32"/>
          <w:highlight w:val="none"/>
        </w:rPr>
        <w:t>（二）培训费预算情况说明</w:t>
      </w:r>
    </w:p>
    <w:p w14:paraId="7A4ABC39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eastAsia="zh-CN"/>
        </w:rPr>
        <w:t>无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。</w:t>
      </w:r>
    </w:p>
    <w:p w14:paraId="21DCDFDB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" w:eastAsia="楷体_GB2312" w:cs="宋体"/>
          <w:b/>
          <w:bCs/>
          <w:color w:val="auto"/>
          <w:kern w:val="0"/>
          <w:sz w:val="32"/>
          <w:szCs w:val="32"/>
          <w:highlight w:val="none"/>
        </w:rPr>
        <w:t>（三）会议费预算情况说明</w:t>
      </w:r>
    </w:p>
    <w:p w14:paraId="393A2629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eastAsia="zh-CN"/>
        </w:rPr>
        <w:t>无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。</w:t>
      </w:r>
    </w:p>
    <w:p w14:paraId="519DD7FB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宋体"/>
          <w:color w:val="auto"/>
          <w:kern w:val="0"/>
          <w:sz w:val="32"/>
          <w:szCs w:val="32"/>
          <w:highlight w:val="none"/>
        </w:rPr>
        <w:t>六、一般公共预算财政拨款机关运行经费情况</w:t>
      </w:r>
    </w:p>
    <w:p w14:paraId="6F5A91D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eastAsia="zh-CN"/>
        </w:rPr>
        <w:t>无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。</w:t>
      </w:r>
    </w:p>
    <w:p w14:paraId="0EE7D665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宋体"/>
          <w:color w:val="auto"/>
          <w:kern w:val="0"/>
          <w:sz w:val="32"/>
          <w:szCs w:val="32"/>
          <w:highlight w:val="none"/>
        </w:rPr>
        <w:t>七、政府采购安排情况</w:t>
      </w:r>
    </w:p>
    <w:p w14:paraId="41D343EC">
      <w:pPr>
        <w:ind w:firstLine="640" w:firstLineChars="200"/>
        <w:rPr>
          <w:rFonts w:hint="eastAsia" w:ascii="Times New Roman" w:hAnsi="Times New Roman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  <w:highlight w:val="none"/>
          <w:lang w:val="en-US" w:eastAsia="zh-CN"/>
        </w:rPr>
        <w:t>无。</w:t>
      </w:r>
    </w:p>
    <w:p w14:paraId="0913E66F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宋体"/>
          <w:color w:val="auto"/>
          <w:kern w:val="0"/>
          <w:sz w:val="32"/>
          <w:szCs w:val="32"/>
          <w:highlight w:val="none"/>
        </w:rPr>
        <w:t>八、国有资产占用情况</w:t>
      </w:r>
    </w:p>
    <w:p w14:paraId="0C7855B2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上年末固定资产金额为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157.2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万元。其中：预算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eastAsia="zh-CN"/>
        </w:rPr>
        <w:t>单位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共有公务用车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辆，价值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0.00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万元。单价20万元以上的设备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1个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价值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34.8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万元。</w:t>
      </w:r>
    </w:p>
    <w:p w14:paraId="602E5736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宋体"/>
          <w:color w:val="auto"/>
          <w:kern w:val="0"/>
          <w:sz w:val="32"/>
          <w:szCs w:val="32"/>
          <w:highlight w:val="none"/>
        </w:rPr>
        <w:t>九、其他重要事项情况说明</w:t>
      </w:r>
    </w:p>
    <w:p w14:paraId="43E29BDD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" w:eastAsia="楷体_GB2312" w:cs="宋体"/>
          <w:b/>
          <w:bCs/>
          <w:color w:val="auto"/>
          <w:kern w:val="0"/>
          <w:sz w:val="32"/>
          <w:szCs w:val="32"/>
          <w:highlight w:val="none"/>
        </w:rPr>
        <w:t>（一）政府性基金预算支出情况</w:t>
      </w:r>
    </w:p>
    <w:p w14:paraId="7A3CD5DD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未安排预算，政府性基金预算支出情况表为空表。</w:t>
      </w:r>
    </w:p>
    <w:p w14:paraId="6AEE70EB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" w:eastAsia="楷体_GB2312" w:cs="宋体"/>
          <w:b/>
          <w:bCs/>
          <w:color w:val="auto"/>
          <w:kern w:val="0"/>
          <w:sz w:val="32"/>
          <w:szCs w:val="32"/>
          <w:highlight w:val="none"/>
        </w:rPr>
        <w:t>（二）非税收入情况</w:t>
      </w:r>
    </w:p>
    <w:p w14:paraId="7FBA4A85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本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eastAsia="zh-CN"/>
        </w:rPr>
        <w:t>单位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202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年</w:t>
      </w:r>
      <w:r>
        <w:rPr>
          <w:rFonts w:ascii="仿宋_GB2312" w:hAnsi="仿宋" w:eastAsia="仿宋_GB2312"/>
          <w:color w:val="auto"/>
          <w:sz w:val="32"/>
          <w:szCs w:val="32"/>
          <w:highlight w:val="none"/>
        </w:rPr>
        <w:t>无非税收入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。</w:t>
      </w:r>
    </w:p>
    <w:p w14:paraId="4632C044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" w:eastAsia="楷体_GB2312" w:cs="宋体"/>
          <w:b/>
          <w:bCs/>
          <w:color w:val="auto"/>
          <w:kern w:val="0"/>
          <w:sz w:val="32"/>
          <w:szCs w:val="32"/>
          <w:highlight w:val="none"/>
        </w:rPr>
        <w:t>（三）重点项目情况</w:t>
      </w:r>
    </w:p>
    <w:p w14:paraId="6EDCC79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本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eastAsia="zh-CN"/>
        </w:rPr>
        <w:t>单位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年初预算未安排项目支出，无重点项目说明。</w:t>
      </w:r>
    </w:p>
    <w:p w14:paraId="28AAD45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" w:eastAsia="楷体_GB2312" w:cs="宋体"/>
          <w:b/>
          <w:bCs/>
          <w:color w:val="auto"/>
          <w:kern w:val="0"/>
          <w:sz w:val="32"/>
          <w:szCs w:val="32"/>
          <w:highlight w:val="none"/>
        </w:rPr>
        <w:t>（四）部门管理转移支付情况</w:t>
      </w:r>
    </w:p>
    <w:p w14:paraId="3E8BFB31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未安排预算，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eastAsia="zh-CN"/>
        </w:rPr>
        <w:t>单位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管理转移支付表为空表。</w:t>
      </w:r>
    </w:p>
    <w:p w14:paraId="5E2E2B29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" w:eastAsia="楷体_GB2312" w:cs="宋体"/>
          <w:b/>
          <w:bCs/>
          <w:color w:val="auto"/>
          <w:kern w:val="0"/>
          <w:sz w:val="32"/>
          <w:szCs w:val="32"/>
          <w:highlight w:val="none"/>
        </w:rPr>
        <w:t>（五）国有资本经营预算支出情况</w:t>
      </w:r>
    </w:p>
    <w:p w14:paraId="0F29F05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楷体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楷体" w:eastAsia="仿宋_GB2312"/>
          <w:color w:val="auto"/>
          <w:sz w:val="32"/>
          <w:szCs w:val="32"/>
          <w:highlight w:val="none"/>
        </w:rPr>
        <w:t>未安排预算，国有资本经营预算支出情况表为空表。</w:t>
      </w:r>
    </w:p>
    <w:p w14:paraId="6DE5181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宋体"/>
          <w:color w:val="auto"/>
          <w:kern w:val="0"/>
          <w:sz w:val="32"/>
          <w:szCs w:val="32"/>
          <w:highlight w:val="none"/>
        </w:rPr>
        <w:t>十、预算绩效管理情况</w:t>
      </w:r>
    </w:p>
    <w:p w14:paraId="329B0907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" w:eastAsia="楷体_GB2312" w:cs="宋体"/>
          <w:b/>
          <w:bCs/>
          <w:color w:val="auto"/>
          <w:kern w:val="0"/>
          <w:sz w:val="32"/>
          <w:szCs w:val="32"/>
          <w:highlight w:val="none"/>
        </w:rPr>
        <w:t>（一）202</w:t>
      </w:r>
      <w:r>
        <w:rPr>
          <w:rFonts w:hint="eastAsia" w:ascii="楷体_GB2312" w:hAnsi="楷体" w:eastAsia="楷体_GB2312" w:cs="宋体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楷体_GB2312" w:hAnsi="楷体" w:eastAsia="楷体_GB2312" w:cs="宋体"/>
          <w:b/>
          <w:bCs/>
          <w:color w:val="auto"/>
          <w:kern w:val="0"/>
          <w:sz w:val="32"/>
          <w:szCs w:val="32"/>
          <w:highlight w:val="none"/>
        </w:rPr>
        <w:t>年预算绩效管理工作情况。</w:t>
      </w:r>
    </w:p>
    <w:p w14:paraId="0727BE91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按照《中共中央 国务院关于全面实施预算绩效管理的意见》《中共甘肃省委 甘肃省人民政府关于全面实施预算绩效管理的实施意见》等相关要求，我们将绩效理念和方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226.7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法融入预算编制、执行、决算和监督全过程认真开展各项工作。</w:t>
      </w:r>
    </w:p>
    <w:p w14:paraId="6941F3BA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" w:eastAsia="仿宋_GB2312"/>
          <w:b/>
          <w:color w:val="auto"/>
          <w:sz w:val="32"/>
          <w:szCs w:val="32"/>
          <w:highlight w:val="none"/>
        </w:rPr>
        <w:t>1.绩效目标管理情况。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202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年度，按照“谁申请资金，谁设置目标”的原则，纳入部门预算管理的</w:t>
      </w:r>
      <w:r>
        <w:rPr>
          <w:rFonts w:hint="eastAsia" w:ascii="仿宋_GB2312" w:hAnsi="CIDFont+F6" w:eastAsia="仿宋_GB2312"/>
          <w:color w:val="auto"/>
          <w:sz w:val="32"/>
          <w:szCs w:val="32"/>
          <w:highlight w:val="none"/>
          <w:lang w:eastAsia="zh-CN"/>
        </w:rPr>
        <w:t>单位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整体支出和项目绩效目标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个，按规定随年度预算一并公开项目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个，公开率为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100.00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%。</w:t>
      </w:r>
    </w:p>
    <w:p w14:paraId="2DC5C7FF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" w:eastAsia="仿宋_GB2312"/>
          <w:b/>
          <w:color w:val="auto"/>
          <w:sz w:val="32"/>
          <w:szCs w:val="32"/>
          <w:highlight w:val="none"/>
        </w:rPr>
        <w:t>2.绩效运行监控情况。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202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年7月，组织开展1-6月绩效运行监控项目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个，占本</w:t>
      </w:r>
      <w:r>
        <w:rPr>
          <w:rFonts w:hint="eastAsia" w:ascii="仿宋_GB2312" w:hAnsi="CIDFont+F6" w:eastAsia="仿宋_GB2312"/>
          <w:color w:val="auto"/>
          <w:sz w:val="32"/>
          <w:szCs w:val="32"/>
          <w:highlight w:val="none"/>
          <w:lang w:eastAsia="zh-CN"/>
        </w:rPr>
        <w:t>单位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项目的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100.00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%。截至7月底，如期完成预算执行和绩效目标指标值的项目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个，完成率为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100.00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%。“双监控”发现存在的问题和主要原因是：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本单位缺乏专业财务人员，财务人员对财政相关规定和业务不熟练，根据通报情况按时整改：对财务人员进行定期培训，提高财务人员业务能力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。</w:t>
      </w:r>
    </w:p>
    <w:p w14:paraId="6DF193FF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" w:eastAsia="仿宋_GB2312"/>
          <w:b/>
          <w:color w:val="auto"/>
          <w:sz w:val="32"/>
          <w:szCs w:val="32"/>
          <w:highlight w:val="none"/>
        </w:rPr>
        <w:t>3.绩效自评开展情况。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202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年度，组织开展绩效自评项目共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个，其中，单位整体支出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个</w:t>
      </w:r>
      <w:bookmarkStart w:id="0" w:name="_GoBack"/>
      <w:bookmarkEnd w:id="0"/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，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绩效自评覆盖率为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100.00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%。绩效自评结果随部门决算报送财政和决算公开情况：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eastAsia="zh-CN"/>
        </w:rPr>
        <w:t>及时公开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。</w:t>
      </w:r>
    </w:p>
    <w:p w14:paraId="2CB6075A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hint="default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" w:eastAsia="仿宋_GB2312"/>
          <w:b/>
          <w:color w:val="auto"/>
          <w:sz w:val="32"/>
          <w:szCs w:val="32"/>
          <w:highlight w:val="none"/>
        </w:rPr>
        <w:t>4.绩效结果应用情况。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根据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年度绩效运行监控、绩效自评等情况，当年盘活财政资金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0.00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万元。</w:t>
      </w:r>
    </w:p>
    <w:p w14:paraId="571FBD8D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" w:eastAsia="楷体_GB2312" w:cs="宋体"/>
          <w:b/>
          <w:bCs/>
          <w:color w:val="auto"/>
          <w:kern w:val="0"/>
          <w:sz w:val="32"/>
          <w:szCs w:val="32"/>
          <w:highlight w:val="none"/>
        </w:rPr>
        <w:t>（二）202</w:t>
      </w:r>
      <w:r>
        <w:rPr>
          <w:rFonts w:hint="eastAsia" w:ascii="楷体_GB2312" w:hAnsi="楷体" w:eastAsia="楷体_GB2312" w:cs="宋体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楷体_GB2312" w:hAnsi="楷体" w:eastAsia="楷体_GB2312" w:cs="宋体"/>
          <w:b/>
          <w:bCs/>
          <w:color w:val="auto"/>
          <w:kern w:val="0"/>
          <w:sz w:val="32"/>
          <w:szCs w:val="32"/>
          <w:highlight w:val="none"/>
        </w:rPr>
        <w:t>年绩效目标编制情况</w:t>
      </w:r>
    </w:p>
    <w:p w14:paraId="0E522C0C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202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年，纳入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eastAsia="zh-CN"/>
        </w:rPr>
        <w:t>单位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预算绩效目标管理的项目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个。其中，部门整体支出绩效目标围绕部门管理、履职效果、能力建设三个维度，设置二级指标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9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个、三级指标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14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个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eastAsia="zh-CN"/>
        </w:rPr>
        <w:t>。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各项绩效目标内容指向明确、细化量化、合理可行，符合规定的格式要求。</w:t>
      </w:r>
    </w:p>
    <w:p w14:paraId="667F3FAA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" w:eastAsia="楷体_GB2312" w:cs="宋体"/>
          <w:b/>
          <w:bCs/>
          <w:color w:val="auto"/>
          <w:kern w:val="0"/>
          <w:sz w:val="32"/>
          <w:szCs w:val="32"/>
          <w:highlight w:val="none"/>
        </w:rPr>
        <w:t>十一、名词解释</w:t>
      </w:r>
    </w:p>
    <w:p w14:paraId="335A5A38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CIDFont+F4" w:eastAsia="仿宋_GB2312"/>
          <w:b/>
          <w:color w:val="auto"/>
          <w:sz w:val="32"/>
          <w:szCs w:val="32"/>
          <w:highlight w:val="none"/>
        </w:rPr>
        <w:t>1、财政拨款:</w:t>
      </w:r>
      <w:r>
        <w:rPr>
          <w:rFonts w:hint="eastAsia" w:ascii="仿宋_GB2312" w:hAnsi="CIDFont+F6" w:eastAsia="仿宋_GB2312"/>
          <w:color w:val="auto"/>
          <w:sz w:val="32"/>
          <w:szCs w:val="32"/>
          <w:highlight w:val="none"/>
        </w:rPr>
        <w:t>指由一般公共预算、政府性基金预算、国有资本经营预算安排的财政拨款数。</w:t>
      </w:r>
    </w:p>
    <w:p w14:paraId="2EC54976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CIDFont+F4" w:eastAsia="仿宋_GB2312"/>
          <w:b/>
          <w:color w:val="auto"/>
          <w:sz w:val="32"/>
          <w:szCs w:val="32"/>
          <w:highlight w:val="none"/>
        </w:rPr>
        <w:t>2、一般公共预算:</w:t>
      </w:r>
      <w:r>
        <w:rPr>
          <w:rFonts w:hint="eastAsia" w:ascii="仿宋_GB2312" w:hAnsi="CIDFont+F6" w:eastAsia="仿宋_GB2312"/>
          <w:color w:val="auto"/>
          <w:sz w:val="32"/>
          <w:szCs w:val="32"/>
          <w:highlight w:val="none"/>
        </w:rPr>
        <w:t>包括公共财政拨款（补助）资金、专项收入。</w:t>
      </w:r>
    </w:p>
    <w:p w14:paraId="55D33411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CIDFont+F4" w:eastAsia="仿宋_GB2312"/>
          <w:b/>
          <w:color w:val="auto"/>
          <w:sz w:val="32"/>
          <w:szCs w:val="32"/>
          <w:highlight w:val="none"/>
        </w:rPr>
        <w:t>3、财政专户管理资金:</w:t>
      </w:r>
      <w:r>
        <w:rPr>
          <w:rFonts w:hint="eastAsia" w:ascii="仿宋_GB2312" w:hAnsi="CIDFont+F6" w:eastAsia="仿宋_GB2312"/>
          <w:color w:val="auto"/>
          <w:sz w:val="32"/>
          <w:szCs w:val="32"/>
          <w:highlight w:val="none"/>
        </w:rPr>
        <w:t>包括专户管理行政事业性收费（主要是教育收费）、其他非税收入。</w:t>
      </w:r>
    </w:p>
    <w:p w14:paraId="3F538DA8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CIDFont+F4" w:eastAsia="仿宋_GB2312"/>
          <w:b/>
          <w:color w:val="auto"/>
          <w:sz w:val="32"/>
          <w:szCs w:val="32"/>
          <w:highlight w:val="none"/>
        </w:rPr>
        <w:t>4、其他资金:</w:t>
      </w:r>
      <w:r>
        <w:rPr>
          <w:rFonts w:hint="eastAsia" w:ascii="仿宋_GB2312" w:hAnsi="CIDFont+F6" w:eastAsia="仿宋_GB2312"/>
          <w:color w:val="auto"/>
          <w:sz w:val="32"/>
          <w:szCs w:val="32"/>
          <w:highlight w:val="none"/>
        </w:rPr>
        <w:t>包括事业收入、事业经营收入、其他收入等。</w:t>
      </w:r>
    </w:p>
    <w:p w14:paraId="638B6F4A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CIDFont+F4" w:eastAsia="仿宋_GB2312"/>
          <w:b/>
          <w:color w:val="auto"/>
          <w:sz w:val="32"/>
          <w:szCs w:val="32"/>
          <w:highlight w:val="none"/>
        </w:rPr>
        <w:t>5、基本支出:</w:t>
      </w:r>
      <w:r>
        <w:rPr>
          <w:rFonts w:hint="eastAsia" w:ascii="仿宋_GB2312" w:hAnsi="CIDFont+F6" w:eastAsia="仿宋_GB2312"/>
          <w:color w:val="auto"/>
          <w:sz w:val="32"/>
          <w:szCs w:val="32"/>
          <w:highlight w:val="none"/>
        </w:rPr>
        <w:t>包括人员经费、公用经费（定额）。其中，人员经费包括工资福利支出、对个人和家庭的补助。</w:t>
      </w:r>
    </w:p>
    <w:p w14:paraId="2758CA5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CIDFont+F4" w:eastAsia="仿宋_GB2312"/>
          <w:b/>
          <w:color w:val="auto"/>
          <w:sz w:val="32"/>
          <w:szCs w:val="32"/>
          <w:highlight w:val="none"/>
        </w:rPr>
        <w:t>6、项目支出:</w:t>
      </w:r>
      <w:r>
        <w:rPr>
          <w:rFonts w:hint="eastAsia" w:ascii="仿宋_GB2312" w:hAnsi="CIDFont+F6" w:eastAsia="仿宋_GB2312"/>
          <w:color w:val="auto"/>
          <w:sz w:val="32"/>
          <w:szCs w:val="32"/>
          <w:highlight w:val="none"/>
          <w:lang w:eastAsia="zh-CN"/>
        </w:rPr>
        <w:t>单位</w:t>
      </w:r>
      <w:r>
        <w:rPr>
          <w:rFonts w:hint="eastAsia" w:ascii="仿宋_GB2312" w:hAnsi="CIDFont+F6" w:eastAsia="仿宋_GB2312"/>
          <w:color w:val="auto"/>
          <w:sz w:val="32"/>
          <w:szCs w:val="32"/>
          <w:highlight w:val="none"/>
        </w:rPr>
        <w:t>支出预算的组成部分，是各</w:t>
      </w:r>
      <w:r>
        <w:rPr>
          <w:rFonts w:hint="eastAsia" w:ascii="仿宋_GB2312" w:hAnsi="CIDFont+F6" w:eastAsia="仿宋_GB2312"/>
          <w:color w:val="auto"/>
          <w:sz w:val="32"/>
          <w:szCs w:val="32"/>
          <w:highlight w:val="none"/>
          <w:lang w:eastAsia="zh-CN"/>
        </w:rPr>
        <w:t>单位</w:t>
      </w:r>
      <w:r>
        <w:rPr>
          <w:rFonts w:hint="eastAsia" w:ascii="仿宋_GB2312" w:hAnsi="CIDFont+F6" w:eastAsia="仿宋_GB2312"/>
          <w:color w:val="auto"/>
          <w:sz w:val="32"/>
          <w:szCs w:val="32"/>
          <w:highlight w:val="none"/>
        </w:rPr>
        <w:t>为完成其特定的行政任务或事业发展目标，在基本支出预算之外编制的年度项目支出计划。</w:t>
      </w:r>
    </w:p>
    <w:p w14:paraId="34F6D97C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CIDFont+F4" w:eastAsia="仿宋_GB2312"/>
          <w:b/>
          <w:color w:val="auto"/>
          <w:sz w:val="32"/>
          <w:szCs w:val="32"/>
          <w:highlight w:val="none"/>
        </w:rPr>
        <w:t>7、“三公”经费:</w:t>
      </w:r>
      <w:r>
        <w:rPr>
          <w:rFonts w:hint="eastAsia" w:ascii="仿宋_GB2312" w:hAnsi="CIDFont+F6" w:eastAsia="仿宋_GB2312"/>
          <w:color w:val="auto"/>
          <w:sz w:val="32"/>
          <w:szCs w:val="32"/>
          <w:highlight w:val="none"/>
        </w:rPr>
        <w:t>指因公出国（境）费、公务用车购置及运行维护费和公务接待费。其中，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公务接待费反映单位按规定开支的各类公务接待（含外宾接待）支出。</w:t>
      </w:r>
    </w:p>
    <w:p w14:paraId="6FB868ED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CIDFont+F4" w:eastAsia="仿宋_GB2312"/>
          <w:b/>
          <w:color w:val="auto"/>
          <w:sz w:val="32"/>
          <w:szCs w:val="32"/>
          <w:highlight w:val="none"/>
        </w:rPr>
        <w:t>8、机关运行经费:</w:t>
      </w:r>
      <w:r>
        <w:rPr>
          <w:rFonts w:hint="eastAsia" w:ascii="仿宋_GB2312" w:hAnsi="CIDFont+F6" w:eastAsia="仿宋_GB2312"/>
          <w:color w:val="auto"/>
          <w:sz w:val="32"/>
          <w:szCs w:val="32"/>
          <w:highlight w:val="none"/>
        </w:rPr>
        <w:t>为保障行政单位（包括实行公务员管理的事业单位）运行用于购买货物和服务的各项资金，包括办公及印刷费、邮电费、差旅费、会议费、福利费、日常维修费、一般设备购置费、办公用房水电费、办公用房取暖费、办公用房物业管理费、公务用车运行维护费以及其他费用。</w:t>
      </w:r>
    </w:p>
    <w:p w14:paraId="064A312A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4" w:eastAsia="仿宋_GB2312"/>
          <w:b/>
          <w:color w:val="auto"/>
          <w:sz w:val="32"/>
          <w:szCs w:val="32"/>
          <w:highlight w:val="none"/>
        </w:rPr>
      </w:pPr>
    </w:p>
    <w:p w14:paraId="73E4FA7B">
      <w:pPr>
        <w:adjustRightInd w:val="0"/>
        <w:snapToGrid w:val="0"/>
        <w:spacing w:line="640" w:lineRule="exact"/>
        <w:contextualSpacing/>
        <w:jc w:val="right"/>
        <w:rPr>
          <w:rFonts w:hint="eastAsia" w:ascii="仿宋_GB2312" w:hAnsi="CIDFont+F6" w:eastAsia="仿宋_GB2312"/>
          <w:color w:val="auto"/>
          <w:sz w:val="32"/>
          <w:szCs w:val="32"/>
          <w:highlight w:val="none"/>
        </w:rPr>
      </w:pPr>
    </w:p>
    <w:p w14:paraId="4DB4426E">
      <w:pPr>
        <w:adjustRightInd w:val="0"/>
        <w:snapToGrid w:val="0"/>
        <w:spacing w:line="640" w:lineRule="exact"/>
        <w:contextualSpacing/>
        <w:jc w:val="right"/>
        <w:rPr>
          <w:rFonts w:hint="eastAsia" w:ascii="仿宋_GB2312" w:hAnsi="CIDFont+F6" w:eastAsia="仿宋_GB2312"/>
          <w:color w:val="auto"/>
          <w:sz w:val="32"/>
          <w:szCs w:val="32"/>
          <w:highlight w:val="none"/>
        </w:rPr>
      </w:pPr>
    </w:p>
    <w:p w14:paraId="79FCE1B5">
      <w:pPr>
        <w:adjustRightInd w:val="0"/>
        <w:snapToGrid w:val="0"/>
        <w:spacing w:line="640" w:lineRule="exact"/>
        <w:ind w:right="1120"/>
        <w:contextualSpacing/>
        <w:jc w:val="right"/>
        <w:rPr>
          <w:rFonts w:hint="eastAsia" w:ascii="仿宋_GB2312" w:hAnsi="CIDFont+F6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CIDFont+F6" w:eastAsia="仿宋_GB2312"/>
          <w:color w:val="auto"/>
          <w:sz w:val="32"/>
          <w:szCs w:val="32"/>
          <w:highlight w:val="none"/>
          <w:lang w:val="en-US" w:eastAsia="zh-CN"/>
        </w:rPr>
        <w:t>华池县社区卫生服务中心</w:t>
      </w:r>
    </w:p>
    <w:p w14:paraId="57A77BB2">
      <w:pPr>
        <w:adjustRightInd w:val="0"/>
        <w:snapToGrid w:val="0"/>
        <w:spacing w:line="640" w:lineRule="exact"/>
        <w:ind w:right="1120"/>
        <w:contextualSpacing/>
        <w:jc w:val="right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CIDFont+F6" w:eastAsia="仿宋_GB2312"/>
          <w:color w:val="auto"/>
          <w:sz w:val="32"/>
          <w:szCs w:val="32"/>
          <w:highlight w:val="none"/>
          <w:lang w:val="en-US" w:eastAsia="zh-CN"/>
        </w:rPr>
        <w:t>2026</w:t>
      </w:r>
      <w:r>
        <w:rPr>
          <w:rFonts w:hint="eastAsia" w:ascii="仿宋_GB2312" w:hAnsi="CIDFont+F6" w:eastAsia="仿宋_GB2312"/>
          <w:color w:val="auto"/>
          <w:sz w:val="32"/>
          <w:szCs w:val="32"/>
          <w:highlight w:val="none"/>
        </w:rPr>
        <w:t>年</w:t>
      </w:r>
      <w:r>
        <w:rPr>
          <w:rFonts w:hint="eastAsia" w:ascii="仿宋_GB2312" w:hAnsi="CIDFont+F6" w:eastAsia="仿宋_GB2312"/>
          <w:color w:val="auto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CIDFont+F6" w:eastAsia="仿宋_GB2312"/>
          <w:color w:val="auto"/>
          <w:sz w:val="32"/>
          <w:szCs w:val="32"/>
          <w:highlight w:val="none"/>
        </w:rPr>
        <w:t>月</w:t>
      </w:r>
      <w:r>
        <w:rPr>
          <w:rFonts w:hint="eastAsia" w:ascii="仿宋_GB2312" w:hAnsi="CIDFont+F6" w:eastAsia="仿宋_GB2312"/>
          <w:color w:val="auto"/>
          <w:sz w:val="32"/>
          <w:szCs w:val="32"/>
          <w:highlight w:val="none"/>
          <w:lang w:val="en-US" w:eastAsia="zh-CN"/>
        </w:rPr>
        <w:t>12</w:t>
      </w:r>
      <w:r>
        <w:rPr>
          <w:rFonts w:hint="eastAsia" w:ascii="仿宋_GB2312" w:hAnsi="CIDFont+F6" w:eastAsia="仿宋_GB2312"/>
          <w:color w:val="auto"/>
          <w:sz w:val="32"/>
          <w:szCs w:val="32"/>
          <w:highlight w:val="none"/>
        </w:rPr>
        <w:t>日</w:t>
      </w:r>
    </w:p>
    <w:p w14:paraId="6317349F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</w:p>
    <w:p w14:paraId="00FB4E89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color w:val="auto"/>
          <w:spacing w:val="-20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附件：</w:t>
      </w:r>
      <w:r>
        <w:rPr>
          <w:rFonts w:hint="eastAsia" w:ascii="仿宋_GB2312" w:hAnsi="宋体" w:eastAsia="仿宋_GB2312" w:cs="宋体"/>
          <w:color w:val="auto"/>
          <w:spacing w:val="-20"/>
          <w:kern w:val="0"/>
          <w:sz w:val="32"/>
          <w:szCs w:val="32"/>
          <w:highlight w:val="none"/>
        </w:rPr>
        <w:t>1.</w:t>
      </w:r>
      <w:r>
        <w:rPr>
          <w:rFonts w:hint="eastAsia" w:ascii="仿宋_GB2312" w:hAnsi="宋体" w:eastAsia="仿宋_GB2312" w:cs="宋体"/>
          <w:color w:val="auto"/>
          <w:spacing w:val="-20"/>
          <w:kern w:val="0"/>
          <w:sz w:val="32"/>
          <w:szCs w:val="32"/>
          <w:highlight w:val="none"/>
          <w:lang w:val="en-US" w:eastAsia="zh-CN"/>
        </w:rPr>
        <w:t>华池县社区卫生服务中心</w:t>
      </w:r>
      <w:r>
        <w:rPr>
          <w:rFonts w:hint="eastAsia" w:ascii="仿宋_GB2312" w:hAnsi="宋体" w:eastAsia="仿宋_GB2312" w:cs="宋体"/>
          <w:color w:val="auto"/>
          <w:spacing w:val="-20"/>
          <w:kern w:val="0"/>
          <w:sz w:val="32"/>
          <w:szCs w:val="32"/>
          <w:highlight w:val="none"/>
        </w:rPr>
        <w:t xml:space="preserve"> 202</w:t>
      </w:r>
      <w:r>
        <w:rPr>
          <w:rFonts w:hint="eastAsia" w:ascii="仿宋_GB2312" w:hAnsi="宋体" w:eastAsia="仿宋_GB2312" w:cs="宋体"/>
          <w:color w:val="auto"/>
          <w:spacing w:val="-20"/>
          <w:kern w:val="0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hAnsi="宋体" w:eastAsia="仿宋_GB2312" w:cs="宋体"/>
          <w:color w:val="auto"/>
          <w:spacing w:val="-20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CIDFont+F6" w:eastAsia="仿宋_GB2312"/>
          <w:color w:val="auto"/>
          <w:sz w:val="32"/>
          <w:szCs w:val="32"/>
          <w:highlight w:val="none"/>
          <w:lang w:eastAsia="zh-CN"/>
        </w:rPr>
        <w:t>单位</w:t>
      </w:r>
      <w:r>
        <w:rPr>
          <w:rFonts w:hint="eastAsia" w:ascii="仿宋_GB2312" w:hAnsi="宋体" w:eastAsia="仿宋_GB2312" w:cs="宋体"/>
          <w:color w:val="auto"/>
          <w:spacing w:val="-20"/>
          <w:kern w:val="0"/>
          <w:sz w:val="32"/>
          <w:szCs w:val="32"/>
          <w:highlight w:val="none"/>
        </w:rPr>
        <w:t>预算公开表</w:t>
      </w:r>
    </w:p>
    <w:p w14:paraId="74C31EFE">
      <w:pPr>
        <w:adjustRightInd w:val="0"/>
        <w:snapToGrid w:val="0"/>
        <w:spacing w:line="640" w:lineRule="exact"/>
        <w:ind w:left="1796" w:leftChars="767" w:hanging="185" w:hangingChars="58"/>
        <w:contextualSpacing/>
        <w:rPr>
          <w:color w:val="auto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2.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华池县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社区卫生服务中心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202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CIDFont+F6" w:eastAsia="仿宋_GB2312"/>
          <w:color w:val="auto"/>
          <w:sz w:val="32"/>
          <w:szCs w:val="32"/>
          <w:highlight w:val="none"/>
          <w:lang w:eastAsia="zh-CN"/>
        </w:rPr>
        <w:t>单位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整体支出绩效目标及预算项目绩效目标表</w:t>
      </w:r>
    </w:p>
    <w:p w14:paraId="13FDEA07">
      <w:pPr>
        <w:adjustRightInd w:val="0"/>
        <w:snapToGrid w:val="0"/>
        <w:spacing w:line="640" w:lineRule="exact"/>
        <w:ind w:left="1732" w:leftChars="767" w:hanging="121" w:hangingChars="58"/>
        <w:contextualSpacing/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imesNewRomanPS-BoldMT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IDFont+F6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IDFont+F4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EBF69E">
    <w:pPr>
      <w:pStyle w:val="6"/>
      <w:jc w:val="center"/>
    </w:pPr>
  </w:p>
  <w:p w14:paraId="18AFAB9B"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4C854A">
    <w:pPr>
      <w:pStyle w:val="6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27</w:t>
    </w:r>
    <w:r>
      <w:fldChar w:fldCharType="end"/>
    </w:r>
  </w:p>
  <w:p w14:paraId="7F222DAC"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jNDcxNWMxNzA4MWQ4MjRlNWExMTQwYmYzY2EyYmIifQ=="/>
  </w:docVars>
  <w:rsids>
    <w:rsidRoot w:val="00FB4362"/>
    <w:rsid w:val="00000C55"/>
    <w:rsid w:val="00001446"/>
    <w:rsid w:val="0001130C"/>
    <w:rsid w:val="00011F27"/>
    <w:rsid w:val="00012457"/>
    <w:rsid w:val="00021BBF"/>
    <w:rsid w:val="00030443"/>
    <w:rsid w:val="00030F4C"/>
    <w:rsid w:val="0003278A"/>
    <w:rsid w:val="000368FE"/>
    <w:rsid w:val="00042A06"/>
    <w:rsid w:val="00043601"/>
    <w:rsid w:val="000442B5"/>
    <w:rsid w:val="0004639D"/>
    <w:rsid w:val="000465E2"/>
    <w:rsid w:val="0005161F"/>
    <w:rsid w:val="000547D1"/>
    <w:rsid w:val="00055759"/>
    <w:rsid w:val="000612EE"/>
    <w:rsid w:val="00061BAF"/>
    <w:rsid w:val="0006337D"/>
    <w:rsid w:val="00074626"/>
    <w:rsid w:val="00076B62"/>
    <w:rsid w:val="00082093"/>
    <w:rsid w:val="000861D5"/>
    <w:rsid w:val="0009273A"/>
    <w:rsid w:val="000A20A7"/>
    <w:rsid w:val="000A655B"/>
    <w:rsid w:val="000B54DD"/>
    <w:rsid w:val="000C2055"/>
    <w:rsid w:val="000C2B7F"/>
    <w:rsid w:val="000C37BE"/>
    <w:rsid w:val="000C4C50"/>
    <w:rsid w:val="000D0130"/>
    <w:rsid w:val="000D2EEE"/>
    <w:rsid w:val="000D2F19"/>
    <w:rsid w:val="000E0CEA"/>
    <w:rsid w:val="000F3CBF"/>
    <w:rsid w:val="000F3F42"/>
    <w:rsid w:val="000F473D"/>
    <w:rsid w:val="001017F3"/>
    <w:rsid w:val="0011297B"/>
    <w:rsid w:val="00123768"/>
    <w:rsid w:val="00126B08"/>
    <w:rsid w:val="001272E5"/>
    <w:rsid w:val="00127D01"/>
    <w:rsid w:val="00130F5F"/>
    <w:rsid w:val="001374F5"/>
    <w:rsid w:val="00152FDC"/>
    <w:rsid w:val="001561FD"/>
    <w:rsid w:val="0015647B"/>
    <w:rsid w:val="00156619"/>
    <w:rsid w:val="00156C8B"/>
    <w:rsid w:val="00160A8C"/>
    <w:rsid w:val="001700B4"/>
    <w:rsid w:val="00171070"/>
    <w:rsid w:val="001A416A"/>
    <w:rsid w:val="001A6118"/>
    <w:rsid w:val="001B0364"/>
    <w:rsid w:val="001B0B8E"/>
    <w:rsid w:val="001B342F"/>
    <w:rsid w:val="001C1259"/>
    <w:rsid w:val="001D1DA7"/>
    <w:rsid w:val="001E17E4"/>
    <w:rsid w:val="001E2410"/>
    <w:rsid w:val="001E347C"/>
    <w:rsid w:val="001E6110"/>
    <w:rsid w:val="001F3C4D"/>
    <w:rsid w:val="002033EA"/>
    <w:rsid w:val="00214046"/>
    <w:rsid w:val="0022561F"/>
    <w:rsid w:val="00232DBE"/>
    <w:rsid w:val="002355E7"/>
    <w:rsid w:val="00235F73"/>
    <w:rsid w:val="0023681E"/>
    <w:rsid w:val="00241FEC"/>
    <w:rsid w:val="00243562"/>
    <w:rsid w:val="0025164A"/>
    <w:rsid w:val="00265C3D"/>
    <w:rsid w:val="00266C2E"/>
    <w:rsid w:val="00270DF8"/>
    <w:rsid w:val="002754B3"/>
    <w:rsid w:val="0028392B"/>
    <w:rsid w:val="002934F2"/>
    <w:rsid w:val="002A3A19"/>
    <w:rsid w:val="002A3ED4"/>
    <w:rsid w:val="002A7274"/>
    <w:rsid w:val="002B2833"/>
    <w:rsid w:val="002B7BA1"/>
    <w:rsid w:val="002C01BB"/>
    <w:rsid w:val="002C3FA4"/>
    <w:rsid w:val="002E2161"/>
    <w:rsid w:val="002E30F2"/>
    <w:rsid w:val="002E4E72"/>
    <w:rsid w:val="002F0CE0"/>
    <w:rsid w:val="002F4ED9"/>
    <w:rsid w:val="002F75FE"/>
    <w:rsid w:val="002F7FA5"/>
    <w:rsid w:val="003017F4"/>
    <w:rsid w:val="00301AAB"/>
    <w:rsid w:val="00306B68"/>
    <w:rsid w:val="003129FE"/>
    <w:rsid w:val="003322AC"/>
    <w:rsid w:val="00335342"/>
    <w:rsid w:val="00343A8E"/>
    <w:rsid w:val="00345713"/>
    <w:rsid w:val="003566B9"/>
    <w:rsid w:val="00356C98"/>
    <w:rsid w:val="0036367B"/>
    <w:rsid w:val="0036496C"/>
    <w:rsid w:val="00365414"/>
    <w:rsid w:val="00372734"/>
    <w:rsid w:val="00372A33"/>
    <w:rsid w:val="0037374A"/>
    <w:rsid w:val="00377A88"/>
    <w:rsid w:val="00392E2B"/>
    <w:rsid w:val="003A396F"/>
    <w:rsid w:val="003A68FD"/>
    <w:rsid w:val="003A7A18"/>
    <w:rsid w:val="003B3187"/>
    <w:rsid w:val="003B327A"/>
    <w:rsid w:val="003B4612"/>
    <w:rsid w:val="003B76D2"/>
    <w:rsid w:val="003D6D41"/>
    <w:rsid w:val="003E3B0A"/>
    <w:rsid w:val="0040581D"/>
    <w:rsid w:val="00417BF3"/>
    <w:rsid w:val="00425D21"/>
    <w:rsid w:val="00426463"/>
    <w:rsid w:val="00427875"/>
    <w:rsid w:val="004317A0"/>
    <w:rsid w:val="0043556D"/>
    <w:rsid w:val="0043739B"/>
    <w:rsid w:val="00441579"/>
    <w:rsid w:val="004418B5"/>
    <w:rsid w:val="00445789"/>
    <w:rsid w:val="00463FB8"/>
    <w:rsid w:val="00480A2F"/>
    <w:rsid w:val="00480B47"/>
    <w:rsid w:val="00481F19"/>
    <w:rsid w:val="00487BC0"/>
    <w:rsid w:val="00490FF8"/>
    <w:rsid w:val="004A1851"/>
    <w:rsid w:val="004B337A"/>
    <w:rsid w:val="004B5538"/>
    <w:rsid w:val="004C3127"/>
    <w:rsid w:val="004D27C3"/>
    <w:rsid w:val="004D44D2"/>
    <w:rsid w:val="004D491E"/>
    <w:rsid w:val="004E3E51"/>
    <w:rsid w:val="004E625A"/>
    <w:rsid w:val="004F73BD"/>
    <w:rsid w:val="00502474"/>
    <w:rsid w:val="00515110"/>
    <w:rsid w:val="00523062"/>
    <w:rsid w:val="00532434"/>
    <w:rsid w:val="00537019"/>
    <w:rsid w:val="0054271B"/>
    <w:rsid w:val="00545281"/>
    <w:rsid w:val="00551A39"/>
    <w:rsid w:val="00566585"/>
    <w:rsid w:val="00580A2F"/>
    <w:rsid w:val="005A2CB7"/>
    <w:rsid w:val="005B15C7"/>
    <w:rsid w:val="005B51EA"/>
    <w:rsid w:val="005C6B92"/>
    <w:rsid w:val="005F4CC9"/>
    <w:rsid w:val="0060056E"/>
    <w:rsid w:val="006039C9"/>
    <w:rsid w:val="00605602"/>
    <w:rsid w:val="00605D22"/>
    <w:rsid w:val="00620A03"/>
    <w:rsid w:val="00621126"/>
    <w:rsid w:val="0062145A"/>
    <w:rsid w:val="00633C60"/>
    <w:rsid w:val="00645C9F"/>
    <w:rsid w:val="00650775"/>
    <w:rsid w:val="0065388D"/>
    <w:rsid w:val="00655506"/>
    <w:rsid w:val="00674396"/>
    <w:rsid w:val="006849AD"/>
    <w:rsid w:val="006853A7"/>
    <w:rsid w:val="0069507F"/>
    <w:rsid w:val="006955DD"/>
    <w:rsid w:val="00697A98"/>
    <w:rsid w:val="006A0492"/>
    <w:rsid w:val="006A3DED"/>
    <w:rsid w:val="006A6E23"/>
    <w:rsid w:val="006B05FF"/>
    <w:rsid w:val="006C4D2E"/>
    <w:rsid w:val="006D3D60"/>
    <w:rsid w:val="006E1F9C"/>
    <w:rsid w:val="006E4A2C"/>
    <w:rsid w:val="006E721A"/>
    <w:rsid w:val="006F0E11"/>
    <w:rsid w:val="006F40C8"/>
    <w:rsid w:val="00700872"/>
    <w:rsid w:val="00706BB4"/>
    <w:rsid w:val="00714029"/>
    <w:rsid w:val="007203B6"/>
    <w:rsid w:val="007222C1"/>
    <w:rsid w:val="00725205"/>
    <w:rsid w:val="0074091B"/>
    <w:rsid w:val="00740927"/>
    <w:rsid w:val="00744302"/>
    <w:rsid w:val="00747C60"/>
    <w:rsid w:val="007732EA"/>
    <w:rsid w:val="00777EA3"/>
    <w:rsid w:val="007933F9"/>
    <w:rsid w:val="00793C7B"/>
    <w:rsid w:val="007954B6"/>
    <w:rsid w:val="007A5E22"/>
    <w:rsid w:val="007B3768"/>
    <w:rsid w:val="007B5395"/>
    <w:rsid w:val="007C38FB"/>
    <w:rsid w:val="007C6434"/>
    <w:rsid w:val="007D4E4C"/>
    <w:rsid w:val="007D5F13"/>
    <w:rsid w:val="007D69F8"/>
    <w:rsid w:val="007E4819"/>
    <w:rsid w:val="007E4E03"/>
    <w:rsid w:val="007E7289"/>
    <w:rsid w:val="00805F3F"/>
    <w:rsid w:val="00817A5D"/>
    <w:rsid w:val="00821209"/>
    <w:rsid w:val="00821491"/>
    <w:rsid w:val="00831411"/>
    <w:rsid w:val="00842536"/>
    <w:rsid w:val="00843692"/>
    <w:rsid w:val="0085135B"/>
    <w:rsid w:val="0085287C"/>
    <w:rsid w:val="008559B6"/>
    <w:rsid w:val="008559FD"/>
    <w:rsid w:val="00855E65"/>
    <w:rsid w:val="0085612E"/>
    <w:rsid w:val="00880868"/>
    <w:rsid w:val="00880D30"/>
    <w:rsid w:val="008811AD"/>
    <w:rsid w:val="008812FA"/>
    <w:rsid w:val="008B222B"/>
    <w:rsid w:val="008C138F"/>
    <w:rsid w:val="008C204C"/>
    <w:rsid w:val="008C2625"/>
    <w:rsid w:val="008C4FE2"/>
    <w:rsid w:val="008D4D6A"/>
    <w:rsid w:val="008F7014"/>
    <w:rsid w:val="009049E9"/>
    <w:rsid w:val="00907F9B"/>
    <w:rsid w:val="00911503"/>
    <w:rsid w:val="00917C2D"/>
    <w:rsid w:val="009209B6"/>
    <w:rsid w:val="00923CB4"/>
    <w:rsid w:val="009335E0"/>
    <w:rsid w:val="00941732"/>
    <w:rsid w:val="009510F3"/>
    <w:rsid w:val="00954018"/>
    <w:rsid w:val="00955590"/>
    <w:rsid w:val="00970435"/>
    <w:rsid w:val="009704EC"/>
    <w:rsid w:val="00971619"/>
    <w:rsid w:val="00982EAB"/>
    <w:rsid w:val="0098505E"/>
    <w:rsid w:val="00991480"/>
    <w:rsid w:val="009945A7"/>
    <w:rsid w:val="00995E63"/>
    <w:rsid w:val="0099643D"/>
    <w:rsid w:val="009969DC"/>
    <w:rsid w:val="00996BA5"/>
    <w:rsid w:val="009A0F79"/>
    <w:rsid w:val="009A3C75"/>
    <w:rsid w:val="009B03F2"/>
    <w:rsid w:val="009C4EE2"/>
    <w:rsid w:val="009D46B1"/>
    <w:rsid w:val="009E7F6E"/>
    <w:rsid w:val="009F2B6A"/>
    <w:rsid w:val="009F5541"/>
    <w:rsid w:val="00A01204"/>
    <w:rsid w:val="00A022BA"/>
    <w:rsid w:val="00A256AC"/>
    <w:rsid w:val="00A32BE3"/>
    <w:rsid w:val="00A4207A"/>
    <w:rsid w:val="00A5653E"/>
    <w:rsid w:val="00A63533"/>
    <w:rsid w:val="00A723C4"/>
    <w:rsid w:val="00A72D2B"/>
    <w:rsid w:val="00A820E9"/>
    <w:rsid w:val="00A82942"/>
    <w:rsid w:val="00A83E24"/>
    <w:rsid w:val="00AA20F8"/>
    <w:rsid w:val="00AA327B"/>
    <w:rsid w:val="00AA55AF"/>
    <w:rsid w:val="00AB19A5"/>
    <w:rsid w:val="00AC2FD6"/>
    <w:rsid w:val="00AC78FC"/>
    <w:rsid w:val="00AD4CFE"/>
    <w:rsid w:val="00AE79BA"/>
    <w:rsid w:val="00AF350E"/>
    <w:rsid w:val="00AF3D8F"/>
    <w:rsid w:val="00AF5273"/>
    <w:rsid w:val="00AF5D3D"/>
    <w:rsid w:val="00B0671C"/>
    <w:rsid w:val="00B13495"/>
    <w:rsid w:val="00B262DD"/>
    <w:rsid w:val="00B278DE"/>
    <w:rsid w:val="00B30287"/>
    <w:rsid w:val="00B30EBD"/>
    <w:rsid w:val="00B351C3"/>
    <w:rsid w:val="00B36AC9"/>
    <w:rsid w:val="00B36E7A"/>
    <w:rsid w:val="00B542CD"/>
    <w:rsid w:val="00B6465B"/>
    <w:rsid w:val="00B772D7"/>
    <w:rsid w:val="00B85451"/>
    <w:rsid w:val="00B86006"/>
    <w:rsid w:val="00B86D86"/>
    <w:rsid w:val="00BA2A96"/>
    <w:rsid w:val="00BA5FE5"/>
    <w:rsid w:val="00BC1FD9"/>
    <w:rsid w:val="00BC30FF"/>
    <w:rsid w:val="00BC500D"/>
    <w:rsid w:val="00BD7FD7"/>
    <w:rsid w:val="00BF1606"/>
    <w:rsid w:val="00BF1647"/>
    <w:rsid w:val="00BF5A25"/>
    <w:rsid w:val="00C06428"/>
    <w:rsid w:val="00C11347"/>
    <w:rsid w:val="00C35018"/>
    <w:rsid w:val="00C40A34"/>
    <w:rsid w:val="00C4484E"/>
    <w:rsid w:val="00C46F7C"/>
    <w:rsid w:val="00C519B5"/>
    <w:rsid w:val="00C55EDB"/>
    <w:rsid w:val="00C573E9"/>
    <w:rsid w:val="00C729DA"/>
    <w:rsid w:val="00C764B7"/>
    <w:rsid w:val="00C90B56"/>
    <w:rsid w:val="00CA3F25"/>
    <w:rsid w:val="00CB5B9D"/>
    <w:rsid w:val="00CB6428"/>
    <w:rsid w:val="00CC01A5"/>
    <w:rsid w:val="00CC2134"/>
    <w:rsid w:val="00CD255A"/>
    <w:rsid w:val="00D126EC"/>
    <w:rsid w:val="00D14955"/>
    <w:rsid w:val="00D24CD6"/>
    <w:rsid w:val="00D24FA6"/>
    <w:rsid w:val="00D544D2"/>
    <w:rsid w:val="00D660F8"/>
    <w:rsid w:val="00D744C5"/>
    <w:rsid w:val="00D827AF"/>
    <w:rsid w:val="00D8451F"/>
    <w:rsid w:val="00D8474D"/>
    <w:rsid w:val="00D84D5B"/>
    <w:rsid w:val="00D86771"/>
    <w:rsid w:val="00D90C73"/>
    <w:rsid w:val="00D90F17"/>
    <w:rsid w:val="00D9480E"/>
    <w:rsid w:val="00D94FFD"/>
    <w:rsid w:val="00DA7038"/>
    <w:rsid w:val="00DB4AF2"/>
    <w:rsid w:val="00DB572A"/>
    <w:rsid w:val="00DC14B3"/>
    <w:rsid w:val="00DC399C"/>
    <w:rsid w:val="00DC7D6D"/>
    <w:rsid w:val="00DD2999"/>
    <w:rsid w:val="00DD2B43"/>
    <w:rsid w:val="00DD2CF8"/>
    <w:rsid w:val="00DD5C58"/>
    <w:rsid w:val="00DE240B"/>
    <w:rsid w:val="00DE529C"/>
    <w:rsid w:val="00DE6D9E"/>
    <w:rsid w:val="00DF3482"/>
    <w:rsid w:val="00DF450F"/>
    <w:rsid w:val="00E04A58"/>
    <w:rsid w:val="00E07425"/>
    <w:rsid w:val="00E07A05"/>
    <w:rsid w:val="00E16025"/>
    <w:rsid w:val="00E167FD"/>
    <w:rsid w:val="00E16F50"/>
    <w:rsid w:val="00E24179"/>
    <w:rsid w:val="00E31783"/>
    <w:rsid w:val="00E36636"/>
    <w:rsid w:val="00E43A34"/>
    <w:rsid w:val="00E44D37"/>
    <w:rsid w:val="00E52850"/>
    <w:rsid w:val="00E609A5"/>
    <w:rsid w:val="00E61928"/>
    <w:rsid w:val="00E656D2"/>
    <w:rsid w:val="00E7276C"/>
    <w:rsid w:val="00E84382"/>
    <w:rsid w:val="00E9180B"/>
    <w:rsid w:val="00EA0646"/>
    <w:rsid w:val="00EA2BA4"/>
    <w:rsid w:val="00EA3103"/>
    <w:rsid w:val="00EB15C1"/>
    <w:rsid w:val="00EC325A"/>
    <w:rsid w:val="00EC3A8E"/>
    <w:rsid w:val="00EC57F0"/>
    <w:rsid w:val="00ED68AF"/>
    <w:rsid w:val="00EF2E7C"/>
    <w:rsid w:val="00F01A6E"/>
    <w:rsid w:val="00F11811"/>
    <w:rsid w:val="00F20178"/>
    <w:rsid w:val="00F23C6C"/>
    <w:rsid w:val="00F24BC8"/>
    <w:rsid w:val="00F25045"/>
    <w:rsid w:val="00F30F3E"/>
    <w:rsid w:val="00F32002"/>
    <w:rsid w:val="00F4605D"/>
    <w:rsid w:val="00F51EF5"/>
    <w:rsid w:val="00F74928"/>
    <w:rsid w:val="00F8197E"/>
    <w:rsid w:val="00F833B1"/>
    <w:rsid w:val="00F87D90"/>
    <w:rsid w:val="00F90495"/>
    <w:rsid w:val="00FA4179"/>
    <w:rsid w:val="00FB4362"/>
    <w:rsid w:val="00FB53A1"/>
    <w:rsid w:val="00FD30CF"/>
    <w:rsid w:val="00FE0E46"/>
    <w:rsid w:val="00FF0AEC"/>
    <w:rsid w:val="00FF1DF4"/>
    <w:rsid w:val="00FF4165"/>
    <w:rsid w:val="019F75A7"/>
    <w:rsid w:val="02E03DF9"/>
    <w:rsid w:val="069937A3"/>
    <w:rsid w:val="076D15CF"/>
    <w:rsid w:val="08CC0577"/>
    <w:rsid w:val="113741D2"/>
    <w:rsid w:val="126C497F"/>
    <w:rsid w:val="15915022"/>
    <w:rsid w:val="159A7D4D"/>
    <w:rsid w:val="18330BA7"/>
    <w:rsid w:val="1CFE7345"/>
    <w:rsid w:val="1D34261E"/>
    <w:rsid w:val="20B8190A"/>
    <w:rsid w:val="221D0C1B"/>
    <w:rsid w:val="224D13BD"/>
    <w:rsid w:val="29471761"/>
    <w:rsid w:val="3068150A"/>
    <w:rsid w:val="35B06864"/>
    <w:rsid w:val="379D4807"/>
    <w:rsid w:val="39903780"/>
    <w:rsid w:val="3A1439A9"/>
    <w:rsid w:val="3E001DAE"/>
    <w:rsid w:val="3E6D3EE6"/>
    <w:rsid w:val="3EB05C6A"/>
    <w:rsid w:val="42236E05"/>
    <w:rsid w:val="42A05423"/>
    <w:rsid w:val="45533A3D"/>
    <w:rsid w:val="46212B20"/>
    <w:rsid w:val="49D46CB0"/>
    <w:rsid w:val="4AD8242D"/>
    <w:rsid w:val="4C433C79"/>
    <w:rsid w:val="4F5F526E"/>
    <w:rsid w:val="50377F99"/>
    <w:rsid w:val="527E074E"/>
    <w:rsid w:val="554051FA"/>
    <w:rsid w:val="56393C72"/>
    <w:rsid w:val="579503FF"/>
    <w:rsid w:val="586F3041"/>
    <w:rsid w:val="5BC06CC0"/>
    <w:rsid w:val="60535296"/>
    <w:rsid w:val="60E45767"/>
    <w:rsid w:val="624D0F56"/>
    <w:rsid w:val="66B65306"/>
    <w:rsid w:val="6AFD0380"/>
    <w:rsid w:val="6BB55ECB"/>
    <w:rsid w:val="6E102E7E"/>
    <w:rsid w:val="6EC036E7"/>
    <w:rsid w:val="6FB8007A"/>
    <w:rsid w:val="7121017E"/>
    <w:rsid w:val="71E338E5"/>
    <w:rsid w:val="72FD2525"/>
    <w:rsid w:val="77AB69F3"/>
    <w:rsid w:val="77B75398"/>
    <w:rsid w:val="78034139"/>
    <w:rsid w:val="78106856"/>
    <w:rsid w:val="78CA10FB"/>
    <w:rsid w:val="7F875650"/>
    <w:rsid w:val="FF7FF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9"/>
    <w:autoRedefine/>
    <w:qFormat/>
    <w:uiPriority w:val="0"/>
    <w:pPr>
      <w:jc w:val="left"/>
    </w:pPr>
  </w:style>
  <w:style w:type="paragraph" w:styleId="4">
    <w:name w:val="Body Text"/>
    <w:basedOn w:val="1"/>
    <w:qFormat/>
    <w:uiPriority w:val="0"/>
    <w:pPr>
      <w:spacing w:after="120"/>
    </w:pPr>
  </w:style>
  <w:style w:type="paragraph" w:styleId="5">
    <w:name w:val="Balloon Text"/>
    <w:basedOn w:val="1"/>
    <w:link w:val="16"/>
    <w:qFormat/>
    <w:uiPriority w:val="0"/>
    <w:rPr>
      <w:sz w:val="18"/>
      <w:szCs w:val="18"/>
    </w:rPr>
  </w:style>
  <w:style w:type="paragraph" w:styleId="6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annotation subject"/>
    <w:basedOn w:val="3"/>
    <w:next w:val="3"/>
    <w:link w:val="20"/>
    <w:autoRedefine/>
    <w:qFormat/>
    <w:uiPriority w:val="0"/>
    <w:rPr>
      <w:b/>
      <w:bCs/>
    </w:rPr>
  </w:style>
  <w:style w:type="character" w:styleId="11">
    <w:name w:val="line number"/>
    <w:autoRedefine/>
    <w:qFormat/>
    <w:uiPriority w:val="0"/>
  </w:style>
  <w:style w:type="character" w:styleId="12">
    <w:name w:val="annotation reference"/>
    <w:autoRedefine/>
    <w:qFormat/>
    <w:uiPriority w:val="0"/>
    <w:rPr>
      <w:sz w:val="21"/>
      <w:szCs w:val="21"/>
    </w:rPr>
  </w:style>
  <w:style w:type="character" w:customStyle="1" w:styleId="13">
    <w:name w:val="页脚 Char"/>
    <w:link w:val="6"/>
    <w:qFormat/>
    <w:uiPriority w:val="0"/>
    <w:rPr>
      <w:sz w:val="18"/>
      <w:szCs w:val="18"/>
    </w:rPr>
  </w:style>
  <w:style w:type="character" w:customStyle="1" w:styleId="14">
    <w:name w:val="页眉 Char"/>
    <w:link w:val="7"/>
    <w:autoRedefine/>
    <w:qFormat/>
    <w:uiPriority w:val="0"/>
    <w:rPr>
      <w:sz w:val="18"/>
      <w:szCs w:val="18"/>
    </w:rPr>
  </w:style>
  <w:style w:type="paragraph" w:styleId="15">
    <w:name w:val="List Paragraph"/>
    <w:basedOn w:val="1"/>
    <w:qFormat/>
    <w:uiPriority w:val="0"/>
    <w:pPr>
      <w:ind w:firstLine="420" w:firstLineChars="200"/>
    </w:pPr>
  </w:style>
  <w:style w:type="character" w:customStyle="1" w:styleId="16">
    <w:name w:val="批注框文本 Char"/>
    <w:link w:val="5"/>
    <w:qFormat/>
    <w:uiPriority w:val="0"/>
    <w:rPr>
      <w:kern w:val="2"/>
      <w:sz w:val="18"/>
      <w:szCs w:val="18"/>
    </w:rPr>
  </w:style>
  <w:style w:type="character" w:customStyle="1" w:styleId="17">
    <w:name w:val="标题 1 Char"/>
    <w:link w:val="2"/>
    <w:autoRedefine/>
    <w:qFormat/>
    <w:uiPriority w:val="0"/>
    <w:rPr>
      <w:rFonts w:ascii="Times New Roman" w:hAnsi="Times New Roman"/>
      <w:b/>
      <w:bCs/>
      <w:kern w:val="44"/>
      <w:sz w:val="44"/>
      <w:szCs w:val="44"/>
    </w:rPr>
  </w:style>
  <w:style w:type="paragraph" w:customStyle="1" w:styleId="18">
    <w:name w:val="TOC Heading"/>
    <w:basedOn w:val="2"/>
    <w:next w:val="1"/>
    <w:qFormat/>
    <w:uiPriority w:val="0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9">
    <w:name w:val="批注文字 Char"/>
    <w:link w:val="3"/>
    <w:qFormat/>
    <w:uiPriority w:val="0"/>
    <w:rPr>
      <w:kern w:val="2"/>
      <w:sz w:val="21"/>
      <w:szCs w:val="22"/>
    </w:rPr>
  </w:style>
  <w:style w:type="character" w:customStyle="1" w:styleId="20">
    <w:name w:val="批注主题 Char"/>
    <w:link w:val="8"/>
    <w:qFormat/>
    <w:uiPriority w:val="0"/>
    <w:rPr>
      <w:b/>
      <w:bCs/>
      <w:kern w:val="2"/>
      <w:sz w:val="21"/>
      <w:szCs w:val="22"/>
    </w:rPr>
  </w:style>
  <w:style w:type="character" w:customStyle="1" w:styleId="21">
    <w:name w:val="fontstyle0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2">
    <w:name w:val="fontstyle2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3">
    <w:name w:val="fontstyle1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4">
    <w:name w:val="fontstyle3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beijing</Company>
  <Pages>10</Pages>
  <Words>3295</Words>
  <Characters>3554</Characters>
  <Lines>68</Lines>
  <Paragraphs>19</Paragraphs>
  <TotalTime>36</TotalTime>
  <ScaleCrop>false</ScaleCrop>
  <LinksUpToDate>false</LinksUpToDate>
  <CharactersWithSpaces>3748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2024-01-30T17:03:00Z</dcterms:created>
  <dc:creator>home</dc:creator>
  <cp:lastModifiedBy>花落丶听雨丿孤</cp:lastModifiedBy>
  <cp:lastPrinted>2026-03-13T02:37:00Z</cp:lastPrinted>
  <dcterms:modified xsi:type="dcterms:W3CDTF">2026-03-13T09:19:13Z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61776DCF6D8D4069BF78DDDC379021A3_13</vt:lpwstr>
  </property>
  <property fmtid="{D5CDD505-2E9C-101B-9397-08002B2CF9AE}" pid="4" name="KSOTemplateDocerSaveRecord">
    <vt:lpwstr>eyJoZGlkIjoiZjE4NjE2N2RiMGQ2MmYzNTc3ZDAwMGRjOWZkZDg4MWIiLCJ1c2VySWQiOiIyMjQ3MzAxNjAifQ==</vt:lpwstr>
  </property>
</Properties>
</file>