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224BA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7B7333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4E1E17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C6FB334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华池县文化馆</w:t>
      </w:r>
    </w:p>
    <w:p w14:paraId="145D5C0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43B50D7F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0F92DCC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34734E1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4265BAB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</w:p>
    <w:p w14:paraId="309DA482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31B6C59E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5B56309A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58827072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03A08D8F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61FAD3F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负责举办各类展览、讲座、培训等，普及科学文化知识，开展社会教育，提高群众文化素质，组织开展丰富多彩的群众喜闻乐见的文化活动，开展流动文化服务，指导群众业余文艺团队建设，辅导和培训群众文艺骨干，组织并指导群众文艺创作，开展群众文化工作理论研究。负责全县各乡镇文化馆分馆、文化站、各企事业单位群众业余音乐、舞蹈文化活动的组织、辅导、示范、指导工作，为各乡镇文化分馆、文化站培训人员、配送文化资源和文化服务。</w:t>
      </w:r>
    </w:p>
    <w:p w14:paraId="467BC3A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3C60489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47EBBEB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华池县文化馆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内设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个职能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股室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。</w:t>
      </w:r>
    </w:p>
    <w:p w14:paraId="10753B1D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697A65C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6BF6A27E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76E8D342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20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年度，我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共有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名，其中：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行政编制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名，参公事业编制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名，事业编制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名，后勤编制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。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财政供养总人数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人，其中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在职人员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人（正科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人，副科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人，科员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人，工人0人）,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雇佣人员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人，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离退休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遗属0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人。</w:t>
      </w:r>
    </w:p>
    <w:p w14:paraId="76E78E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</w:rPr>
        <w:t>部门/单位收支总体情况</w:t>
      </w:r>
    </w:p>
    <w:p w14:paraId="3E6172C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6E869B69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145.83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A3BF939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262FD7D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145.83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万元（详见单位预算公开表1,2）。包括：</w:t>
      </w:r>
    </w:p>
    <w:p w14:paraId="62A10EB2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145.83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6DF4674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57BCD02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4823732E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F14B54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19F8A3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145.83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3"/>
          <w:rFonts w:hint="default" w:hAnsi="仿宋"/>
        </w:rPr>
        <w:t>其中：基本支出</w:t>
      </w:r>
      <w:r>
        <w:rPr>
          <w:rStyle w:val="24"/>
          <w:rFonts w:hint="eastAsia" w:ascii="仿宋_GB2312" w:hAnsi="仿宋" w:eastAsia="仿宋_GB2312"/>
          <w:lang w:val="en-US" w:eastAsia="zh-CN"/>
        </w:rPr>
        <w:t>144.83</w:t>
      </w:r>
      <w:r>
        <w:rPr>
          <w:rStyle w:val="23"/>
          <w:rFonts w:hint="default" w:hAnsi="仿宋"/>
        </w:rPr>
        <w:t>万元， 占</w:t>
      </w:r>
      <w:r>
        <w:rPr>
          <w:rStyle w:val="23"/>
          <w:rFonts w:hint="eastAsia" w:hAnsi="仿宋" w:eastAsia="仿宋_GB2312"/>
          <w:lang w:val="en-US" w:eastAsia="zh-CN"/>
        </w:rPr>
        <w:t>99.31</w:t>
      </w:r>
      <w:r>
        <w:rPr>
          <w:rStyle w:val="24"/>
          <w:rFonts w:hint="eastAsia" w:ascii="仿宋_GB2312" w:hAnsi="仿宋" w:eastAsia="仿宋_GB2312"/>
        </w:rPr>
        <w:t>%</w:t>
      </w:r>
      <w:r>
        <w:rPr>
          <w:rStyle w:val="23"/>
          <w:rFonts w:hint="default" w:hAnsi="仿宋"/>
        </w:rPr>
        <w:t>； 项目支出</w:t>
      </w:r>
      <w:r>
        <w:rPr>
          <w:rStyle w:val="23"/>
          <w:rFonts w:hint="eastAsia" w:hAnsi="仿宋" w:eastAsia="仿宋_GB2312"/>
          <w:lang w:val="en-US" w:eastAsia="zh-CN"/>
        </w:rPr>
        <w:t>1</w:t>
      </w:r>
      <w:r>
        <w:rPr>
          <w:rStyle w:val="23"/>
          <w:rFonts w:hint="default" w:hAnsi="仿宋"/>
        </w:rPr>
        <w:t>万元，占</w:t>
      </w:r>
      <w:r>
        <w:rPr>
          <w:rStyle w:val="24"/>
          <w:rFonts w:hint="eastAsia" w:ascii="仿宋_GB2312" w:hAnsi="仿宋" w:eastAsia="仿宋_GB2312"/>
          <w:lang w:val="en-US" w:eastAsia="zh-CN"/>
        </w:rPr>
        <w:t>0.69</w:t>
      </w:r>
      <w:r>
        <w:rPr>
          <w:rStyle w:val="24"/>
          <w:rFonts w:hint="eastAsia" w:ascii="仿宋_GB2312" w:hAnsi="仿宋" w:eastAsia="仿宋_GB2312"/>
        </w:rPr>
        <w:t>%</w:t>
      </w:r>
      <w:r>
        <w:rPr>
          <w:rStyle w:val="23"/>
          <w:rFonts w:hint="default" w:hAnsi="仿宋"/>
        </w:rPr>
        <w:t>； 上年结转</w:t>
      </w:r>
      <w:r>
        <w:rPr>
          <w:rStyle w:val="24"/>
          <w:rFonts w:hint="eastAsia" w:ascii="仿宋_GB2312" w:hAnsi="仿宋" w:eastAsia="仿宋_GB2312"/>
          <w:lang w:val="en-US" w:eastAsia="zh-CN"/>
        </w:rPr>
        <w:t>0</w:t>
      </w:r>
      <w:r>
        <w:rPr>
          <w:rStyle w:val="23"/>
          <w:rFonts w:hint="default" w:hAnsi="仿宋"/>
        </w:rPr>
        <w:t>万元， 占</w:t>
      </w:r>
      <w:r>
        <w:rPr>
          <w:rStyle w:val="24"/>
          <w:rFonts w:hint="eastAsia" w:ascii="仿宋_GB2312" w:hAnsi="仿宋" w:eastAsia="仿宋_GB2312"/>
          <w:lang w:val="en-US" w:eastAsia="zh-CN"/>
        </w:rPr>
        <w:t>0</w:t>
      </w:r>
      <w:r>
        <w:rPr>
          <w:rStyle w:val="24"/>
          <w:rFonts w:hint="eastAsia" w:ascii="仿宋_GB2312" w:hAnsi="仿宋" w:eastAsia="仿宋_GB2312"/>
        </w:rPr>
        <w:t>%</w:t>
      </w:r>
      <w:r>
        <w:rPr>
          <w:rStyle w:val="23"/>
          <w:rFonts w:hint="default" w:hAnsi="仿宋"/>
        </w:rPr>
        <w:t>。</w:t>
      </w:r>
    </w:p>
    <w:p w14:paraId="4CB27E3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62153DB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4"/>
          <w:rFonts w:hint="eastAsia" w:ascii="仿宋_GB2312" w:hAnsi="仿宋" w:eastAsia="仿宋_GB2312"/>
          <w:lang w:eastAsia="zh-CN"/>
        </w:rPr>
        <w:t>202</w:t>
      </w:r>
      <w:r>
        <w:rPr>
          <w:rStyle w:val="24"/>
          <w:rFonts w:hint="default" w:ascii="仿宋_GB2312" w:hAnsi="仿宋" w:eastAsia="仿宋_GB2312"/>
          <w:lang w:val="en-US" w:eastAsia="zh-CN"/>
        </w:rPr>
        <w:t>6</w:t>
      </w:r>
      <w:r>
        <w:rPr>
          <w:rStyle w:val="23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145.83</w:t>
      </w:r>
      <w:r>
        <w:rPr>
          <w:rStyle w:val="23"/>
          <w:rFonts w:hint="default" w:hAnsi="仿宋"/>
        </w:rPr>
        <w:t>万元，包括：一般公共服务支出</w:t>
      </w:r>
      <w:r>
        <w:rPr>
          <w:rStyle w:val="24"/>
          <w:rFonts w:hint="eastAsia" w:ascii="仿宋_GB2312" w:hAnsi="仿宋" w:eastAsia="仿宋_GB2312"/>
          <w:lang w:val="en-US" w:eastAsia="zh-CN"/>
        </w:rPr>
        <w:t>0</w:t>
      </w:r>
      <w:r>
        <w:rPr>
          <w:rStyle w:val="23"/>
          <w:rFonts w:hint="default" w:hAnsi="仿宋"/>
        </w:rPr>
        <w:t>万元、文化体育与传媒支出</w:t>
      </w:r>
      <w:r>
        <w:rPr>
          <w:rStyle w:val="24"/>
          <w:rFonts w:hint="eastAsia" w:ascii="仿宋_GB2312" w:hAnsi="仿宋" w:eastAsia="仿宋_GB2312"/>
          <w:lang w:val="en-US" w:eastAsia="zh-CN"/>
        </w:rPr>
        <w:t>106.80</w:t>
      </w:r>
      <w:r>
        <w:rPr>
          <w:rStyle w:val="23"/>
          <w:rFonts w:hint="default" w:hAnsi="仿宋"/>
        </w:rPr>
        <w:t>万元、社会保障和就业支出</w:t>
      </w:r>
      <w:r>
        <w:rPr>
          <w:rStyle w:val="24"/>
          <w:rFonts w:hint="eastAsia" w:ascii="仿宋_GB2312" w:hAnsi="仿宋" w:eastAsia="仿宋_GB2312"/>
          <w:lang w:val="en-US" w:eastAsia="zh-CN"/>
        </w:rPr>
        <w:t>21.78</w:t>
      </w:r>
      <w:r>
        <w:rPr>
          <w:rStyle w:val="23"/>
          <w:rFonts w:hint="default" w:hAnsi="仿宋"/>
        </w:rPr>
        <w:t>万元、卫生健康支出</w:t>
      </w:r>
      <w:r>
        <w:rPr>
          <w:rStyle w:val="23"/>
          <w:rFonts w:hint="eastAsia" w:hAnsi="仿宋" w:eastAsia="仿宋_GB2312"/>
          <w:lang w:val="en-US" w:eastAsia="zh-CN"/>
        </w:rPr>
        <w:t>7.29</w:t>
      </w:r>
      <w:r>
        <w:rPr>
          <w:rStyle w:val="23"/>
          <w:rFonts w:hint="default" w:hAnsi="仿宋"/>
        </w:rPr>
        <w:t>万元</w:t>
      </w:r>
      <w:r>
        <w:rPr>
          <w:rStyle w:val="23"/>
          <w:rFonts w:hint="eastAsia" w:hAnsi="仿宋" w:eastAsia="仿宋_GB2312"/>
          <w:lang w:eastAsia="zh-CN"/>
        </w:rPr>
        <w:t>、</w:t>
      </w:r>
      <w:r>
        <w:rPr>
          <w:rStyle w:val="23"/>
          <w:rFonts w:hint="eastAsia" w:hAnsi="仿宋" w:eastAsia="仿宋_GB2312"/>
          <w:lang w:val="en-US" w:eastAsia="zh-CN"/>
        </w:rPr>
        <w:t>住房保障</w:t>
      </w:r>
      <w:r>
        <w:rPr>
          <w:rStyle w:val="23"/>
          <w:rFonts w:hint="default" w:hAnsi="仿宋"/>
        </w:rPr>
        <w:t>支出</w:t>
      </w:r>
      <w:r>
        <w:rPr>
          <w:rStyle w:val="24"/>
          <w:rFonts w:hint="eastAsia" w:ascii="仿宋_GB2312" w:hAnsi="仿宋" w:eastAsia="仿宋_GB2312"/>
          <w:lang w:val="en-US" w:eastAsia="zh-CN"/>
        </w:rPr>
        <w:t>9.96</w:t>
      </w:r>
      <w:r>
        <w:rPr>
          <w:rStyle w:val="23"/>
          <w:rFonts w:hint="default" w:hAnsi="仿宋"/>
        </w:rPr>
        <w:t>万。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76DF44F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2F4AF4D0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144.83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6.32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4.56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人员工资增加。</w:t>
      </w:r>
    </w:p>
    <w:p w14:paraId="4F43F8C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136.29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万元，主要包括：基本工资45.2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43.72万元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8.33万元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14.17万元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6.64万元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5.40万元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1.89万元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0.97万元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9.69万元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45D9CE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8.54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2.46万元</w:t>
      </w:r>
      <w:r>
        <w:rPr>
          <w:rFonts w:hint="eastAsia" w:ascii="仿宋_GB2312" w:hAnsi="仿宋" w:eastAsia="仿宋_GB2312"/>
          <w:sz w:val="32"/>
          <w:szCs w:val="32"/>
        </w:rPr>
        <w:t>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1.10万元</w:t>
      </w:r>
      <w:r>
        <w:rPr>
          <w:rFonts w:hint="eastAsia" w:ascii="仿宋_GB2312" w:hAnsi="仿宋" w:eastAsia="仿宋_GB2312"/>
          <w:sz w:val="32"/>
          <w:szCs w:val="32"/>
        </w:rPr>
        <w:t>、水费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0.07万元</w:t>
      </w:r>
      <w:r>
        <w:rPr>
          <w:rFonts w:hint="eastAsia" w:ascii="仿宋_GB2312" w:hAnsi="仿宋" w:eastAsia="仿宋_GB2312"/>
          <w:sz w:val="32"/>
          <w:szCs w:val="32"/>
        </w:rPr>
        <w:t>、电费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0.80万元 </w:t>
      </w:r>
      <w:r>
        <w:rPr>
          <w:rFonts w:hint="eastAsia" w:ascii="仿宋_GB2312" w:hAnsi="仿宋" w:eastAsia="仿宋_GB2312"/>
          <w:sz w:val="32"/>
          <w:szCs w:val="32"/>
        </w:rPr>
        <w:t>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0.27万元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0.10万元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0.95万元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0.60万元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1.19万元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 w14:paraId="212E74F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CA5FDB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一样</w:t>
      </w:r>
      <w:r>
        <w:rPr>
          <w:rFonts w:hint="eastAsia" w:ascii="仿宋_GB2312" w:hAnsi="仿宋" w:eastAsia="仿宋_GB2312"/>
          <w:sz w:val="32"/>
          <w:szCs w:val="32"/>
        </w:rPr>
        <w:t>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E762BF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FE237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个</w:t>
      </w:r>
      <w:r>
        <w:rPr>
          <w:rFonts w:hint="eastAsia" w:ascii="仿宋_GB2312" w:hAnsi="仿宋" w:eastAsia="仿宋_GB2312"/>
          <w:sz w:val="32"/>
          <w:szCs w:val="32"/>
        </w:rPr>
        <w:t>，主要是免费开放资金县级配套。</w:t>
      </w:r>
    </w:p>
    <w:p w14:paraId="5AB3EBB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E1C9A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09EA3BE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1.文化体育与传媒支出</w:t>
      </w:r>
      <w:r>
        <w:rPr>
          <w:rFonts w:hint="eastAsia" w:ascii="仿宋_GB2312" w:eastAsia="仿宋_GB2312"/>
          <w:color w:val="000000"/>
          <w:sz w:val="32"/>
          <w:szCs w:val="32"/>
        </w:rPr>
        <w:t>（ 类）文化和旅游（ 款）群众文化（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106.80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4.82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主要原因是工资职称晋升。</w:t>
      </w:r>
    </w:p>
    <w:p w14:paraId="41A980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2.社会保障和就业支出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（ 类）行政事业单位养老支出（ 款）机关事业单位基本养老保险费支出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（ 项）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21.78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1.21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主要原因是工资增加人员经费相应增加。</w:t>
      </w:r>
    </w:p>
    <w:p w14:paraId="4485D71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3.卫生健康支出（ 类）行政事业单位医疗（ 款）事业单位医疗（ 项）2026年预算数为7.29万元，比 2025年预算增加0.7万元，主要原因是工资增加人员经费相应增加。</w:t>
      </w:r>
    </w:p>
    <w:p w14:paraId="12EED00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TimesNewRomanPS-BoldMT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4.住房保障支出（ 类）住房改革支出（ 款）住房公积金（ 项）2026年预算数为9.96万元，比 2025年预算增加0.58万元，主要原因是工资增加人员经费相应增加。</w:t>
      </w:r>
    </w:p>
    <w:p w14:paraId="4730B88B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</w:t>
      </w:r>
      <w:r>
        <w:rPr>
          <w:rFonts w:hint="eastAsia" w:ascii="黑体" w:hAnsi="黑体" w:eastAsia="黑体" w:cs="宋体"/>
          <w:kern w:val="0"/>
          <w:sz w:val="32"/>
          <w:szCs w:val="32"/>
        </w:rPr>
        <w:t>部门（单位）</w:t>
      </w:r>
      <w:r>
        <w:rPr>
          <w:rFonts w:hint="eastAsia" w:ascii="黑体" w:hAnsi="黑体" w:eastAsia="黑体" w:cs="宋体"/>
          <w:kern w:val="0"/>
          <w:sz w:val="32"/>
          <w:szCs w:val="32"/>
        </w:rPr>
        <w:t>一般公共预算财政拨款“三公”经费、培训费、会议费等情况</w:t>
      </w:r>
    </w:p>
    <w:p w14:paraId="2A49975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2C40D2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37AB0D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424B9F4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88BC4F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472DC07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6D656AF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2141C3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674D748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0E09B02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358185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本单位没有</w:t>
      </w: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229B3B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1004C65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4.4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74496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2C83D9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34138E1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892.34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7BE758F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26F5938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25D4E4F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 w14:paraId="7AF964B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D0146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431A5A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0FE5D87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单位预算安排的经济社会发展类项目公开项目文本信息，包括项目名称、项目概况、立项依据、实施主体、实施周期、实施计划、年度预算安排、预期总体目标等内容。没有经济社会发展类项目支出的单位可公开其他类项目。</w:t>
      </w:r>
    </w:p>
    <w:p w14:paraId="5F205E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项目名称：免费开放专项资金县级配套</w:t>
      </w:r>
    </w:p>
    <w:p w14:paraId="7D07FF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" w:eastAsia="仿宋_GB2312"/>
          <w:sz w:val="32"/>
          <w:szCs w:val="32"/>
        </w:rPr>
        <w:t>华池县文化馆免费开放资金县级配套</w:t>
      </w:r>
    </w:p>
    <w:p w14:paraId="63E6D48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县财政局（华财发〔2026〕8号）关于2026年部门预算的批复</w:t>
      </w:r>
    </w:p>
    <w:p w14:paraId="63D604F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华池县文化馆</w:t>
      </w:r>
    </w:p>
    <w:p w14:paraId="5C6959A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72EC478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计划第一阶段支付5000元，第二阶段支付5000元，分两阶段支付完。</w:t>
      </w:r>
    </w:p>
    <w:p w14:paraId="7B42E6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2026年计划安排1万元。</w:t>
      </w:r>
    </w:p>
    <w:p w14:paraId="51FD460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</w:t>
      </w:r>
    </w:p>
    <w:p w14:paraId="7F18356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正常开展免费开放服务，开展群众文化活动30场次；举办优秀非物质文化遗产华池剪纸、庆阳香包、南梁腰鼓进校园活动5次；开展文化馆服务宣传周、“文化和自然遗产日”等群众文化品牌活动直录播1场次。组织开展妇女业务提升培训班1期30人；推进服务体系建设，实现资源共享，提升服务效能，全面推动群众文化活动广泛开展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F302B5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70F14563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4DC20B1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A5425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。</w:t>
      </w:r>
    </w:p>
    <w:p w14:paraId="1FF9596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033F8AE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232CEDB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433DC03C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438463F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财政资金困难暂未支付,但是项目均已完成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05A961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%。绩效自评结果随部门决算报送财政和随决算公开情况：我单位及时报送绩效自评结果决算和随决算及时公开。</w:t>
      </w:r>
    </w:p>
    <w:p w14:paraId="160C599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   个。</w:t>
      </w:r>
    </w:p>
    <w:p w14:paraId="4F73802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F5824B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2FF9B1E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2C88432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60DE2D4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0F99E16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</w:rPr>
        <w:t>理行政事业性收费（主要是教育收费）、其他非税收入。</w:t>
      </w:r>
    </w:p>
    <w:p w14:paraId="44B637A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44CEAEC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2925743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5DD5293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3391483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17A2A03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434FC25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华池县文化馆</w:t>
      </w:r>
    </w:p>
    <w:p w14:paraId="63833D00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256319AE">
      <w:pPr>
        <w:adjustRightInd w:val="0"/>
        <w:snapToGrid w:val="0"/>
        <w:spacing w:line="640" w:lineRule="exact"/>
        <w:ind w:right="1120"/>
        <w:contextualSpacing/>
        <w:jc w:val="both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1F366E51">
      <w:pPr>
        <w:adjustRightInd w:val="0"/>
        <w:snapToGrid w:val="0"/>
        <w:spacing w:line="640" w:lineRule="exact"/>
        <w:ind w:right="1120"/>
        <w:contextualSpacing/>
        <w:jc w:val="both"/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华池县文化馆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0096067B">
      <w:pPr>
        <w:adjustRightInd w:val="0"/>
        <w:snapToGrid w:val="0"/>
        <w:spacing w:line="640" w:lineRule="exact"/>
        <w:ind w:right="1120" w:firstLine="960" w:firstLineChars="300"/>
        <w:contextualSpacing/>
        <w:jc w:val="both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华池县文化馆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439F1323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AEED8">
    <w:pPr>
      <w:pStyle w:val="8"/>
      <w:jc w:val="center"/>
    </w:pPr>
  </w:p>
  <w:p w14:paraId="28F321A5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2837F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10B188CC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OWQ2MGExOTI4NDZlYTBkMmI0M2NjZDdiMjEwNDA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D767C35"/>
    <w:rsid w:val="113741D2"/>
    <w:rsid w:val="18330BA7"/>
    <w:rsid w:val="1D34261E"/>
    <w:rsid w:val="1EE63EDB"/>
    <w:rsid w:val="2C4E2107"/>
    <w:rsid w:val="31780395"/>
    <w:rsid w:val="42A05423"/>
    <w:rsid w:val="4C433C79"/>
    <w:rsid w:val="527E074E"/>
    <w:rsid w:val="56393C72"/>
    <w:rsid w:val="579503FF"/>
    <w:rsid w:val="59206C3E"/>
    <w:rsid w:val="5AF00505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Body Text"/>
    <w:basedOn w:val="1"/>
    <w:next w:val="4"/>
    <w:qFormat/>
    <w:uiPriority w:val="0"/>
    <w:pPr>
      <w:spacing w:after="120" w:afterLines="0" w:line="240" w:lineRule="auto"/>
      <w:ind w:left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4">
    <w:name w:val="二级标题"/>
    <w:basedOn w:val="1"/>
    <w:autoRedefine/>
    <w:qFormat/>
    <w:uiPriority w:val="0"/>
    <w:pPr>
      <w:tabs>
        <w:tab w:val="left" w:pos="567"/>
      </w:tabs>
      <w:spacing w:line="360" w:lineRule="auto"/>
      <w:ind w:left="567" w:hanging="567"/>
      <w:outlineLvl w:val="1"/>
    </w:pPr>
    <w:rPr>
      <w:rFonts w:ascii="黑体" w:hAnsi="宋体" w:eastAsia="黑体"/>
      <w:sz w:val="32"/>
      <w:szCs w:val="28"/>
    </w:rPr>
  </w:style>
  <w:style w:type="paragraph" w:styleId="6">
    <w:name w:val="annotation text"/>
    <w:basedOn w:val="1"/>
    <w:link w:val="21"/>
    <w:qFormat/>
    <w:uiPriority w:val="0"/>
    <w:pPr>
      <w:jc w:val="left"/>
    </w:p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6"/>
    <w:next w:val="6"/>
    <w:link w:val="22"/>
    <w:qFormat/>
    <w:uiPriority w:val="0"/>
    <w:rPr>
      <w:b/>
      <w:bCs/>
    </w:rPr>
  </w:style>
  <w:style w:type="character" w:styleId="13">
    <w:name w:val="line number"/>
    <w:qFormat/>
    <w:uiPriority w:val="0"/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页脚 Char"/>
    <w:link w:val="8"/>
    <w:qFormat/>
    <w:uiPriority w:val="0"/>
    <w:rPr>
      <w:sz w:val="18"/>
      <w:szCs w:val="18"/>
    </w:rPr>
  </w:style>
  <w:style w:type="character" w:customStyle="1" w:styleId="16">
    <w:name w:val="页眉 Char"/>
    <w:link w:val="9"/>
    <w:qFormat/>
    <w:uiPriority w:val="0"/>
    <w:rPr>
      <w:sz w:val="18"/>
      <w:szCs w:val="18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  <w:style w:type="character" w:customStyle="1" w:styleId="18">
    <w:name w:val="批注框文本 Char"/>
    <w:link w:val="7"/>
    <w:qFormat/>
    <w:uiPriority w:val="0"/>
    <w:rPr>
      <w:kern w:val="2"/>
      <w:sz w:val="18"/>
      <w:szCs w:val="18"/>
    </w:rPr>
  </w:style>
  <w:style w:type="character" w:customStyle="1" w:styleId="19">
    <w:name w:val="标题 1 Char"/>
    <w:link w:val="5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20">
    <w:name w:val="TOC Heading"/>
    <w:basedOn w:val="5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1">
    <w:name w:val="批注文字 Char"/>
    <w:link w:val="6"/>
    <w:qFormat/>
    <w:uiPriority w:val="0"/>
    <w:rPr>
      <w:kern w:val="2"/>
      <w:sz w:val="21"/>
      <w:szCs w:val="22"/>
    </w:rPr>
  </w:style>
  <w:style w:type="character" w:customStyle="1" w:styleId="22">
    <w:name w:val="批注主题 Char"/>
    <w:link w:val="10"/>
    <w:qFormat/>
    <w:uiPriority w:val="0"/>
    <w:rPr>
      <w:b/>
      <w:bCs/>
      <w:kern w:val="2"/>
      <w:sz w:val="21"/>
      <w:szCs w:val="22"/>
    </w:rPr>
  </w:style>
  <w:style w:type="character" w:customStyle="1" w:styleId="23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242</Words>
  <Characters>251</Characters>
  <Lines>68</Lines>
  <Paragraphs>19</Paragraphs>
  <TotalTime>3</TotalTime>
  <ScaleCrop>false</ScaleCrop>
  <LinksUpToDate>false</LinksUpToDate>
  <CharactersWithSpaces>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小乖</cp:lastModifiedBy>
  <cp:lastPrinted>2026-03-12T08:26:00Z</cp:lastPrinted>
  <dcterms:modified xsi:type="dcterms:W3CDTF">2026-03-16T01:02:33Z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C67F94C61176423CBD36F2B62D8B61EF_13</vt:lpwstr>
  </property>
  <property fmtid="{D5CDD505-2E9C-101B-9397-08002B2CF9AE}" pid="4" name="KSOTemplateDocerSaveRecord">
    <vt:lpwstr>eyJoZGlkIjoiOTVjYTUyYmM3NzE1NGI0YjJlZmZhOGI5NGU5Y2U5MzUiLCJ1c2VySWQiOiIxMjYxNDk4MzY3In0=</vt:lpwstr>
  </property>
</Properties>
</file>