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F6C557C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华池县南梁红色艺术交流中心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109D4817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1B8F22A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0BE36DF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0F2BA44C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19EA7D0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33C617E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3C9E027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3F4358F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35AD31C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7F9E1DA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1D50C34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79FDDD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66609FB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5FBF5D6F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20B26CD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55D0EE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15F12D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2FC85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615D801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7CC5A22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1B266B4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AF89E1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36EB7F3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19DC9E6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3F7D05F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61780C4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558970F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1F6CFED6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2BA02A1">
      <w:pPr>
        <w:spacing w:line="600" w:lineRule="exact"/>
        <w:ind w:firstLine="68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4"/>
          <w:szCs w:val="34"/>
        </w:rPr>
        <w:t>坚持社会主义文化发展方向，不断面向社会、面向群众宣传党的路线、方针、政策。深入挖掘我县历史文化底蕴，创作和编排讴歌红色精神、南梁革命历史的戏剧、歌舞等文艺节目，大力发展对外文化交流演出、公益性及商业性演出。负责组织实施上级下达的“文化三下乡”、“千台大戏送农村”等文艺演出，不断丰富全县人民精神文化生活。</w:t>
      </w:r>
      <w:r>
        <w:rPr>
          <w:rFonts w:hint="eastAsia" w:ascii="仿宋_GB2312" w:eastAsia="仿宋_GB2312"/>
          <w:spacing w:val="-3"/>
          <w:sz w:val="34"/>
          <w:szCs w:val="34"/>
        </w:rPr>
        <w:t>负责县委、县政府和业务主管部门交办的其他工作。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4960021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华池县南梁红色艺术交流中心</w:t>
      </w:r>
      <w:r>
        <w:rPr>
          <w:rFonts w:ascii="Times New Roman" w:hAnsi="Times New Roman" w:eastAsia="仿宋_GB2312"/>
          <w:sz w:val="32"/>
          <w:szCs w:val="32"/>
        </w:rPr>
        <w:t>内设</w:t>
      </w:r>
      <w:r>
        <w:rPr>
          <w:rFonts w:hint="eastAsia" w:ascii="仿宋_GB2312" w:eastAsia="仿宋_GB2312" w:cs="仿宋_GB2312"/>
          <w:sz w:val="32"/>
          <w:szCs w:val="32"/>
        </w:rPr>
        <w:t>0</w:t>
      </w:r>
      <w:r>
        <w:rPr>
          <w:rFonts w:ascii="Times New Roman" w:hAnsi="Times New Roman" w:eastAsia="仿宋_GB2312"/>
          <w:sz w:val="32"/>
          <w:szCs w:val="32"/>
        </w:rPr>
        <w:t>个职能</w:t>
      </w:r>
      <w:r>
        <w:rPr>
          <w:rFonts w:hint="eastAsia" w:ascii="Times New Roman" w:hAnsi="Times New Roman" w:eastAsia="仿宋_GB2312"/>
          <w:sz w:val="32"/>
          <w:szCs w:val="32"/>
        </w:rPr>
        <w:t>股室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DB884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56C070BF">
      <w:pPr>
        <w:spacing w:line="600" w:lineRule="exact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</w:pP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2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年度，我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单位</w:t>
      </w: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共有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编制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名，其中：</w:t>
      </w: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行政编制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0</w:t>
      </w: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名，参公事业编制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0</w:t>
      </w: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名，事业编制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名，后勤编制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0</w:t>
      </w: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名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。财政供养总人数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2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人，其中：在职人员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人，雇佣人员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10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人，离退休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11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人，遗属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0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人。</w:t>
      </w:r>
    </w:p>
    <w:p w14:paraId="566E71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</w:rPr>
        <w:t>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140.78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140.78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140.78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140.78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3"/>
          <w:rFonts w:hint="default" w:hAnsi="仿宋"/>
        </w:rPr>
        <w:t>其中：基本支出</w:t>
      </w:r>
      <w:r>
        <w:rPr>
          <w:rStyle w:val="24"/>
          <w:rFonts w:hint="eastAsia" w:ascii="仿宋_GB2312" w:hAnsi="仿宋" w:eastAsia="仿宋_GB2312"/>
          <w:lang w:val="en-US" w:eastAsia="zh-CN"/>
        </w:rPr>
        <w:t>140.78</w:t>
      </w:r>
      <w:r>
        <w:rPr>
          <w:rStyle w:val="23"/>
          <w:rFonts w:hint="default" w:hAnsi="仿宋"/>
        </w:rPr>
        <w:t>万元，占</w:t>
      </w:r>
      <w:r>
        <w:rPr>
          <w:rStyle w:val="23"/>
          <w:rFonts w:hint="eastAsia" w:hAnsi="仿宋" w:eastAsia="仿宋_GB2312"/>
          <w:lang w:val="en-US" w:eastAsia="zh-CN"/>
        </w:rPr>
        <w:t>100</w:t>
      </w:r>
      <w:r>
        <w:rPr>
          <w:rStyle w:val="24"/>
          <w:rFonts w:hint="eastAsia" w:ascii="仿宋_GB2312" w:hAnsi="仿宋" w:eastAsia="仿宋_GB2312"/>
        </w:rPr>
        <w:t>%</w:t>
      </w:r>
      <w:r>
        <w:rPr>
          <w:rStyle w:val="23"/>
          <w:rFonts w:hint="default" w:hAnsi="仿宋"/>
        </w:rPr>
        <w:t>；项目支出</w:t>
      </w:r>
      <w:r>
        <w:rPr>
          <w:rStyle w:val="23"/>
          <w:rFonts w:hint="eastAsia" w:hAnsi="仿宋" w:eastAsia="仿宋_GB2312"/>
          <w:lang w:val="en-US" w:eastAsia="zh-CN"/>
        </w:rPr>
        <w:t>0</w:t>
      </w:r>
      <w:r>
        <w:rPr>
          <w:rStyle w:val="23"/>
          <w:rFonts w:hint="default" w:hAnsi="仿宋"/>
        </w:rPr>
        <w:t>万元</w:t>
      </w:r>
      <w:r>
        <w:rPr>
          <w:rStyle w:val="23"/>
          <w:rFonts w:hint="eastAsia" w:hAnsi="仿宋" w:eastAsia="仿宋_GB2312"/>
          <w:lang w:eastAsia="zh-CN"/>
        </w:rPr>
        <w:t>，</w:t>
      </w:r>
      <w:r>
        <w:rPr>
          <w:rStyle w:val="23"/>
          <w:rFonts w:hint="default" w:hAnsi="仿宋"/>
        </w:rPr>
        <w:t>占</w:t>
      </w:r>
      <w:r>
        <w:rPr>
          <w:rStyle w:val="23"/>
          <w:rFonts w:hint="eastAsia" w:hAnsi="仿宋" w:eastAsia="仿宋_GB2312"/>
          <w:lang w:val="en-US" w:eastAsia="zh-CN"/>
        </w:rPr>
        <w:t>0</w:t>
      </w:r>
      <w:r>
        <w:rPr>
          <w:rStyle w:val="24"/>
          <w:rFonts w:hint="eastAsia" w:ascii="仿宋_GB2312" w:hAnsi="仿宋" w:eastAsia="仿宋_GB2312"/>
        </w:rPr>
        <w:t>%</w:t>
      </w:r>
      <w:r>
        <w:rPr>
          <w:rStyle w:val="23"/>
          <w:rFonts w:hint="default" w:hAnsi="仿宋"/>
        </w:rPr>
        <w:t>；上年结转</w:t>
      </w:r>
      <w:r>
        <w:rPr>
          <w:rStyle w:val="24"/>
          <w:rFonts w:hint="eastAsia" w:ascii="仿宋_GB2312" w:hAnsi="仿宋" w:eastAsia="仿宋_GB2312"/>
          <w:lang w:val="en-US" w:eastAsia="zh-CN"/>
        </w:rPr>
        <w:t>0</w:t>
      </w:r>
      <w:r>
        <w:rPr>
          <w:rStyle w:val="23"/>
          <w:rFonts w:hint="default" w:hAnsi="仿宋"/>
        </w:rPr>
        <w:t>万元</w:t>
      </w:r>
      <w:r>
        <w:rPr>
          <w:rStyle w:val="23"/>
          <w:rFonts w:hint="eastAsia" w:hAnsi="仿宋" w:eastAsia="仿宋_GB2312"/>
          <w:lang w:eastAsia="zh-CN"/>
        </w:rPr>
        <w:t>，</w:t>
      </w:r>
      <w:r>
        <w:rPr>
          <w:rStyle w:val="23"/>
          <w:rFonts w:hint="default" w:hAnsi="仿宋"/>
        </w:rPr>
        <w:t>占</w:t>
      </w:r>
      <w:r>
        <w:rPr>
          <w:rStyle w:val="24"/>
          <w:rFonts w:hint="eastAsia" w:ascii="仿宋_GB2312" w:hAnsi="仿宋" w:eastAsia="仿宋_GB2312"/>
          <w:lang w:val="en-US" w:eastAsia="zh-CN"/>
        </w:rPr>
        <w:t>0</w:t>
      </w:r>
      <w:r>
        <w:rPr>
          <w:rStyle w:val="24"/>
          <w:rFonts w:hint="eastAsia" w:ascii="仿宋_GB2312" w:hAnsi="仿宋" w:eastAsia="仿宋_GB2312"/>
        </w:rPr>
        <w:t>%</w:t>
      </w:r>
      <w:r>
        <w:rPr>
          <w:rStyle w:val="23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4"/>
          <w:rFonts w:hint="eastAsia" w:ascii="仿宋_GB2312" w:hAnsi="仿宋" w:eastAsia="仿宋_GB2312"/>
          <w:lang w:eastAsia="zh-CN"/>
        </w:rPr>
        <w:t>202</w:t>
      </w:r>
      <w:r>
        <w:rPr>
          <w:rStyle w:val="24"/>
          <w:rFonts w:hint="default" w:ascii="仿宋_GB2312" w:hAnsi="仿宋" w:eastAsia="仿宋_GB2312"/>
          <w:lang w:val="en-US" w:eastAsia="zh-CN"/>
        </w:rPr>
        <w:t>6</w:t>
      </w:r>
      <w:r>
        <w:rPr>
          <w:rStyle w:val="23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140.78</w:t>
      </w:r>
      <w:r>
        <w:rPr>
          <w:rStyle w:val="23"/>
          <w:rFonts w:hint="default" w:hAnsi="仿宋"/>
        </w:rPr>
        <w:t>万元，包括：一般公共服务支出</w:t>
      </w:r>
      <w:r>
        <w:rPr>
          <w:rStyle w:val="24"/>
          <w:rFonts w:hint="eastAsia" w:ascii="仿宋_GB2312" w:hAnsi="仿宋" w:eastAsia="仿宋_GB2312"/>
          <w:lang w:val="en-US" w:eastAsia="zh-CN"/>
        </w:rPr>
        <w:t>0</w:t>
      </w:r>
      <w:r>
        <w:rPr>
          <w:rStyle w:val="23"/>
          <w:rFonts w:hint="default" w:hAnsi="仿宋"/>
        </w:rPr>
        <w:t>万元、文化旅游体育与传媒支出</w:t>
      </w:r>
      <w:r>
        <w:rPr>
          <w:rStyle w:val="23"/>
          <w:rFonts w:hint="eastAsia" w:hAnsi="仿宋" w:eastAsia="仿宋_GB2312"/>
          <w:lang w:val="en-US" w:eastAsia="zh-CN"/>
        </w:rPr>
        <w:t>13.11</w:t>
      </w:r>
      <w:r>
        <w:rPr>
          <w:rStyle w:val="23"/>
          <w:rFonts w:hint="default" w:hAnsi="仿宋"/>
        </w:rPr>
        <w:t>万元、社会保障和就业支出</w:t>
      </w:r>
      <w:r>
        <w:rPr>
          <w:rStyle w:val="24"/>
          <w:rFonts w:hint="eastAsia" w:ascii="仿宋_GB2312" w:hAnsi="仿宋" w:eastAsia="仿宋_GB2312"/>
          <w:lang w:val="en-US" w:eastAsia="zh-CN"/>
        </w:rPr>
        <w:t>24.37</w:t>
      </w:r>
      <w:r>
        <w:rPr>
          <w:rStyle w:val="23"/>
          <w:rFonts w:hint="default" w:hAnsi="仿宋"/>
        </w:rPr>
        <w:t>万元、卫生健康支出</w:t>
      </w:r>
      <w:r>
        <w:rPr>
          <w:rStyle w:val="23"/>
          <w:rFonts w:hint="eastAsia" w:hAnsi="仿宋" w:eastAsia="仿宋_GB2312"/>
          <w:lang w:val="en-US" w:eastAsia="zh-CN"/>
        </w:rPr>
        <w:t>6.16万元，住房保障支出</w:t>
      </w:r>
      <w:r>
        <w:rPr>
          <w:rStyle w:val="24"/>
          <w:rFonts w:hint="eastAsia" w:ascii="仿宋_GB2312" w:hAnsi="仿宋" w:eastAsia="仿宋_GB2312"/>
          <w:lang w:val="en-US" w:eastAsia="zh-CN"/>
        </w:rPr>
        <w:t>7.14</w:t>
      </w:r>
      <w:r>
        <w:rPr>
          <w:rStyle w:val="23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140.78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10.52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6.95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人员减少。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133.69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59.70万元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30.09万元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6.23万元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18.35万元</w:t>
      </w:r>
      <w:r>
        <w:rPr>
          <w:rFonts w:hint="eastAsia" w:ascii="仿宋_GB2312" w:hAnsi="仿宋" w:eastAsia="仿宋_GB2312"/>
          <w:sz w:val="32"/>
          <w:szCs w:val="32"/>
        </w:rPr>
        <w:t>、机关事业单位职业年金单位缴费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4.76万元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3.87万元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2.30万元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1.26万元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7.14万元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7.09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3.16万元</w:t>
      </w:r>
      <w:r>
        <w:rPr>
          <w:rFonts w:hint="eastAsia" w:ascii="仿宋_GB2312" w:hAnsi="仿宋" w:eastAsia="仿宋_GB2312"/>
          <w:sz w:val="32"/>
          <w:szCs w:val="32"/>
        </w:rPr>
        <w:t>、水费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0.10万元</w:t>
      </w:r>
      <w:r>
        <w:rPr>
          <w:rFonts w:hint="eastAsia" w:ascii="仿宋_GB2312" w:hAnsi="仿宋" w:eastAsia="仿宋_GB2312"/>
          <w:sz w:val="32"/>
          <w:szCs w:val="32"/>
        </w:rPr>
        <w:t>、电费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0.10万元</w:t>
      </w:r>
      <w:r>
        <w:rPr>
          <w:rFonts w:hint="eastAsia" w:ascii="仿宋_GB2312" w:hAnsi="仿宋" w:eastAsia="仿宋_GB2312"/>
          <w:sz w:val="32"/>
          <w:szCs w:val="32"/>
        </w:rPr>
        <w:t>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0.24万元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1.53万元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0.68万元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0.43万元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%，减少的主要原因是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2026年无项目支出。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F18FA4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文化旅游体育与传媒支出（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类）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文化和旅游</w:t>
      </w:r>
      <w:r>
        <w:rPr>
          <w:rFonts w:hint="eastAsia" w:ascii="仿宋_GB2312" w:eastAsia="仿宋_GB2312"/>
          <w:color w:val="000000"/>
          <w:sz w:val="32"/>
          <w:szCs w:val="32"/>
        </w:rPr>
        <w:t>（ 款）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艺术表演团体</w:t>
      </w:r>
      <w:r>
        <w:rPr>
          <w:rFonts w:hint="eastAsia" w:ascii="仿宋_GB2312" w:eastAsia="仿宋_GB2312"/>
          <w:color w:val="000000"/>
          <w:sz w:val="32"/>
          <w:szCs w:val="32"/>
        </w:rPr>
        <w:t>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103.11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11.32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本年度无项目支出。</w:t>
      </w:r>
    </w:p>
    <w:p w14:paraId="7B21965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2.社会保障和就业支出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类）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行政事业单位养老支出</w:t>
      </w:r>
      <w:r>
        <w:rPr>
          <w:rFonts w:hint="eastAsia" w:ascii="仿宋_GB2312" w:eastAsia="仿宋_GB2312"/>
          <w:color w:val="000000"/>
          <w:sz w:val="32"/>
          <w:szCs w:val="32"/>
        </w:rPr>
        <w:t>（ 款）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机关事业单位基本养老保险缴费支出、机关事业单位职业年金缴费支出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24.37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3.66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人员减少。</w:t>
      </w:r>
    </w:p>
    <w:p w14:paraId="3B8ACB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类）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行政事业单位医疗</w:t>
      </w:r>
      <w:r>
        <w:rPr>
          <w:rFonts w:hint="eastAsia" w:ascii="仿宋_GB2312" w:eastAsia="仿宋_GB2312"/>
          <w:color w:val="000000"/>
          <w:sz w:val="32"/>
          <w:szCs w:val="32"/>
        </w:rPr>
        <w:t>（ 款）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事业单位医疗</w:t>
      </w:r>
      <w:r>
        <w:rPr>
          <w:rFonts w:hint="eastAsia" w:ascii="仿宋_GB2312" w:eastAsia="仿宋_GB2312"/>
          <w:color w:val="000000"/>
          <w:sz w:val="32"/>
          <w:szCs w:val="32"/>
        </w:rPr>
        <w:t>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6.16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0.17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人员减少。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类）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住房改革支出</w:t>
      </w:r>
      <w:r>
        <w:rPr>
          <w:rFonts w:hint="eastAsia" w:ascii="仿宋_GB2312" w:eastAsia="仿宋_GB2312"/>
          <w:color w:val="000000"/>
          <w:sz w:val="32"/>
          <w:szCs w:val="32"/>
        </w:rPr>
        <w:t>（ 款）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住房公积金</w:t>
      </w:r>
      <w:r>
        <w:rPr>
          <w:rFonts w:hint="eastAsia" w:ascii="仿宋_GB2312" w:eastAsia="仿宋_GB2312"/>
          <w:color w:val="000000"/>
          <w:sz w:val="32"/>
          <w:szCs w:val="32"/>
        </w:rPr>
        <w:t>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7.14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0.36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人员减少。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本单位为事业单位，无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3.6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3.6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121.35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%。“双监控”发现存在的问题和主要原因是职工工资需要按月发放，以及全年演出任务场次较多，上半年完成任务。开展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%。绩效自评结果随部门决算报送财政和随决算公开情况：已及时向财政报送和公开。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bookmarkStart w:id="0" w:name="_GoBack"/>
      <w:bookmarkEnd w:id="0"/>
    </w:p>
    <w:p w14:paraId="453FCEBD">
      <w:pPr>
        <w:adjustRightInd w:val="0"/>
        <w:snapToGrid w:val="0"/>
        <w:spacing w:line="640" w:lineRule="exact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6E5951F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华池县南梁红色艺术交流中心</w:t>
      </w:r>
    </w:p>
    <w:p w14:paraId="3710F88E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6A924F76">
      <w:pPr>
        <w:adjustRightInd w:val="0"/>
        <w:snapToGrid w:val="0"/>
        <w:spacing w:line="640" w:lineRule="exact"/>
        <w:ind w:right="1120"/>
        <w:contextualSpacing/>
        <w:jc w:val="both"/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华池县南梁红色艺术交流中心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0A1B467F">
      <w:pPr>
        <w:adjustRightInd w:val="0"/>
        <w:snapToGrid w:val="0"/>
        <w:spacing w:line="640" w:lineRule="exact"/>
        <w:ind w:firstLine="960" w:firstLineChars="300"/>
        <w:contextualSpacing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华池县南梁红色艺术交流中心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53F5F5F1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8"/>
      <w:jc w:val="center"/>
    </w:pPr>
  </w:p>
  <w:p w14:paraId="18AFAB9B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0361EA8"/>
    <w:rsid w:val="113741D2"/>
    <w:rsid w:val="17192284"/>
    <w:rsid w:val="18330BA7"/>
    <w:rsid w:val="1D34261E"/>
    <w:rsid w:val="1E1B192D"/>
    <w:rsid w:val="3CA7065E"/>
    <w:rsid w:val="42A05423"/>
    <w:rsid w:val="4C433C79"/>
    <w:rsid w:val="527E074E"/>
    <w:rsid w:val="52A402A5"/>
    <w:rsid w:val="532D7631"/>
    <w:rsid w:val="56393C72"/>
    <w:rsid w:val="579503FF"/>
    <w:rsid w:val="60535296"/>
    <w:rsid w:val="664A7C0A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Body Text"/>
    <w:basedOn w:val="1"/>
    <w:next w:val="4"/>
    <w:qFormat/>
    <w:uiPriority w:val="0"/>
    <w:pPr>
      <w:spacing w:after="120" w:afterLines="0" w:line="240" w:lineRule="auto"/>
      <w:ind w:left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4">
    <w:name w:val="二级标题"/>
    <w:basedOn w:val="1"/>
    <w:autoRedefine/>
    <w:qFormat/>
    <w:uiPriority w:val="0"/>
    <w:pPr>
      <w:tabs>
        <w:tab w:val="left" w:pos="567"/>
      </w:tabs>
      <w:spacing w:line="360" w:lineRule="auto"/>
      <w:ind w:left="567" w:hanging="567"/>
      <w:outlineLvl w:val="1"/>
    </w:pPr>
    <w:rPr>
      <w:rFonts w:ascii="黑体" w:hAnsi="宋体" w:eastAsia="黑体"/>
      <w:sz w:val="32"/>
      <w:szCs w:val="28"/>
    </w:rPr>
  </w:style>
  <w:style w:type="paragraph" w:styleId="6">
    <w:name w:val="annotation text"/>
    <w:basedOn w:val="1"/>
    <w:link w:val="21"/>
    <w:autoRedefine/>
    <w:qFormat/>
    <w:uiPriority w:val="0"/>
    <w:pPr>
      <w:jc w:val="left"/>
    </w:p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6"/>
    <w:next w:val="6"/>
    <w:link w:val="22"/>
    <w:autoRedefine/>
    <w:qFormat/>
    <w:uiPriority w:val="0"/>
    <w:rPr>
      <w:b/>
      <w:bCs/>
    </w:rPr>
  </w:style>
  <w:style w:type="character" w:styleId="13">
    <w:name w:val="line number"/>
    <w:autoRedefine/>
    <w:qFormat/>
    <w:uiPriority w:val="0"/>
  </w:style>
  <w:style w:type="character" w:styleId="14">
    <w:name w:val="annotation reference"/>
    <w:autoRedefine/>
    <w:qFormat/>
    <w:uiPriority w:val="0"/>
    <w:rPr>
      <w:sz w:val="21"/>
      <w:szCs w:val="21"/>
    </w:rPr>
  </w:style>
  <w:style w:type="character" w:customStyle="1" w:styleId="15">
    <w:name w:val="页脚 Char"/>
    <w:link w:val="8"/>
    <w:qFormat/>
    <w:uiPriority w:val="0"/>
    <w:rPr>
      <w:sz w:val="18"/>
      <w:szCs w:val="18"/>
    </w:rPr>
  </w:style>
  <w:style w:type="character" w:customStyle="1" w:styleId="16">
    <w:name w:val="页眉 Char"/>
    <w:link w:val="9"/>
    <w:autoRedefine/>
    <w:qFormat/>
    <w:uiPriority w:val="0"/>
    <w:rPr>
      <w:sz w:val="18"/>
      <w:szCs w:val="18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  <w:style w:type="character" w:customStyle="1" w:styleId="18">
    <w:name w:val="批注框文本 Char"/>
    <w:link w:val="7"/>
    <w:qFormat/>
    <w:uiPriority w:val="0"/>
    <w:rPr>
      <w:kern w:val="2"/>
      <w:sz w:val="18"/>
      <w:szCs w:val="18"/>
    </w:rPr>
  </w:style>
  <w:style w:type="character" w:customStyle="1" w:styleId="19">
    <w:name w:val="标题 1 Char"/>
    <w:link w:val="5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20">
    <w:name w:val="TOC Heading"/>
    <w:basedOn w:val="5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1">
    <w:name w:val="批注文字 Char"/>
    <w:link w:val="6"/>
    <w:qFormat/>
    <w:uiPriority w:val="0"/>
    <w:rPr>
      <w:kern w:val="2"/>
      <w:sz w:val="21"/>
      <w:szCs w:val="22"/>
    </w:rPr>
  </w:style>
  <w:style w:type="character" w:customStyle="1" w:styleId="22">
    <w:name w:val="批注主题 Char"/>
    <w:link w:val="10"/>
    <w:qFormat/>
    <w:uiPriority w:val="0"/>
    <w:rPr>
      <w:b/>
      <w:bCs/>
      <w:kern w:val="2"/>
      <w:sz w:val="21"/>
      <w:szCs w:val="22"/>
    </w:rPr>
  </w:style>
  <w:style w:type="character" w:customStyle="1" w:styleId="23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4069</Words>
  <Characters>4446</Characters>
  <Lines>68</Lines>
  <Paragraphs>19</Paragraphs>
  <TotalTime>11</TotalTime>
  <ScaleCrop>false</ScaleCrop>
  <LinksUpToDate>false</LinksUpToDate>
  <CharactersWithSpaces>4505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小乖</cp:lastModifiedBy>
  <cp:lastPrinted>2026-03-12T08:25:00Z</cp:lastPrinted>
  <dcterms:modified xsi:type="dcterms:W3CDTF">2026-03-16T01:20:04Z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eyJoZGlkIjoiOTVjYTUyYmM3NzE1NGI0YjJlZmZhOGI5NGU5Y2U5MzUiLCJ1c2VySWQiOiIxMjYxNDk4MzY3In0=</vt:lpwstr>
  </property>
</Properties>
</file>