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lang w:val="en-US" w:eastAsia="zh-CN"/>
        </w:rPr>
      </w:pPr>
    </w:p>
    <w:p>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lang w:val="en-US" w:eastAsia="zh-CN"/>
        </w:rPr>
      </w:pPr>
      <w:r>
        <w:rPr>
          <w:rFonts w:hint="default" w:ascii="Times New Roman" w:hAnsi="Times New Roman" w:cs="Times New Roman"/>
          <w:b/>
          <w:bCs/>
          <w:kern w:val="0"/>
          <w:sz w:val="44"/>
          <w:szCs w:val="44"/>
          <w:lang w:val="en-US" w:eastAsia="zh-CN"/>
        </w:rPr>
        <w:t>华池县农业农村局</w:t>
      </w:r>
    </w:p>
    <w:p>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r>
        <w:rPr>
          <w:rFonts w:hint="default" w:ascii="Times New Roman" w:hAnsi="Times New Roman" w:cs="Times New Roman"/>
          <w:b/>
          <w:bCs/>
          <w:kern w:val="0"/>
          <w:sz w:val="44"/>
          <w:szCs w:val="44"/>
        </w:rPr>
        <w:t>202</w:t>
      </w:r>
      <w:r>
        <w:rPr>
          <w:rFonts w:hint="default" w:ascii="Times New Roman" w:hAnsi="Times New Roman" w:cs="Times New Roman"/>
          <w:b/>
          <w:bCs/>
          <w:kern w:val="0"/>
          <w:sz w:val="44"/>
          <w:szCs w:val="44"/>
          <w:lang w:val="en-US" w:eastAsia="zh-CN"/>
        </w:rPr>
        <w:t>6</w:t>
      </w:r>
      <w:r>
        <w:rPr>
          <w:rFonts w:hint="default" w:ascii="Times New Roman" w:hAnsi="Times New Roman" w:cs="Times New Roman"/>
          <w:b/>
          <w:bCs/>
          <w:kern w:val="0"/>
          <w:sz w:val="44"/>
          <w:szCs w:val="44"/>
        </w:rPr>
        <w:t xml:space="preserve">年单位预算公开情况说明 </w:t>
      </w:r>
    </w:p>
    <w:p>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660" w:lineRule="exact"/>
        <w:ind w:firstLine="442" w:firstLineChars="100"/>
        <w:jc w:val="center"/>
        <w:textAlignment w:val="auto"/>
        <w:rPr>
          <w:rFonts w:hint="default" w:ascii="Times New Roman" w:hAnsi="Times New Roman" w:cs="Times New Roman"/>
          <w:b/>
          <w:bCs/>
          <w:kern w:val="0"/>
          <w:sz w:val="44"/>
          <w:szCs w:val="44"/>
        </w:rPr>
      </w:pPr>
      <w:r>
        <w:rPr>
          <w:rFonts w:hint="default" w:ascii="Times New Roman" w:hAnsi="Times New Roman" w:cs="Times New Roman"/>
          <w:b/>
          <w:bCs/>
          <w:kern w:val="0"/>
          <w:sz w:val="44"/>
          <w:szCs w:val="44"/>
        </w:rPr>
        <w:t>目  录</w:t>
      </w:r>
    </w:p>
    <w:p>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cs="Times New Roman"/>
          <w:b/>
          <w:bCs/>
          <w:kern w:val="0"/>
          <w:sz w:val="44"/>
          <w:szCs w:val="44"/>
        </w:rPr>
      </w:pPr>
    </w:p>
    <w:p>
      <w:pPr>
        <w:keepNext w:val="0"/>
        <w:keepLines w:val="0"/>
        <w:pageBreakBefore w:val="0"/>
        <w:widowControl w:val="0"/>
        <w:kinsoku/>
        <w:wordWrap/>
        <w:overflowPunct/>
        <w:topLinePunct w:val="0"/>
        <w:autoSpaceDE/>
        <w:autoSpaceDN/>
        <w:bidi w:val="0"/>
        <w:spacing w:line="30" w:lineRule="exact"/>
        <w:jc w:val="center"/>
        <w:textAlignment w:val="auto"/>
        <w:rPr>
          <w:rFonts w:hint="default" w:ascii="Times New Roman" w:hAnsi="Times New Roman" w:eastAsia="黑体" w:cs="Times New Roman"/>
          <w:color w:val="000000"/>
          <w:sz w:val="18"/>
          <w:szCs w:val="18"/>
        </w:rPr>
      </w:pPr>
    </w:p>
    <w:p>
      <w:pPr>
        <w:keepNext w:val="0"/>
        <w:keepLines w:val="0"/>
        <w:pageBreakBefore w:val="0"/>
        <w:widowControl w:val="0"/>
        <w:kinsoku/>
        <w:wordWrap/>
        <w:overflowPunct/>
        <w:topLinePunct w:val="0"/>
        <w:autoSpaceDE/>
        <w:autoSpaceDN/>
        <w:bidi w:val="0"/>
        <w:spacing w:line="560" w:lineRule="exact"/>
        <w:ind w:firstLine="602" w:firstLineChars="200"/>
        <w:jc w:val="left"/>
        <w:textAlignment w:val="auto"/>
        <w:rPr>
          <w:rFonts w:hint="default" w:ascii="Times New Roman" w:hAnsi="Times New Roman" w:eastAsia="仿宋_GB2312" w:cs="Times New Roman"/>
          <w:b/>
          <w:color w:val="000000"/>
          <w:sz w:val="30"/>
          <w:szCs w:val="30"/>
        </w:rPr>
      </w:pPr>
      <w:r>
        <w:rPr>
          <w:rFonts w:hint="default" w:ascii="Times New Roman" w:hAnsi="Times New Roman" w:eastAsia="仿宋_GB2312" w:cs="Times New Roman"/>
          <w:b/>
          <w:color w:val="000000"/>
          <w:sz w:val="30"/>
          <w:szCs w:val="30"/>
        </w:rPr>
        <w:t>第一部分 部门/单位基本概况</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一、部门/单位职责</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二、机构设置情况</w:t>
      </w:r>
    </w:p>
    <w:p>
      <w:pPr>
        <w:keepNext w:val="0"/>
        <w:keepLines w:val="0"/>
        <w:pageBreakBefore w:val="0"/>
        <w:widowControl w:val="0"/>
        <w:kinsoku/>
        <w:wordWrap/>
        <w:overflowPunct/>
        <w:topLinePunct w:val="0"/>
        <w:autoSpaceDE/>
        <w:autoSpaceDN/>
        <w:bidi w:val="0"/>
        <w:spacing w:line="560" w:lineRule="exact"/>
        <w:ind w:firstLine="602" w:firstLineChars="200"/>
        <w:jc w:val="left"/>
        <w:textAlignment w:val="auto"/>
        <w:rPr>
          <w:rFonts w:hint="default" w:ascii="Times New Roman" w:hAnsi="Times New Roman" w:eastAsia="仿宋_GB2312" w:cs="Times New Roman"/>
          <w:b/>
          <w:color w:val="000000"/>
          <w:sz w:val="30"/>
          <w:szCs w:val="30"/>
        </w:rPr>
      </w:pPr>
      <w:r>
        <w:rPr>
          <w:rFonts w:hint="default" w:ascii="Times New Roman" w:hAnsi="Times New Roman" w:eastAsia="仿宋_GB2312" w:cs="Times New Roman"/>
          <w:b/>
          <w:color w:val="000000"/>
          <w:sz w:val="30"/>
          <w:szCs w:val="30"/>
        </w:rPr>
        <w:t>第二部分 202</w:t>
      </w:r>
      <w:r>
        <w:rPr>
          <w:rFonts w:hint="eastAsia" w:ascii="Times New Roman" w:hAnsi="Times New Roman" w:eastAsia="仿宋_GB2312" w:cs="Times New Roman"/>
          <w:b/>
          <w:color w:val="000000"/>
          <w:sz w:val="30"/>
          <w:szCs w:val="30"/>
          <w:lang w:val="en-US" w:eastAsia="zh-CN"/>
        </w:rPr>
        <w:t>6</w:t>
      </w:r>
      <w:r>
        <w:rPr>
          <w:rFonts w:hint="default" w:ascii="Times New Roman" w:hAnsi="Times New Roman" w:eastAsia="仿宋_GB2312" w:cs="Times New Roman"/>
          <w:b/>
          <w:color w:val="000000"/>
          <w:sz w:val="30"/>
          <w:szCs w:val="30"/>
        </w:rPr>
        <w:t>年部门/单位预算情况说明</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三</w:t>
      </w:r>
      <w:r>
        <w:rPr>
          <w:rFonts w:hint="default" w:ascii="Times New Roman" w:hAnsi="Times New Roman" w:eastAsia="仿宋_GB2312" w:cs="Times New Roman"/>
          <w:color w:val="000000"/>
          <w:sz w:val="30"/>
          <w:szCs w:val="30"/>
        </w:rPr>
        <w:t>、收支总体情况</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四</w:t>
      </w:r>
      <w:r>
        <w:rPr>
          <w:rFonts w:hint="default" w:ascii="Times New Roman" w:hAnsi="Times New Roman" w:eastAsia="仿宋_GB2312" w:cs="Times New Roman"/>
          <w:color w:val="000000"/>
          <w:sz w:val="30"/>
          <w:szCs w:val="30"/>
        </w:rPr>
        <w:t>、一般公共预算情况</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五</w:t>
      </w:r>
      <w:r>
        <w:rPr>
          <w:rFonts w:hint="default" w:ascii="Times New Roman" w:hAnsi="Times New Roman" w:eastAsia="仿宋_GB2312" w:cs="Times New Roman"/>
          <w:color w:val="000000"/>
          <w:sz w:val="30"/>
          <w:szCs w:val="30"/>
        </w:rPr>
        <w:t>、一般公共预算财政拨款“三公”经费、培训费、会议费等情况</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六</w:t>
      </w:r>
      <w:r>
        <w:rPr>
          <w:rFonts w:hint="default" w:ascii="Times New Roman" w:hAnsi="Times New Roman" w:eastAsia="仿宋_GB2312" w:cs="Times New Roman"/>
          <w:color w:val="000000"/>
          <w:sz w:val="30"/>
          <w:szCs w:val="30"/>
        </w:rPr>
        <w:t>、一般公共预算财政拨款机关运行经费情况</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七</w:t>
      </w:r>
      <w:r>
        <w:rPr>
          <w:rFonts w:hint="default" w:ascii="Times New Roman" w:hAnsi="Times New Roman" w:eastAsia="仿宋_GB2312" w:cs="Times New Roman"/>
          <w:color w:val="000000"/>
          <w:sz w:val="30"/>
          <w:szCs w:val="30"/>
        </w:rPr>
        <w:t>、政府采购安排情况</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八</w:t>
      </w:r>
      <w:r>
        <w:rPr>
          <w:rFonts w:hint="default" w:ascii="Times New Roman" w:hAnsi="Times New Roman" w:eastAsia="仿宋_GB2312" w:cs="Times New Roman"/>
          <w:color w:val="000000"/>
          <w:sz w:val="30"/>
          <w:szCs w:val="30"/>
        </w:rPr>
        <w:t>、国有资产占用情况</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九</w:t>
      </w:r>
      <w:r>
        <w:rPr>
          <w:rFonts w:hint="default" w:ascii="Times New Roman" w:hAnsi="Times New Roman" w:eastAsia="仿宋_GB2312" w:cs="Times New Roman"/>
          <w:color w:val="000000"/>
          <w:sz w:val="30"/>
          <w:szCs w:val="30"/>
        </w:rPr>
        <w:t>、其他重要事项情况说明</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十</w:t>
      </w:r>
      <w:r>
        <w:rPr>
          <w:rFonts w:hint="default" w:ascii="Times New Roman" w:hAnsi="Times New Roman" w:eastAsia="仿宋_GB2312" w:cs="Times New Roman"/>
          <w:color w:val="000000"/>
          <w:sz w:val="30"/>
          <w:szCs w:val="30"/>
        </w:rPr>
        <w:t>、预算绩效管理情况</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lang w:val="en-US" w:eastAsia="zh-CN"/>
        </w:rPr>
        <w:t>十一</w:t>
      </w:r>
      <w:r>
        <w:rPr>
          <w:rFonts w:hint="default" w:ascii="Times New Roman" w:hAnsi="Times New Roman" w:eastAsia="仿宋_GB2312" w:cs="Times New Roman"/>
          <w:color w:val="000000"/>
          <w:sz w:val="30"/>
          <w:szCs w:val="30"/>
        </w:rPr>
        <w:t>、名词解释</w:t>
      </w:r>
    </w:p>
    <w:p>
      <w:pPr>
        <w:keepNext w:val="0"/>
        <w:keepLines w:val="0"/>
        <w:pageBreakBefore w:val="0"/>
        <w:widowControl w:val="0"/>
        <w:kinsoku/>
        <w:wordWrap/>
        <w:overflowPunct/>
        <w:topLinePunct w:val="0"/>
        <w:autoSpaceDE/>
        <w:autoSpaceDN/>
        <w:bidi w:val="0"/>
        <w:spacing w:line="560" w:lineRule="exact"/>
        <w:ind w:firstLine="602" w:firstLineChars="200"/>
        <w:jc w:val="left"/>
        <w:textAlignment w:val="auto"/>
        <w:rPr>
          <w:rFonts w:hint="default" w:ascii="Times New Roman" w:hAnsi="Times New Roman" w:eastAsia="仿宋_GB2312" w:cs="Times New Roman"/>
          <w:b/>
          <w:color w:val="000000"/>
          <w:sz w:val="30"/>
          <w:szCs w:val="30"/>
        </w:rPr>
      </w:pPr>
      <w:r>
        <w:rPr>
          <w:rFonts w:hint="default" w:ascii="Times New Roman" w:hAnsi="Times New Roman" w:eastAsia="仿宋_GB2312" w:cs="Times New Roman"/>
          <w:b/>
          <w:color w:val="000000"/>
          <w:sz w:val="30"/>
          <w:szCs w:val="30"/>
        </w:rPr>
        <w:t>第三部分 202</w:t>
      </w:r>
      <w:r>
        <w:rPr>
          <w:rFonts w:hint="eastAsia" w:ascii="Times New Roman" w:hAnsi="Times New Roman" w:eastAsia="仿宋_GB2312" w:cs="Times New Roman"/>
          <w:b/>
          <w:color w:val="000000"/>
          <w:sz w:val="30"/>
          <w:szCs w:val="30"/>
          <w:lang w:val="en-US" w:eastAsia="zh-CN"/>
        </w:rPr>
        <w:t>6</w:t>
      </w:r>
      <w:r>
        <w:rPr>
          <w:rFonts w:hint="default" w:ascii="Times New Roman" w:hAnsi="Times New Roman" w:eastAsia="仿宋_GB2312" w:cs="Times New Roman"/>
          <w:b/>
          <w:color w:val="000000"/>
          <w:sz w:val="30"/>
          <w:szCs w:val="30"/>
        </w:rPr>
        <w:t>年部门（单位）预算公开表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一、部门/单位收支总体情况表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二、部门/单位收入总体情况表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三、部门/单位支出总体情况表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四、财政拨款收支总体情况表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五、财政拨款支出表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六、一般公共预算支出情况表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七、一般公共预算基本支出情况表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pacing w:val="-20"/>
          <w:sz w:val="30"/>
          <w:szCs w:val="30"/>
        </w:rPr>
      </w:pPr>
      <w:r>
        <w:rPr>
          <w:rFonts w:hint="default" w:ascii="Times New Roman" w:hAnsi="Times New Roman" w:eastAsia="仿宋_GB2312" w:cs="Times New Roman"/>
          <w:color w:val="000000"/>
          <w:sz w:val="30"/>
          <w:szCs w:val="30"/>
        </w:rPr>
        <w:t>八、</w:t>
      </w:r>
      <w:r>
        <w:rPr>
          <w:rFonts w:hint="default" w:ascii="Times New Roman" w:hAnsi="Times New Roman" w:eastAsia="仿宋_GB2312" w:cs="Times New Roman"/>
          <w:color w:val="000000"/>
          <w:spacing w:val="-20"/>
          <w:sz w:val="30"/>
          <w:szCs w:val="30"/>
        </w:rPr>
        <w:t>一般公共预算财政拨款“三公”经费、会议费、培训费支出情况表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九、一般公共预算财政拨款机关运行经费表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十、政府性基金预算支出情况表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十一、部门管理转移支付表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十二、国有资本经营预算支出情况表</w:t>
      </w:r>
    </w:p>
    <w:p>
      <w:pPr>
        <w:keepNext w:val="0"/>
        <w:keepLines w:val="0"/>
        <w:pageBreakBefore w:val="0"/>
        <w:widowControl w:val="0"/>
        <w:kinsoku/>
        <w:wordWrap/>
        <w:overflowPunct/>
        <w:topLinePunct w:val="0"/>
        <w:autoSpaceDE/>
        <w:autoSpaceDN/>
        <w:bidi w:val="0"/>
        <w:spacing w:line="560" w:lineRule="exact"/>
        <w:ind w:firstLine="600" w:firstLineChars="200"/>
        <w:jc w:val="left"/>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color w:val="000000"/>
          <w:sz w:val="30"/>
          <w:szCs w:val="30"/>
        </w:rPr>
        <w:t>十三、部门/单位整体支出绩效目标表和项目支出绩效目标表</w:t>
      </w:r>
    </w:p>
    <w:p>
      <w:pPr>
        <w:keepNext w:val="0"/>
        <w:keepLines w:val="0"/>
        <w:pageBreakBefore w:val="0"/>
        <w:widowControl w:val="0"/>
        <w:kinsoku/>
        <w:wordWrap/>
        <w:overflowPunct/>
        <w:topLinePunct w:val="0"/>
        <w:autoSpaceDE/>
        <w:autoSpaceDN/>
        <w:bidi w:val="0"/>
        <w:spacing w:line="660" w:lineRule="exact"/>
        <w:jc w:val="center"/>
        <w:textAlignment w:val="auto"/>
        <w:rPr>
          <w:rFonts w:hint="default" w:ascii="Times New Roman" w:hAnsi="Times New Roman" w:eastAsia="仿宋_GB2312" w:cs="Times New Roman"/>
          <w:b/>
          <w:bCs/>
          <w:kern w:val="0"/>
          <w:sz w:val="44"/>
          <w:szCs w:val="44"/>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jc w:val="center"/>
        <w:textAlignment w:val="auto"/>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前</w:t>
      </w:r>
      <w:r>
        <w:rPr>
          <w:rFonts w:hint="default" w:ascii="Times New Roman" w:hAnsi="Times New Roman" w:eastAsia="仿宋_GB2312" w:cs="Times New Roman"/>
          <w:b/>
          <w:kern w:val="0"/>
          <w:sz w:val="32"/>
          <w:szCs w:val="32"/>
          <w:lang w:val="en-US" w:eastAsia="zh-CN"/>
        </w:rPr>
        <w:t xml:space="preserve"> </w:t>
      </w:r>
      <w:r>
        <w:rPr>
          <w:rFonts w:hint="default" w:ascii="Times New Roman" w:hAnsi="Times New Roman" w:eastAsia="仿宋_GB2312" w:cs="Times New Roman"/>
          <w:b/>
          <w:kern w:val="0"/>
          <w:sz w:val="32"/>
          <w:szCs w:val="32"/>
        </w:rPr>
        <w:t>言</w:t>
      </w:r>
    </w:p>
    <w:p>
      <w:pPr>
        <w:keepNext w:val="0"/>
        <w:keepLines w:val="0"/>
        <w:pageBreakBefore w:val="0"/>
        <w:widowControl w:val="0"/>
        <w:kinsoku/>
        <w:wordWrap/>
        <w:overflowPunct/>
        <w:topLinePunct w:val="0"/>
        <w:autoSpaceDE/>
        <w:autoSpaceDN/>
        <w:bidi w:val="0"/>
        <w:spacing w:line="600" w:lineRule="exact"/>
        <w:ind w:firstLine="643" w:firstLineChars="200"/>
        <w:jc w:val="center"/>
        <w:textAlignment w:val="auto"/>
        <w:rPr>
          <w:rFonts w:hint="default" w:ascii="Times New Roman" w:hAnsi="Times New Roman" w:eastAsia="仿宋_GB2312" w:cs="Times New Roman"/>
          <w:b/>
          <w:kern w:val="0"/>
          <w:sz w:val="32"/>
          <w:szCs w:val="32"/>
        </w:rPr>
      </w:pP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kern w:val="0"/>
          <w:sz w:val="32"/>
          <w:szCs w:val="32"/>
        </w:rPr>
        <w:t>按照《中华人民共和国预算法》《中华人民共和国预算法实施条例》以及财政部《地方预决算公开操作规程》《关于推进部门所属单位预算公</w:t>
      </w:r>
      <w:r>
        <w:rPr>
          <w:rFonts w:hint="default" w:ascii="Times New Roman" w:hAnsi="Times New Roman" w:eastAsia="仿宋_GB2312" w:cs="Times New Roman"/>
          <w:color w:val="000000" w:themeColor="text1"/>
          <w:kern w:val="0"/>
          <w:sz w:val="32"/>
          <w:szCs w:val="32"/>
          <w14:textFill>
            <w14:solidFill>
              <w14:schemeClr w14:val="tx1"/>
            </w14:solidFill>
          </w14:textFill>
        </w:rPr>
        <w:t>开的指导意见》和《中共甘肃省委办公厅 甘肃省人民政府办公厅关于进一步推进预算公开工作的实施方案》要求，现将2024年部门预算公开如下：</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黑体" w:cs="Times New Roman"/>
          <w:color w:val="000000" w:themeColor="text1"/>
          <w:kern w:val="0"/>
          <w:sz w:val="32"/>
          <w:szCs w:val="32"/>
          <w:lang w:val="zh-CN"/>
          <w14:textFill>
            <w14:solidFill>
              <w14:schemeClr w14:val="tx1"/>
            </w14:solidFill>
          </w14:textFill>
        </w:rPr>
      </w:pPr>
      <w:r>
        <w:rPr>
          <w:rFonts w:hint="default" w:ascii="Times New Roman" w:hAnsi="Times New Roman" w:eastAsia="黑体" w:cs="Times New Roman"/>
          <w:color w:val="000000" w:themeColor="text1"/>
          <w:kern w:val="0"/>
          <w:sz w:val="32"/>
          <w:szCs w:val="32"/>
          <w:lang w:val="zh-CN"/>
          <w14:textFill>
            <w14:solidFill>
              <w14:schemeClr w14:val="tx1"/>
            </w14:solidFill>
          </w14:textFill>
        </w:rPr>
        <w:t>一、部门职责</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华池县农业农村局</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是</w:t>
      </w:r>
      <w:bookmarkStart w:id="0" w:name="OLE_LINK1"/>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贯彻落实党中央、省委、市委、县委关于“三农”工作的方针政策和决策部署,在履行职责过程中坚持和加强党对“三农”工作的集中统一领导等工作的职能部门</w:t>
      </w:r>
      <w:bookmarkEnd w:id="0"/>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。主要职责是:</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一）贯彻执行党的农业农村方针政策及国家有关“三农”工作的法律法规。统筹研究和组织实施“三农”工作的发展战略、中长期规划、重大政策。组织起草农业农村有关地方性法规和县政府规章草案，指导农业综合行政执法，负责农业综合行政执法体系建设。参与涉农的财税、价格、收储、金融保险、进出口等政策制定。</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（二）统筹推动发展全县农村社会事业、农村公共服务、农村文化、农村基础设施和乡村治理。牵头组织改善农村人居环境。指导农村精神文明和优秀农耕文化建设，指导农、牧、渔业行业安全生产工作。</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三）提出深化全县农村经济体制改革和巩固完善农村基本经营制度的政策建议。负责农民承包地、农村宅基地改革和管理有关工作。负责农村集体产权制度改革，指导农村集体经济发展和集体资产管理工作。指导农民合作经济组织、农业社会服务体系、新型农业经营主体建设与发展。</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四）负责全县脱贫攻坚富民产业培育，指导全县乡村特色产业、农产品加工业、休闲农业发展工作。提出促进大宗农产品流通的建议，培育、发展、保护农业品牌。发布农业农村经济信息。监测分析农业农村经济运行。承担农业统计和农业农村信息化有关工作。</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（五）负责全县种植业、畜牧业、渔业等农业各产业的监督管理。指导粮食等农产品生产，组织构建现代农业产业体系、生产体系、经营体系，指导农业标准化生产。</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（六）负责全县农、畜、水产品质量安全监督管理。组织开展农产品质量安全监测、追溯、风险评估。参与制定农产品质量安全地方标准并会同有关部门组织实施。指导乡（镇）农业检验检测体系建设。</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七)组织全县农业资源区划工作，负责农田水利基础建设和农业综合开发工作，指导农牧用地、渔业水域以及农业生物物种资源的保护与管理，负责水生野生动植物保护、耕地及永久基本农田质量保护工作。指导农产品产地环境管理和农业清洁生产。指导设施农业、生态循环农业、节本农业发展以及农村可再生能源综合开发利用、农业生物质产业发展。管理全县外来物种。</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八）负责有关农业生产资料和农业投入品的监督管理。组织协调农业生产资料市场体系建设。拟订有关农业生产资料地方标准并监督实施。组织水产渔政、兽医医政、兽药药政药检工作;负责执业兽医和畜禽屠宰行业管理。</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九)负责农、牧、渔业防灾减灾、农作物重大病虫害防治工作。指导动植物防疫检疫体系建设，组织、监督县内动植物防疫检疫工作，依规监测、发布并组织扑灭疫情。指导农、牧、渔业紧急救灾和灾后生产恢复工作。</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负责全县农业投资管理。提出农业投融资体制机制改革建议，编制县级投资安排的农业投资项目建设规划，提出农业投资规模、方向和扶持农业农村发展财政项目的建议，按规定权限审批农业投资项目，负责农业投资项目资金安排和跟踪监督管理。</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一)推动全县农业科技体制改革和农业科技创新体系建设。指导农、牧、渔业产业技术体系和推广体系建设，组织开展农业、畜牧、水产领域的高新技术和应用技术研究、科技成果转化和技术推广。负责农业转基因生物安全监督管理和农、牧、渔业新品种保护。</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二)指导全县农业农村人才工作。拟订农业农村人才队伍建设规划并组织实施，指导农业教育和农业职业技能开发，指导新型职业农民培育、农业科技人才培养和农村实用人才培训工作。负责全县农业农村人才专业技术资格和从业资格管理工作。</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(十三)组织开展农业对外合作工作。组织开展农业贸易促进和对外交流合作。会同有关部门组织实施农业外授和援外项目。</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（十四）</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扎实推进农业综合开发和美丽乡村建设，推动农业全面升级、农村全面进步、农民全面发展，加快实现农业农村现代化。</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（十五）</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整合强化农业综合行政执法队伍，持续加强农产品质量安全和农业投入品的监督管理，坚持最严谨的标准、最严格的监管、最严厉的处罚、最严肃的问责，严防、严管、严控质量安全风险，确保农、畜、水产品质量安全。</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（十六）</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全面深化农业行政体制改革，落实“放管服”政策措施，最大限度简化农业行政审批（许可）办事流程。深入推进简政放权，加强对行业内交叉、重复以及性质相同、用途相近的农业投资项目的统筹整合，最大限度缩小项目审批范围，精简审批程序，加强事中事后监管，切实提升支农政策效果和资金使用效益。</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(十</w:t>
      </w: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七</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)完成县委、县政府、县委农村工作领导小组和上级业务部门交办的其他工作任务。</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黑体" w:cs="Times New Roman"/>
          <w:color w:val="000000" w:themeColor="text1"/>
          <w:kern w:val="0"/>
          <w:sz w:val="32"/>
          <w:szCs w:val="32"/>
          <w:lang w:val="zh-CN"/>
          <w14:textFill>
            <w14:solidFill>
              <w14:schemeClr w14:val="tx1"/>
            </w14:solidFill>
          </w14:textFill>
        </w:rPr>
      </w:pPr>
      <w:r>
        <w:rPr>
          <w:rFonts w:hint="default" w:ascii="Times New Roman" w:hAnsi="Times New Roman" w:eastAsia="黑体" w:cs="Times New Roman"/>
          <w:color w:val="000000" w:themeColor="text1"/>
          <w:kern w:val="0"/>
          <w:sz w:val="32"/>
          <w:szCs w:val="32"/>
          <w:lang w:val="zh-CN"/>
          <w14:textFill>
            <w14:solidFill>
              <w14:schemeClr w14:val="tx1"/>
            </w14:solidFill>
          </w14:textFill>
        </w:rPr>
        <w:t>二、机构设置</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lang w:val="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华池县农业农村局</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内设</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9</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个职能</w:t>
      </w: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股室</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,包括:办公室、计划发展股、产业经营股、</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农田基建股</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zh-CN" w:eastAsia="zh-CN"/>
          <w14:textFill>
            <w14:solidFill>
              <w14:schemeClr w14:val="tx1"/>
            </w14:solidFill>
          </w14:textFill>
        </w:rPr>
        <w:t>科技教育股、执法监管股、县委农办、畜牧兽医股、财务资产股</w:t>
      </w:r>
      <w:r>
        <w:rPr>
          <w:rFonts w:hint="default" w:ascii="Times New Roman" w:hAnsi="Times New Roman" w:eastAsia="仿宋_GB2312" w:cs="Times New Roman"/>
          <w:color w:val="000000" w:themeColor="text1"/>
          <w:kern w:val="0"/>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三、单位收支总体情况</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按照预算管理有关规定，202</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14:textFill>
            <w14:solidFill>
              <w14:schemeClr w14:val="tx1"/>
            </w14:solidFill>
          </w14:textFill>
        </w:rPr>
        <w:t>年部门（单位）收支包括机关预算和直属单位预算在内的汇总情况。</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202</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14:textFill>
            <w14:solidFill>
              <w14:schemeClr w14:val="tx1"/>
            </w14:solidFill>
          </w14:textFill>
        </w:rPr>
        <w:t>年部门收支总预算</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5139.16</w:t>
      </w:r>
      <w:r>
        <w:rPr>
          <w:rFonts w:hint="default" w:ascii="Times New Roman" w:hAnsi="Times New Roman" w:eastAsia="仿宋_GB2312" w:cs="Times New Roman"/>
          <w:color w:val="000000" w:themeColor="text1"/>
          <w:kern w:val="0"/>
          <w:sz w:val="32"/>
          <w:szCs w:val="32"/>
          <w14:textFill>
            <w14:solidFill>
              <w14:schemeClr w14:val="tx1"/>
            </w14:solidFill>
          </w14:textFill>
        </w:rPr>
        <w:t>万元。按照综合预算的原则，</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单位</w:t>
      </w:r>
      <w:r>
        <w:rPr>
          <w:rFonts w:hint="default" w:ascii="Times New Roman" w:hAnsi="Times New Roman" w:eastAsia="仿宋_GB2312" w:cs="Times New Roman"/>
          <w:color w:val="000000" w:themeColor="text1"/>
          <w:kern w:val="0"/>
          <w:sz w:val="32"/>
          <w:szCs w:val="32"/>
          <w14:textFill>
            <w14:solidFill>
              <w14:schemeClr w14:val="tx1"/>
            </w14:solidFill>
          </w14:textFill>
        </w:rPr>
        <w:t>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default"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（一）收入预算</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年收入预算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5139.16</w:t>
      </w:r>
      <w:r>
        <w:rPr>
          <w:rFonts w:hint="default" w:ascii="Times New Roman" w:hAnsi="Times New Roman" w:eastAsia="仿宋_GB2312" w:cs="Times New Roman"/>
          <w:color w:val="000000" w:themeColor="text1"/>
          <w:sz w:val="32"/>
          <w:szCs w:val="32"/>
          <w14:textFill>
            <w14:solidFill>
              <w14:schemeClr w14:val="tx1"/>
            </w14:solidFill>
          </w14:textFill>
        </w:rPr>
        <w:t>万元（详见部门/单位预算公开表1,2）。包括：</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一般公共预算收入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5139.16</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政府性基金预算收入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 xml:space="preserve">上年结转收入 </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其他收入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（二）支出预算</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26</w:t>
      </w:r>
      <w:r>
        <w:rPr>
          <w:rFonts w:hint="default" w:ascii="Times New Roman" w:hAnsi="Times New Roman" w:eastAsia="仿宋_GB2312" w:cs="Times New Roman"/>
          <w:color w:val="000000" w:themeColor="text1"/>
          <w:sz w:val="32"/>
          <w:szCs w:val="32"/>
          <w14:textFill>
            <w14:solidFill>
              <w14:schemeClr w14:val="tx1"/>
            </w14:solidFill>
          </w14:textFill>
        </w:rPr>
        <w:t>年支出预算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5139.16</w:t>
      </w:r>
      <w:r>
        <w:rPr>
          <w:rFonts w:hint="default" w:ascii="Times New Roman" w:hAnsi="Times New Roman" w:eastAsia="仿宋_GB2312" w:cs="Times New Roman"/>
          <w:color w:val="000000" w:themeColor="text1"/>
          <w:sz w:val="32"/>
          <w:szCs w:val="32"/>
          <w14:textFill>
            <w14:solidFill>
              <w14:schemeClr w14:val="tx1"/>
            </w14:solidFill>
          </w14:textFill>
        </w:rPr>
        <w:t>万元（详见部门/单位预算公开表3）。</w:t>
      </w:r>
      <w:r>
        <w:rPr>
          <w:rStyle w:val="20"/>
          <w:rFonts w:hint="default" w:ascii="Times New Roman" w:hAnsi="Times New Roman" w:cs="Times New Roman"/>
          <w:color w:val="000000" w:themeColor="text1"/>
          <w14:textFill>
            <w14:solidFill>
              <w14:schemeClr w14:val="tx1"/>
            </w14:solidFill>
          </w14:textFill>
        </w:rPr>
        <w:t>其中：基本支出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565.96</w:t>
      </w:r>
      <w:r>
        <w:rPr>
          <w:rStyle w:val="20"/>
          <w:rFonts w:hint="default" w:ascii="Times New Roman" w:hAnsi="Times New Roman" w:cs="Times New Roman"/>
          <w:color w:val="000000" w:themeColor="text1"/>
          <w14:textFill>
            <w14:solidFill>
              <w14:schemeClr w14:val="tx1"/>
            </w14:solidFill>
          </w14:textFill>
        </w:rPr>
        <w:t>万元，占</w:t>
      </w:r>
      <w:r>
        <w:rPr>
          <w:rStyle w:val="20"/>
          <w:rFonts w:hint="default" w:ascii="Times New Roman" w:hAnsi="Times New Roman" w:eastAsia="仿宋_GB2312" w:cs="Times New Roman"/>
          <w:color w:val="000000" w:themeColor="text1"/>
          <w:lang w:val="en-US" w:eastAsia="zh-CN"/>
          <w14:textFill>
            <w14:solidFill>
              <w14:schemeClr w14:val="tx1"/>
            </w14:solidFill>
          </w14:textFill>
        </w:rPr>
        <w:t>11</w:t>
      </w:r>
      <w:r>
        <w:rPr>
          <w:rStyle w:val="21"/>
          <w:rFonts w:hint="default" w:ascii="Times New Roman" w:hAnsi="Times New Roman" w:eastAsia="仿宋_GB2312" w:cs="Times New Roman"/>
          <w:color w:val="000000" w:themeColor="text1"/>
          <w14:textFill>
            <w14:solidFill>
              <w14:schemeClr w14:val="tx1"/>
            </w14:solidFill>
          </w14:textFill>
        </w:rPr>
        <w:t>%</w:t>
      </w:r>
      <w:r>
        <w:rPr>
          <w:rStyle w:val="20"/>
          <w:rFonts w:hint="default" w:ascii="Times New Roman" w:hAnsi="Times New Roman" w:cs="Times New Roman"/>
          <w:color w:val="000000" w:themeColor="text1"/>
          <w14:textFill>
            <w14:solidFill>
              <w14:schemeClr w14:val="tx1"/>
            </w14:solidFill>
          </w14:textFill>
        </w:rPr>
        <w:t>； 项目支出</w:t>
      </w:r>
      <w:r>
        <w:rPr>
          <w:rStyle w:val="20"/>
          <w:rFonts w:hint="default" w:ascii="Times New Roman" w:hAnsi="Times New Roman" w:eastAsia="仿宋_GB2312" w:cs="Times New Roman"/>
          <w:color w:val="000000" w:themeColor="text1"/>
          <w:lang w:val="en-US" w:eastAsia="zh-CN"/>
          <w14:textFill>
            <w14:solidFill>
              <w14:schemeClr w14:val="tx1"/>
            </w14:solidFill>
          </w14:textFill>
        </w:rPr>
        <w:t>4573.2</w:t>
      </w:r>
      <w:r>
        <w:rPr>
          <w:rStyle w:val="20"/>
          <w:rFonts w:hint="default" w:ascii="Times New Roman" w:hAnsi="Times New Roman" w:cs="Times New Roman"/>
          <w:color w:val="000000" w:themeColor="text1"/>
          <w14:textFill>
            <w14:solidFill>
              <w14:schemeClr w14:val="tx1"/>
            </w14:solidFill>
          </w14:textFill>
        </w:rPr>
        <w:t>万元，占</w:t>
      </w:r>
      <w:r>
        <w:rPr>
          <w:rStyle w:val="20"/>
          <w:rFonts w:hint="default" w:ascii="Times New Roman" w:hAnsi="Times New Roman" w:eastAsia="仿宋_GB2312" w:cs="Times New Roman"/>
          <w:color w:val="000000" w:themeColor="text1"/>
          <w:lang w:val="en-US" w:eastAsia="zh-CN"/>
          <w14:textFill>
            <w14:solidFill>
              <w14:schemeClr w14:val="tx1"/>
            </w14:solidFill>
          </w14:textFill>
        </w:rPr>
        <w:t>89</w:t>
      </w:r>
      <w:r>
        <w:rPr>
          <w:rStyle w:val="21"/>
          <w:rFonts w:hint="default" w:ascii="Times New Roman" w:hAnsi="Times New Roman" w:eastAsia="仿宋_GB2312" w:cs="Times New Roman"/>
          <w:color w:val="000000" w:themeColor="text1"/>
          <w14:textFill>
            <w14:solidFill>
              <w14:schemeClr w14:val="tx1"/>
            </w14:solidFill>
          </w14:textFill>
        </w:rPr>
        <w:t>%</w:t>
      </w:r>
      <w:r>
        <w:rPr>
          <w:rStyle w:val="20"/>
          <w:rFonts w:hint="default" w:ascii="Times New Roman" w:hAnsi="Times New Roman" w:cs="Times New Roman"/>
          <w:color w:val="000000" w:themeColor="text1"/>
          <w14:textFill>
            <w14:solidFill>
              <w14:schemeClr w14:val="tx1"/>
            </w14:solidFill>
          </w14:textFill>
        </w:rPr>
        <w:t>； 上年结转</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0"/>
          <w:rFonts w:hint="default" w:ascii="Times New Roman" w:hAnsi="Times New Roman" w:cs="Times New Roman"/>
          <w:color w:val="000000" w:themeColor="text1"/>
          <w14:textFill>
            <w14:solidFill>
              <w14:schemeClr w14:val="tx1"/>
            </w14:solidFill>
          </w14:textFill>
        </w:rPr>
        <w:t>万元，占</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1"/>
          <w:rFonts w:hint="default" w:ascii="Times New Roman" w:hAnsi="Times New Roman" w:eastAsia="仿宋_GB2312" w:cs="Times New Roman"/>
          <w:color w:val="000000" w:themeColor="text1"/>
          <w14:textFill>
            <w14:solidFill>
              <w14:schemeClr w14:val="tx1"/>
            </w14:solidFill>
          </w14:textFill>
        </w:rPr>
        <w:t>%</w:t>
      </w:r>
      <w:r>
        <w:rPr>
          <w:rStyle w:val="20"/>
          <w:rFonts w:hint="default" w:ascii="Times New Roman" w:hAnsi="Times New Roman" w:cs="Times New Roman"/>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四、一般公共预算情况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Style w:val="21"/>
          <w:rFonts w:hint="default" w:ascii="Times New Roman" w:hAnsi="Times New Roman" w:eastAsia="仿宋_GB2312" w:cs="Times New Roman"/>
          <w:color w:val="000000" w:themeColor="text1"/>
          <w14:textFill>
            <w14:solidFill>
              <w14:schemeClr w14:val="tx1"/>
            </w14:solidFill>
          </w14:textFill>
        </w:rPr>
        <w:t>202</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6</w:t>
      </w:r>
      <w:r>
        <w:rPr>
          <w:rStyle w:val="20"/>
          <w:rFonts w:hint="default" w:ascii="Times New Roman" w:hAnsi="Times New Roman" w:cs="Times New Roman"/>
          <w:color w:val="000000" w:themeColor="text1"/>
          <w14:textFill>
            <w14:solidFill>
              <w14:schemeClr w14:val="tx1"/>
            </w14:solidFill>
          </w14:textFill>
        </w:rPr>
        <w:t>年一般公共预算当年支出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5139.16</w:t>
      </w:r>
      <w:r>
        <w:rPr>
          <w:rStyle w:val="20"/>
          <w:rFonts w:hint="default" w:ascii="Times New Roman" w:hAnsi="Times New Roman" w:cs="Times New Roman"/>
          <w:color w:val="000000" w:themeColor="text1"/>
          <w14:textFill>
            <w14:solidFill>
              <w14:schemeClr w14:val="tx1"/>
            </w14:solidFill>
          </w14:textFill>
        </w:rPr>
        <w:t>万元，包括：</w:t>
      </w:r>
      <w:r>
        <w:rPr>
          <w:rStyle w:val="20"/>
          <w:rFonts w:hint="default" w:ascii="Times New Roman" w:hAnsi="Times New Roman" w:eastAsia="仿宋_GB2312" w:cs="Times New Roman"/>
          <w:color w:val="000000" w:themeColor="text1"/>
          <w:lang w:eastAsia="zh-CN"/>
          <w14:textFill>
            <w14:solidFill>
              <w14:schemeClr w14:val="tx1"/>
            </w14:solidFill>
          </w14:textFill>
        </w:rPr>
        <w:t>农林水</w:t>
      </w:r>
      <w:r>
        <w:rPr>
          <w:rStyle w:val="20"/>
          <w:rFonts w:hint="default" w:ascii="Times New Roman" w:hAnsi="Times New Roman" w:cs="Times New Roman"/>
          <w:color w:val="000000" w:themeColor="text1"/>
          <w14:textFill>
            <w14:solidFill>
              <w14:schemeClr w14:val="tx1"/>
            </w14:solidFill>
          </w14:textFill>
        </w:rPr>
        <w:t>支出</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4990.06</w:t>
      </w:r>
      <w:r>
        <w:rPr>
          <w:rStyle w:val="20"/>
          <w:rFonts w:hint="default" w:ascii="Times New Roman" w:hAnsi="Times New Roman" w:cs="Times New Roman"/>
          <w:color w:val="000000" w:themeColor="text1"/>
          <w14:textFill>
            <w14:solidFill>
              <w14:schemeClr w14:val="tx1"/>
            </w14:solidFill>
          </w14:textFill>
        </w:rPr>
        <w:t>万元、</w:t>
      </w:r>
      <w:r>
        <w:rPr>
          <w:rStyle w:val="20"/>
          <w:rFonts w:hint="default" w:ascii="Times New Roman" w:hAnsi="Times New Roman" w:eastAsia="仿宋_GB2312" w:cs="Times New Roman"/>
          <w:color w:val="000000" w:themeColor="text1"/>
          <w:lang w:eastAsia="zh-CN"/>
          <w14:textFill>
            <w14:solidFill>
              <w14:schemeClr w14:val="tx1"/>
            </w14:solidFill>
          </w14:textFill>
        </w:rPr>
        <w:t>卫生健康支</w:t>
      </w:r>
      <w:r>
        <w:rPr>
          <w:rStyle w:val="20"/>
          <w:rFonts w:hint="default" w:ascii="Times New Roman" w:hAnsi="Times New Roman" w:cs="Times New Roman"/>
          <w:color w:val="000000" w:themeColor="text1"/>
          <w14:textFill>
            <w14:solidFill>
              <w14:schemeClr w14:val="tx1"/>
            </w14:solidFill>
          </w14:textFill>
        </w:rPr>
        <w:t>出</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27.26</w:t>
      </w:r>
      <w:r>
        <w:rPr>
          <w:rStyle w:val="20"/>
          <w:rFonts w:hint="default" w:ascii="Times New Roman" w:hAnsi="Times New Roman" w:cs="Times New Roman"/>
          <w:color w:val="000000" w:themeColor="text1"/>
          <w14:textFill>
            <w14:solidFill>
              <w14:schemeClr w14:val="tx1"/>
            </w14:solidFill>
          </w14:textFill>
        </w:rPr>
        <w:t>万元、</w:t>
      </w:r>
      <w:r>
        <w:rPr>
          <w:rStyle w:val="20"/>
          <w:rFonts w:hint="default" w:ascii="Times New Roman" w:hAnsi="Times New Roman" w:eastAsia="仿宋_GB2312" w:cs="Times New Roman"/>
          <w:color w:val="000000" w:themeColor="text1"/>
          <w:lang w:eastAsia="zh-CN"/>
          <w14:textFill>
            <w14:solidFill>
              <w14:schemeClr w14:val="tx1"/>
            </w14:solidFill>
          </w14:textFill>
        </w:rPr>
        <w:t>住房保障支出</w:t>
      </w:r>
      <w:r>
        <w:rPr>
          <w:rStyle w:val="20"/>
          <w:rFonts w:hint="default" w:ascii="Times New Roman" w:hAnsi="Times New Roman" w:eastAsia="仿宋_GB2312" w:cs="Times New Roman"/>
          <w:color w:val="000000" w:themeColor="text1"/>
          <w:lang w:val="en-US" w:eastAsia="zh-CN"/>
          <w14:textFill>
            <w14:solidFill>
              <w14:schemeClr w14:val="tx1"/>
            </w14:solidFill>
          </w14:textFill>
        </w:rPr>
        <w:t>38.87</w:t>
      </w:r>
      <w:r>
        <w:rPr>
          <w:rStyle w:val="20"/>
          <w:rFonts w:hint="default" w:ascii="Times New Roman" w:hAnsi="Times New Roman" w:cs="Times New Roman"/>
          <w:color w:val="000000" w:themeColor="text1"/>
          <w14:textFill>
            <w14:solidFill>
              <w14:schemeClr w14:val="tx1"/>
            </w14:solidFill>
          </w14:textFill>
        </w:rPr>
        <w:t>万元、科学技术支出</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0"/>
          <w:rFonts w:hint="default" w:ascii="Times New Roman" w:hAnsi="Times New Roman" w:cs="Times New Roman"/>
          <w:color w:val="000000" w:themeColor="text1"/>
          <w14:textFill>
            <w14:solidFill>
              <w14:schemeClr w14:val="tx1"/>
            </w14:solidFill>
          </w14:textFill>
        </w:rPr>
        <w:t>万元、社会保障和就业支出</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82.97</w:t>
      </w:r>
      <w:r>
        <w:rPr>
          <w:rStyle w:val="20"/>
          <w:rFonts w:hint="default" w:ascii="Times New Roman" w:hAnsi="Times New Roman" w:cs="Times New Roman"/>
          <w:color w:val="000000" w:themeColor="text1"/>
          <w14:textFill>
            <w14:solidFill>
              <w14:schemeClr w14:val="tx1"/>
            </w14:solidFill>
          </w14:textFill>
        </w:rPr>
        <w:t>万元、其他支出</w:t>
      </w:r>
      <w:r>
        <w:rPr>
          <w:rStyle w:val="21"/>
          <w:rFonts w:hint="default" w:ascii="Times New Roman" w:hAnsi="Times New Roman" w:eastAsia="仿宋_GB2312" w:cs="Times New Roman"/>
          <w:color w:val="000000" w:themeColor="text1"/>
          <w:lang w:val="en-US" w:eastAsia="zh-CN"/>
          <w14:textFill>
            <w14:solidFill>
              <w14:schemeClr w14:val="tx1"/>
            </w14:solidFill>
          </w14:textFill>
        </w:rPr>
        <w:t>0</w:t>
      </w:r>
      <w:r>
        <w:rPr>
          <w:rStyle w:val="20"/>
          <w:rFonts w:hint="default" w:ascii="Times New Roman" w:hAnsi="Times New Roman" w:cs="Times New Roman"/>
          <w:color w:val="000000" w:themeColor="text1"/>
          <w14:textFill>
            <w14:solidFill>
              <w14:schemeClr w14:val="tx1"/>
            </w14:solidFill>
          </w14:textFill>
        </w:rPr>
        <w:t>万元。</w:t>
      </w:r>
      <w:r>
        <w:rPr>
          <w:rFonts w:hint="default" w:ascii="Times New Roman" w:hAnsi="Times New Roman" w:eastAsia="仿宋_GB2312" w:cs="Times New Roman"/>
          <w:color w:val="000000" w:themeColor="text1"/>
          <w:sz w:val="32"/>
          <w:szCs w:val="32"/>
          <w14:textFill>
            <w14:solidFill>
              <w14:schemeClr w14:val="tx1"/>
            </w14:solidFill>
          </w14:textFill>
        </w:rPr>
        <w:t>具体安排情况如下（详见部门（单位）预算公开表4,5,6,7）：</w:t>
      </w:r>
    </w:p>
    <w:p>
      <w:pPr>
        <w:keepNext w:val="0"/>
        <w:keepLines w:val="0"/>
        <w:pageBreakBefore w:val="0"/>
        <w:widowControl w:val="0"/>
        <w:kinsoku/>
        <w:wordWrap/>
        <w:overflowPunct/>
        <w:topLinePunct w:val="0"/>
        <w:autoSpaceDE/>
        <w:autoSpaceDN/>
        <w:bidi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（一）基本支出</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年基本支出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565.96</w:t>
      </w:r>
      <w:r>
        <w:rPr>
          <w:rFonts w:hint="default" w:ascii="Times New Roman" w:hAnsi="Times New Roman" w:eastAsia="仿宋_GB2312" w:cs="Times New Roman"/>
          <w:color w:val="000000" w:themeColor="text1"/>
          <w:sz w:val="32"/>
          <w:szCs w:val="32"/>
          <w14:textFill>
            <w14:solidFill>
              <w14:schemeClr w14:val="tx1"/>
            </w14:solidFill>
          </w14:textFill>
        </w:rPr>
        <w:t>万元，比202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减少2.12</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14:textFill>
            <w14:solidFill>
              <w14:schemeClr w14:val="tx1"/>
            </w14:solidFill>
          </w14:textFill>
        </w:rPr>
        <w:t>的主要原因是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人员</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其中：人员经费支出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517.4</w:t>
      </w:r>
      <w:r>
        <w:rPr>
          <w:rFonts w:hint="default" w:ascii="Times New Roman" w:hAnsi="Times New Roman" w:eastAsia="仿宋_GB2312" w:cs="Times New Roman"/>
          <w:color w:val="000000" w:themeColor="text1"/>
          <w:sz w:val="32"/>
          <w:szCs w:val="32"/>
          <w14:textFill>
            <w14:solidFill>
              <w14:schemeClr w14:val="tx1"/>
            </w14:solidFill>
          </w14:textFill>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公用经费支出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48.56</w:t>
      </w:r>
      <w:r>
        <w:rPr>
          <w:rFonts w:hint="default" w:ascii="Times New Roman" w:hAnsi="Times New Roman" w:eastAsia="仿宋_GB2312" w:cs="Times New Roman"/>
          <w:color w:val="000000" w:themeColor="text1"/>
          <w:sz w:val="32"/>
          <w:szCs w:val="32"/>
          <w14:textFill>
            <w14:solidFill>
              <w14:schemeClr w14:val="tx1"/>
            </w14:solidFill>
          </w14:textFill>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（二）项目支出</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年一般公共预算财政拨款项目支出预算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4573.28833.2</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与</w:t>
      </w: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减少4260万</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的原因是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项目减少、预算减少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（三）支出功能分类说明</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Cs/>
          <w:color w:val="000000" w:themeColor="text1"/>
          <w:sz w:val="32"/>
          <w:szCs w:val="32"/>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社会保障和就业支出（类）行政事业单位养老支出（款）机关事业单位基本养老保险缴费支出（项）202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51.82</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增加1.02</w:t>
      </w:r>
      <w:r>
        <w:rPr>
          <w:rFonts w:hint="default" w:ascii="Times New Roman" w:hAnsi="Times New Roman" w:eastAsia="仿宋_GB2312" w:cs="Times New Roman"/>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工资基数</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增加，社会保险基数</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2.社会保障和就业支出（类）行政事业单位养老支出（款）机关事业单位职业年金缴费支出（项）202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25.9125.4</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增加0.51</w:t>
      </w:r>
      <w:r>
        <w:rPr>
          <w:rFonts w:hint="default" w:ascii="Times New Roman" w:hAnsi="Times New Roman" w:eastAsia="仿宋_GB2312" w:cs="Times New Roman"/>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工资基数</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增加，社会保险基数</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3</w:t>
      </w:r>
      <w:r>
        <w:rPr>
          <w:rFonts w:hint="default" w:ascii="Times New Roman" w:hAnsi="Times New Roman" w:eastAsia="仿宋_GB2312" w:cs="Times New Roman"/>
          <w:bCs/>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社会保障和就业支出（类） 抚恤（款） 其他优抚支出（项）202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2.69</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一致。</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14:textFill>
            <w14:solidFill>
              <w14:schemeClr w14:val="tx1"/>
            </w14:solidFill>
          </w14:textFill>
        </w:rPr>
        <w:t>.社会保障和就业支出（类） 其他社会保障和就业支出（款） 其他社会保障和就业支出（项）202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2.555.96</w:t>
      </w:r>
      <w:r>
        <w:rPr>
          <w:rFonts w:hint="default" w:ascii="Times New Roman" w:hAnsi="Times New Roman" w:eastAsia="仿宋_GB2312" w:cs="Times New Roman"/>
          <w:color w:val="000000" w:themeColor="text1"/>
          <w:sz w:val="32"/>
          <w:szCs w:val="32"/>
          <w14:textFill>
            <w14:solidFill>
              <w14:schemeClr w14:val="tx1"/>
            </w14:solidFill>
          </w14:textFill>
        </w:rPr>
        <w:t>万</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减少3.41</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bCs/>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卫生健康支出（类）行政事业单位医疗（款） 行政单位医疗（项）202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年预算数为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27.26</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比202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1.11</w:t>
      </w:r>
      <w:r>
        <w:rPr>
          <w:rFonts w:hint="default" w:ascii="Times New Roman" w:hAnsi="Times New Roman" w:eastAsia="仿宋_GB2312" w:cs="Times New Roman"/>
          <w:color w:val="000000" w:themeColor="text1"/>
          <w:sz w:val="32"/>
          <w:szCs w:val="32"/>
          <w14:textFill>
            <w14:solidFill>
              <w14:schemeClr w14:val="tx1"/>
            </w14:solidFill>
          </w14:textFill>
        </w:rPr>
        <w:t>万元，主要原因是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人员增加。</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.农林水支出（ 类） 农业农村（ 款） 一般行政管理事务（ 项）202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年预算数为</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4990.06</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比202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减少4262.11</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项目</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，预算</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7</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.住房保障支出（ 类） 住房改革支出（ 款） 住房公积金（ 项）202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年预算数为</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38.87</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比20</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25</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年预算</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增加</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0.77</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万元， 主要原因是</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工资增加</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五、部门（单位）一般公共预算财政拨款“三公”经费、培训费、会议费等情况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（一）“三公”经费情况说明</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2026年度</w:t>
      </w:r>
      <w:r>
        <w:rPr>
          <w:rFonts w:hint="default" w:ascii="Times New Roman" w:hAnsi="Times New Roman" w:eastAsia="仿宋_GB2312" w:cs="Times New Roman"/>
          <w:sz w:val="32"/>
          <w:szCs w:val="32"/>
          <w:lang w:eastAsia="zh-CN"/>
        </w:rPr>
        <w:t>安排公务接待费用</w:t>
      </w:r>
      <w:r>
        <w:rPr>
          <w:rFonts w:hint="default" w:ascii="Times New Roman" w:hAnsi="Times New Roman" w:eastAsia="仿宋_GB2312" w:cs="Times New Roman"/>
          <w:sz w:val="32"/>
          <w:szCs w:val="32"/>
          <w:lang w:val="en-US" w:eastAsia="zh-CN"/>
        </w:rPr>
        <w:t>3000元</w:t>
      </w:r>
      <w:r>
        <w:rPr>
          <w:rFonts w:hint="default" w:ascii="Times New Roman" w:hAnsi="Times New Roman" w:eastAsia="仿宋_GB2312" w:cs="Times New Roman"/>
          <w:sz w:val="32"/>
          <w:szCs w:val="32"/>
          <w:lang w:eastAsia="zh-CN"/>
        </w:rPr>
        <w:t>，与</w:t>
      </w:r>
      <w:r>
        <w:rPr>
          <w:rFonts w:hint="default" w:ascii="Times New Roman" w:hAnsi="Times New Roman" w:eastAsia="仿宋_GB2312" w:cs="Times New Roman"/>
          <w:sz w:val="32"/>
          <w:szCs w:val="32"/>
          <w:lang w:val="en-US" w:eastAsia="zh-CN"/>
        </w:rPr>
        <w:t>2025年度保持不变。</w:t>
      </w:r>
    </w:p>
    <w:p>
      <w:pPr>
        <w:keepNext w:val="0"/>
        <w:keepLines w:val="0"/>
        <w:pageBreakBefore w:val="0"/>
        <w:widowControl w:val="0"/>
        <w:numPr>
          <w:ilvl w:val="0"/>
          <w:numId w:val="1"/>
        </w:numPr>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培训费预算情况说明</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2026年度</w:t>
      </w:r>
      <w:r>
        <w:rPr>
          <w:rFonts w:hint="default" w:ascii="Times New Roman" w:hAnsi="Times New Roman" w:eastAsia="仿宋_GB2312" w:cs="Times New Roman"/>
          <w:sz w:val="32"/>
          <w:szCs w:val="32"/>
          <w:lang w:eastAsia="zh-CN"/>
        </w:rPr>
        <w:t>未安排培训费</w:t>
      </w:r>
      <w:r>
        <w:rPr>
          <w:rFonts w:hint="default" w:ascii="Times New Roman" w:hAnsi="Times New Roman" w:eastAsia="仿宋_GB2312" w:cs="Times New Roman"/>
          <w:sz w:val="32"/>
          <w:szCs w:val="32"/>
        </w:rPr>
        <w:t>预算</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（三）会议费预算情况说明</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2026年度</w:t>
      </w:r>
      <w:r>
        <w:rPr>
          <w:rFonts w:hint="default" w:ascii="Times New Roman" w:hAnsi="Times New Roman" w:eastAsia="仿宋_GB2312" w:cs="Times New Roman"/>
          <w:sz w:val="32"/>
          <w:szCs w:val="32"/>
          <w:lang w:eastAsia="zh-CN"/>
        </w:rPr>
        <w:t>未安排会议费</w:t>
      </w:r>
      <w:r>
        <w:rPr>
          <w:rFonts w:hint="default" w:ascii="Times New Roman" w:hAnsi="Times New Roman" w:eastAsia="仿宋_GB2312" w:cs="Times New Roman"/>
          <w:sz w:val="32"/>
          <w:szCs w:val="32"/>
        </w:rPr>
        <w:t>预算</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六、一般公共预算财政拨款机关运行经费情况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2026年</w:t>
      </w:r>
      <w:r>
        <w:rPr>
          <w:rFonts w:hint="default" w:ascii="Times New Roman" w:hAnsi="Times New Roman" w:eastAsia="仿宋_GB2312" w:cs="Times New Roman"/>
          <w:color w:val="000000" w:themeColor="text1"/>
          <w:sz w:val="32"/>
          <w:szCs w:val="32"/>
          <w14:textFill>
            <w14:solidFill>
              <w14:schemeClr w14:val="tx1"/>
            </w14:solidFill>
          </w14:textFill>
        </w:rPr>
        <w:t>机关运行经费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29.75</w:t>
      </w:r>
      <w:r>
        <w:rPr>
          <w:rFonts w:hint="default" w:ascii="Times New Roman" w:hAnsi="Times New Roman" w:eastAsia="仿宋_GB2312" w:cs="Times New Roman"/>
          <w:color w:val="000000" w:themeColor="text1"/>
          <w:sz w:val="32"/>
          <w:szCs w:val="32"/>
          <w14:textFill>
            <w14:solidFill>
              <w14:schemeClr w14:val="tx1"/>
            </w14:solidFill>
          </w14:textFill>
        </w:rPr>
        <w:t>万元，较202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年预算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减少5.85</w:t>
      </w:r>
      <w:r>
        <w:rPr>
          <w:rFonts w:hint="default" w:ascii="Times New Roman" w:hAnsi="Times New Roman" w:eastAsia="仿宋_GB2312" w:cs="Times New Roman"/>
          <w:color w:val="000000" w:themeColor="text1"/>
          <w:sz w:val="32"/>
          <w:szCs w:val="32"/>
          <w14:textFill>
            <w14:solidFill>
              <w14:schemeClr w14:val="tx1"/>
            </w14:solidFill>
          </w14:textFill>
        </w:rPr>
        <w:t>万元，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增加</w:t>
      </w:r>
      <w:r>
        <w:rPr>
          <w:rFonts w:hint="default" w:ascii="Times New Roman" w:hAnsi="Times New Roman" w:eastAsia="仿宋_GB2312" w:cs="Times New Roman"/>
          <w:color w:val="000000" w:themeColor="text1"/>
          <w:sz w:val="32"/>
          <w:szCs w:val="32"/>
          <w14:textFill>
            <w14:solidFill>
              <w14:schemeClr w14:val="tx1"/>
            </w14:solidFill>
          </w14:textFill>
        </w:rPr>
        <w:t>的主要原因是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运行经费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减少</w:t>
      </w:r>
      <w:r>
        <w:rPr>
          <w:rFonts w:hint="default" w:ascii="Times New Roman" w:hAnsi="Times New Roman" w:eastAsia="仿宋_GB2312" w:cs="Times New Roman"/>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七、政府采购安排情况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单位</w:t>
      </w:r>
      <w:r>
        <w:rPr>
          <w:rFonts w:hint="default" w:ascii="Times New Roman" w:hAnsi="Times New Roman" w:eastAsia="仿宋_GB2312" w:cs="Times New Roman"/>
          <w:color w:val="000000" w:themeColor="text1"/>
          <w:sz w:val="32"/>
          <w:szCs w:val="32"/>
          <w14:textFill>
            <w14:solidFill>
              <w14:schemeClr w14:val="tx1"/>
            </w14:solidFill>
          </w14:textFill>
        </w:rPr>
        <w:t>政府采购预算总额</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万元，其中：政府采购货物预算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万元，政府采购工程预算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万元，政府采购服务预算</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八、国有资产占用情况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上年末固定资产金额为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万元。其中：办公用房</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928.08</w:t>
      </w:r>
      <w:r>
        <w:rPr>
          <w:rFonts w:hint="default" w:ascii="Times New Roman" w:hAnsi="Times New Roman" w:eastAsia="仿宋_GB2312" w:cs="Times New Roman"/>
          <w:color w:val="000000" w:themeColor="text1"/>
          <w:sz w:val="32"/>
          <w:szCs w:val="32"/>
          <w14:textFill>
            <w14:solidFill>
              <w14:schemeClr w14:val="tx1"/>
            </w14:solidFill>
          </w14:textFill>
        </w:rPr>
        <w:t>平方米</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预算部门（单位）共有公务用车</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 xml:space="preserve"> 辆，价值</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万元。单价20万元以上的设备价值</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 xml:space="preserve">年拟采购固定资产约 </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color w:val="000000" w:themeColor="text1"/>
          <w:kern w:val="0"/>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14:textFill>
            <w14:solidFill>
              <w14:schemeClr w14:val="tx1"/>
            </w14:solidFill>
          </w14:textFill>
        </w:rPr>
        <w:t>九、其他重要事项情况说明</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（一）政府性基金预算支出情况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我单位</w:t>
      </w:r>
      <w:r>
        <w:rPr>
          <w:rFonts w:hint="default" w:ascii="Times New Roman" w:hAnsi="Times New Roman" w:eastAsia="仿宋_GB2312" w:cs="Times New Roman"/>
          <w:color w:val="000000" w:themeColor="text1"/>
          <w:sz w:val="32"/>
          <w:szCs w:val="32"/>
          <w14:textFill>
            <w14:solidFill>
              <w14:schemeClr w14:val="tx1"/>
            </w14:solidFill>
          </w14:textFill>
        </w:rPr>
        <w:t>政府性基金预算拨款支出未安排预算，政府性基金预算支出情况表为空表</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（二）非税收入情况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我</w:t>
      </w:r>
      <w:r>
        <w:rPr>
          <w:rFonts w:hint="default" w:ascii="Times New Roman" w:hAnsi="Times New Roman" w:eastAsia="仿宋_GB2312" w:cs="Times New Roman"/>
          <w:color w:val="000000" w:themeColor="text1"/>
          <w:sz w:val="32"/>
          <w:szCs w:val="32"/>
          <w14:textFill>
            <w14:solidFill>
              <w14:schemeClr w14:val="tx1"/>
            </w14:solidFill>
          </w14:textFill>
        </w:rPr>
        <w:t>单位202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年无非税收入。</w:t>
      </w:r>
    </w:p>
    <w:p>
      <w:pPr>
        <w:keepNext w:val="0"/>
        <w:keepLines w:val="0"/>
        <w:pageBreakBefore w:val="0"/>
        <w:widowControl w:val="0"/>
        <w:numPr>
          <w:ilvl w:val="0"/>
          <w:numId w:val="1"/>
        </w:numPr>
        <w:kinsoku/>
        <w:wordWrap/>
        <w:overflowPunct/>
        <w:topLinePunct w:val="0"/>
        <w:autoSpaceDE/>
        <w:autoSpaceDN/>
        <w:bidi w:val="0"/>
        <w:adjustRightInd w:val="0"/>
        <w:snapToGrid w:val="0"/>
        <w:spacing w:line="640" w:lineRule="exact"/>
        <w:ind w:left="0" w:leftChars="0"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重点项目情况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我</w:t>
      </w:r>
      <w:r>
        <w:rPr>
          <w:rFonts w:hint="default" w:ascii="Times New Roman" w:hAnsi="Times New Roman" w:eastAsia="仿宋_GB2312" w:cs="Times New Roman"/>
          <w:color w:val="000000" w:themeColor="text1"/>
          <w:sz w:val="32"/>
          <w:szCs w:val="32"/>
          <w14:textFill>
            <w14:solidFill>
              <w14:schemeClr w14:val="tx1"/>
            </w14:solidFill>
          </w14:textFill>
        </w:rPr>
        <w:t>单位202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年无</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项目</w:t>
      </w:r>
      <w:r>
        <w:rPr>
          <w:rFonts w:hint="default" w:ascii="Times New Roman" w:hAnsi="Times New Roman" w:eastAsia="仿宋_GB2312" w:cs="Times New Roman"/>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（四）部门管理转移支付情况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我单位</w:t>
      </w:r>
      <w:r>
        <w:rPr>
          <w:rFonts w:hint="default" w:ascii="Times New Roman" w:hAnsi="Times New Roman" w:eastAsia="仿宋_GB2312" w:cs="Times New Roman"/>
          <w:color w:val="000000" w:themeColor="text1"/>
          <w:sz w:val="32"/>
          <w:szCs w:val="32"/>
          <w14:textFill>
            <w14:solidFill>
              <w14:schemeClr w14:val="tx1"/>
            </w14:solidFill>
          </w14:textFill>
        </w:rPr>
        <w:t>未安排预算，单位管理转移支付表为空表。</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color w:val="000000" w:themeColor="text1"/>
          <w:kern w:val="0"/>
          <w:sz w:val="32"/>
          <w:szCs w:val="32"/>
          <w14:textFill>
            <w14:solidFill>
              <w14:schemeClr w14:val="tx1"/>
            </w14:solidFill>
          </w14:textFill>
        </w:rPr>
      </w:pPr>
      <w:r>
        <w:rPr>
          <w:rFonts w:hint="default" w:ascii="Times New Roman" w:hAnsi="Times New Roman" w:eastAsia="楷体_GB2312" w:cs="Times New Roman"/>
          <w:b/>
          <w:bCs/>
          <w:color w:val="000000" w:themeColor="text1"/>
          <w:kern w:val="0"/>
          <w:sz w:val="32"/>
          <w:szCs w:val="32"/>
          <w14:textFill>
            <w14:solidFill>
              <w14:schemeClr w14:val="tx1"/>
            </w14:solidFill>
          </w14:textFill>
        </w:rPr>
        <w:t>（五）国有资本经营预算支出情况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我单位</w:t>
      </w:r>
      <w:r>
        <w:rPr>
          <w:rFonts w:hint="default" w:ascii="Times New Roman" w:hAnsi="Times New Roman" w:eastAsia="仿宋_GB2312" w:cs="Times New Roman"/>
          <w:sz w:val="32"/>
          <w:szCs w:val="32"/>
        </w:rPr>
        <w:t>未安排预算，国有资本经营预算支出情况表为空表。</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十、预算绩效管理情况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（一）202</w:t>
      </w:r>
      <w:r>
        <w:rPr>
          <w:rFonts w:hint="eastAsia" w:ascii="Times New Roman" w:hAnsi="Times New Roman" w:eastAsia="楷体_GB2312" w:cs="Times New Roman"/>
          <w:b/>
          <w:bCs/>
          <w:kern w:val="0"/>
          <w:sz w:val="32"/>
          <w:szCs w:val="32"/>
          <w:lang w:val="en-US" w:eastAsia="zh-CN"/>
        </w:rPr>
        <w:t>6</w:t>
      </w:r>
      <w:r>
        <w:rPr>
          <w:rFonts w:hint="default" w:ascii="Times New Roman" w:hAnsi="Times New Roman" w:eastAsia="楷体_GB2312" w:cs="Times New Roman"/>
          <w:b/>
          <w:bCs/>
          <w:kern w:val="0"/>
          <w:sz w:val="32"/>
          <w:szCs w:val="32"/>
        </w:rPr>
        <w:t>年预算绩效管理工作情况。</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按照《中共中央国务院关于全面实施预算绩效管理的意见》《中共甘肃省委 甘肃省人民政府关于全面实施预算绩效管理的实施意见》等相关要求，我们将绩效理念和方法融入预算编制、执行、决算和监督全过程认真开展各项工作。</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1.绩效目标管理情况。</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年度，按照“谁申请资金，谁设置目标”的原则，纳入部门预算管理</w:t>
      </w:r>
      <w:r>
        <w:rPr>
          <w:rFonts w:hint="default" w:ascii="Times New Roman" w:hAnsi="Times New Roman" w:eastAsia="仿宋_GB2312" w:cs="Times New Roman"/>
          <w:color w:val="000000"/>
          <w:sz w:val="32"/>
          <w:szCs w:val="32"/>
        </w:rPr>
        <w:t>单位</w:t>
      </w:r>
      <w:r>
        <w:rPr>
          <w:rFonts w:hint="default" w:ascii="Times New Roman" w:hAnsi="Times New Roman" w:eastAsia="仿宋_GB2312" w:cs="Times New Roman"/>
          <w:sz w:val="32"/>
          <w:szCs w:val="32"/>
        </w:rPr>
        <w:t>整体支出和项目绩效目标</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个，按规定随年度预算一并公开项目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个，公开率为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2.绩效运行监控情况。</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年7月，组织开展1-6月绩效运行监控项目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个，占本</w:t>
      </w:r>
      <w:r>
        <w:rPr>
          <w:rFonts w:hint="default" w:ascii="Times New Roman" w:hAnsi="Times New Roman" w:eastAsia="仿宋_GB2312" w:cs="Times New Roman"/>
          <w:color w:val="000000"/>
          <w:sz w:val="32"/>
          <w:szCs w:val="32"/>
        </w:rPr>
        <w:t>单位</w:t>
      </w:r>
      <w:r>
        <w:rPr>
          <w:rFonts w:hint="default" w:ascii="Times New Roman" w:hAnsi="Times New Roman" w:eastAsia="仿宋_GB2312" w:cs="Times New Roman"/>
          <w:sz w:val="32"/>
          <w:szCs w:val="32"/>
        </w:rPr>
        <w:t>项目的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 xml:space="preserve"> %。截至7月底，如期完成预算执行和绩效目标指标值的项目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个，完成率为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%。“双监控”发现存在的问题和主要原因是：</w:t>
      </w:r>
      <w:r>
        <w:rPr>
          <w:rFonts w:hint="default" w:ascii="Times New Roman" w:hAnsi="Times New Roman" w:eastAsia="仿宋_GB2312" w:cs="Times New Roman"/>
          <w:sz w:val="32"/>
          <w:szCs w:val="32"/>
          <w:lang w:eastAsia="zh-CN"/>
        </w:rPr>
        <w:t>资金未兑付</w:t>
      </w:r>
      <w:r>
        <w:rPr>
          <w:rFonts w:hint="default" w:ascii="Times New Roman" w:hAnsi="Times New Roman" w:eastAsia="仿宋_GB2312" w:cs="Times New Roman"/>
          <w:sz w:val="32"/>
          <w:szCs w:val="32"/>
        </w:rPr>
        <w:t>。开展1-9月绩效运行监控项目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个，占本部门（单位）项目的</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%。截至10月底，如期完成预算执行和绩效目标指标值的项目</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个，完成率为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%。“双监控”发现存在的问题和主要原因是：</w:t>
      </w:r>
      <w:r>
        <w:rPr>
          <w:rFonts w:hint="default" w:ascii="Times New Roman" w:hAnsi="Times New Roman" w:eastAsia="仿宋_GB2312" w:cs="Times New Roman"/>
          <w:sz w:val="32"/>
          <w:szCs w:val="32"/>
          <w:lang w:eastAsia="zh-CN"/>
        </w:rPr>
        <w:t>资金未及时兑付</w:t>
      </w:r>
      <w:r>
        <w:rPr>
          <w:rFonts w:hint="default" w:ascii="Times New Roman" w:hAnsi="Times New Roman" w:eastAsia="仿宋_GB2312" w:cs="Times New Roman"/>
          <w:sz w:val="32"/>
          <w:szCs w:val="32"/>
        </w:rPr>
        <w:t>。绩效运行监控在部门内部通报整改情况：</w:t>
      </w:r>
      <w:r>
        <w:rPr>
          <w:rFonts w:hint="default" w:ascii="Times New Roman" w:hAnsi="Times New Roman" w:eastAsia="仿宋_GB2312" w:cs="Times New Roman"/>
          <w:sz w:val="32"/>
          <w:szCs w:val="32"/>
          <w:lang w:eastAsia="zh-CN"/>
        </w:rPr>
        <w:t>及时协商财政兑付资金</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3.绩效自评开展情况。</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年度，组织开展绩效自评项目共</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 xml:space="preserve"> 个，其中，部门（单位）整体支出</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个，项目支出</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个，转移支付项目</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 xml:space="preserve">个，绩效自评覆盖率为 </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 xml:space="preserve"> %。绩效自评结果随部门决算报送财政和随决算公开情况：</w:t>
      </w:r>
      <w:r>
        <w:rPr>
          <w:rFonts w:hint="default" w:ascii="Times New Roman" w:hAnsi="Times New Roman" w:eastAsia="仿宋_GB2312" w:cs="Times New Roman"/>
          <w:sz w:val="32"/>
          <w:szCs w:val="32"/>
          <w:lang w:eastAsia="zh-CN"/>
        </w:rPr>
        <w:t>及时公开</w:t>
      </w:r>
      <w:r>
        <w:rPr>
          <w:rFonts w:hint="default" w:ascii="Times New Roman" w:hAnsi="Times New Roman" w:eastAsia="仿宋_GB2312" w:cs="Times New Roman"/>
          <w:sz w:val="32"/>
          <w:szCs w:val="32"/>
        </w:rPr>
        <w:t>。</w:t>
      </w:r>
    </w:p>
    <w:p>
      <w:pPr>
        <w:widowControl/>
        <w:adjustRightInd w:val="0"/>
        <w:snapToGrid w:val="0"/>
        <w:spacing w:line="640" w:lineRule="exact"/>
        <w:ind w:firstLine="643" w:firstLineChars="200"/>
        <w:contextualSpacing/>
        <w:jc w:val="left"/>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4.绩效结果应用情况。</w:t>
      </w:r>
      <w:r>
        <w:rPr>
          <w:rFonts w:hint="default" w:ascii="Times New Roman" w:hAnsi="Times New Roman" w:eastAsia="仿宋_GB2312" w:cs="Times New Roman"/>
          <w:sz w:val="32"/>
          <w:szCs w:val="32"/>
        </w:rPr>
        <w:t>根据</w:t>
      </w:r>
      <w:r>
        <w:rPr>
          <w:rFonts w:hint="default"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度绩效运行监控、绩效自评等情况，我单位认真贯彻中央和省、市、区有关文件精神，积极推进预算绩效管理工作，建立健全财务管理制度，严格按照绩效目标的各项指标执行，做到会计核算符合相关规定、资金专款专用、资金支付依据和开支标准合法合规，提高财政资金使用效益和科学精细化管理水平，完成绩效目标。</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（二）202</w:t>
      </w:r>
      <w:r>
        <w:rPr>
          <w:rFonts w:hint="default" w:ascii="Times New Roman" w:hAnsi="Times New Roman" w:eastAsia="楷体_GB2312" w:cs="Times New Roman"/>
          <w:b/>
          <w:bCs/>
          <w:kern w:val="0"/>
          <w:sz w:val="32"/>
          <w:szCs w:val="32"/>
          <w:lang w:val="en-US" w:eastAsia="zh-CN"/>
        </w:rPr>
        <w:t>6</w:t>
      </w:r>
      <w:r>
        <w:rPr>
          <w:rFonts w:hint="default" w:ascii="Times New Roman" w:hAnsi="Times New Roman" w:eastAsia="楷体_GB2312" w:cs="Times New Roman"/>
          <w:b/>
          <w:bCs/>
          <w:kern w:val="0"/>
          <w:sz w:val="32"/>
          <w:szCs w:val="32"/>
        </w:rPr>
        <w:t>年绩效目标编制情况</w:t>
      </w:r>
    </w:p>
    <w:p>
      <w:pPr>
        <w:widowControl/>
        <w:adjustRightInd w:val="0"/>
        <w:snapToGrid w:val="0"/>
        <w:spacing w:line="640" w:lineRule="exact"/>
        <w:ind w:firstLine="640" w:firstLineChars="200"/>
        <w:contextualSpacing/>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年，纳入单位预算绩效目标管理的项目</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个。其中，部门整体支出绩效目标围绕部门管理、履职效果、能力建设三个维度，，设置二级指标</w:t>
      </w:r>
      <w:r>
        <w:rPr>
          <w:rFonts w:hint="default" w:ascii="Times New Roman" w:hAnsi="Times New Roman" w:eastAsia="仿宋_GB2312" w:cs="Times New Roman"/>
          <w:sz w:val="32"/>
          <w:szCs w:val="32"/>
          <w:lang w:val="en-US" w:eastAsia="zh-CN"/>
        </w:rPr>
        <w:t>18</w:t>
      </w:r>
      <w:r>
        <w:rPr>
          <w:rFonts w:hint="default" w:ascii="Times New Roman" w:hAnsi="Times New Roman" w:eastAsia="仿宋_GB2312" w:cs="Times New Roman"/>
          <w:sz w:val="32"/>
          <w:szCs w:val="32"/>
        </w:rPr>
        <w:t>个、三级指标</w:t>
      </w:r>
      <w:r>
        <w:rPr>
          <w:rFonts w:hint="default" w:ascii="Times New Roman" w:hAnsi="Times New Roman" w:eastAsia="仿宋_GB2312" w:cs="Times New Roman"/>
          <w:sz w:val="32"/>
          <w:szCs w:val="32"/>
          <w:lang w:val="en-US" w:eastAsia="zh-CN"/>
        </w:rPr>
        <w:t>33</w:t>
      </w:r>
      <w:r>
        <w:rPr>
          <w:rFonts w:hint="default" w:ascii="Times New Roman" w:hAnsi="Times New Roman" w:eastAsia="仿宋_GB2312" w:cs="Times New Roman"/>
          <w:sz w:val="32"/>
          <w:szCs w:val="32"/>
        </w:rPr>
        <w:t>个；项目支出绩效目标围绕成本指标、产出指标、效益指标、满意度指标四个维度，设置二级指标</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个、三级指标</w:t>
      </w:r>
      <w:r>
        <w:rPr>
          <w:rFonts w:hint="default" w:ascii="Times New Roman" w:hAnsi="Times New Roman" w:eastAsia="仿宋_GB2312" w:cs="Times New Roman"/>
          <w:sz w:val="32"/>
          <w:szCs w:val="32"/>
          <w:lang w:val="en-US" w:eastAsia="zh-CN"/>
        </w:rPr>
        <w:t>17</w:t>
      </w:r>
      <w:r>
        <w:rPr>
          <w:rFonts w:hint="default" w:ascii="Times New Roman" w:hAnsi="Times New Roman" w:eastAsia="仿宋_GB2312" w:cs="Times New Roman"/>
          <w:sz w:val="32"/>
          <w:szCs w:val="32"/>
        </w:rPr>
        <w:t>个。各项绩效目标内容指向明确、细化量化、合理可行，符合规定的格式要求。</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十一、名词解释</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1、财政拨款:</w:t>
      </w:r>
      <w:r>
        <w:rPr>
          <w:rFonts w:hint="default" w:ascii="Times New Roman" w:hAnsi="Times New Roman" w:eastAsia="仿宋_GB2312" w:cs="Times New Roman"/>
          <w:color w:val="00000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2、一般公共预算:</w:t>
      </w:r>
      <w:r>
        <w:rPr>
          <w:rFonts w:hint="default" w:ascii="Times New Roman" w:hAnsi="Times New Roman" w:eastAsia="仿宋_GB2312" w:cs="Times New Roman"/>
          <w:color w:val="00000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3、财政专户管理资金:</w:t>
      </w:r>
      <w:r>
        <w:rPr>
          <w:rFonts w:hint="default" w:ascii="Times New Roman" w:hAnsi="Times New Roman" w:eastAsia="仿宋_GB2312" w:cs="Times New Roman"/>
          <w:color w:val="00000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4、其他资金:</w:t>
      </w:r>
      <w:r>
        <w:rPr>
          <w:rFonts w:hint="default" w:ascii="Times New Roman" w:hAnsi="Times New Roman" w:eastAsia="仿宋_GB2312" w:cs="Times New Roman"/>
          <w:color w:val="00000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5、基本支出:</w:t>
      </w:r>
      <w:r>
        <w:rPr>
          <w:rFonts w:hint="default" w:ascii="Times New Roman" w:hAnsi="Times New Roman" w:eastAsia="仿宋_GB2312" w:cs="Times New Roman"/>
          <w:color w:val="00000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6、项目支出:</w:t>
      </w:r>
      <w:r>
        <w:rPr>
          <w:rFonts w:hint="default" w:ascii="Times New Roman" w:hAnsi="Times New Roman" w:eastAsia="仿宋_GB2312" w:cs="Times New Roman"/>
          <w:color w:val="00000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7、“三公”经费:</w:t>
      </w:r>
      <w:r>
        <w:rPr>
          <w:rFonts w:hint="default" w:ascii="Times New Roman" w:hAnsi="Times New Roman" w:eastAsia="仿宋_GB2312" w:cs="Times New Roman"/>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val="0"/>
        <w:snapToGrid w:val="0"/>
        <w:spacing w:line="640" w:lineRule="exact"/>
        <w:ind w:firstLine="643" w:firstLineChars="200"/>
        <w:contextualSpacing/>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8、机关运行经费:</w:t>
      </w:r>
      <w:r>
        <w:rPr>
          <w:rFonts w:hint="default" w:ascii="Times New Roman" w:hAnsi="Times New Roman" w:eastAsia="仿宋_GB2312" w:cs="Times New Roman"/>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val="0"/>
        <w:snapToGrid w:val="0"/>
        <w:spacing w:line="640" w:lineRule="exact"/>
        <w:contextualSpacing/>
        <w:jc w:val="right"/>
        <w:textAlignment w:val="auto"/>
        <w:rPr>
          <w:rFonts w:hint="default" w:ascii="Times New Roman" w:hAnsi="Times New Roman" w:eastAsia="仿宋_GB2312" w:cs="Times New Roman"/>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640" w:lineRule="exact"/>
        <w:contextualSpacing/>
        <w:jc w:val="right"/>
        <w:textAlignment w:val="auto"/>
        <w:rPr>
          <w:rFonts w:hint="default" w:ascii="Times New Roman" w:hAnsi="Times New Roman" w:eastAsia="仿宋_GB2312" w:cs="Times New Roman"/>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640" w:lineRule="exact"/>
        <w:ind w:right="1120"/>
        <w:contextualSpacing/>
        <w:jc w:val="right"/>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华池县农业农村局</w:t>
      </w:r>
    </w:p>
    <w:p>
      <w:pPr>
        <w:keepNext w:val="0"/>
        <w:keepLines w:val="0"/>
        <w:pageBreakBefore w:val="0"/>
        <w:widowControl w:val="0"/>
        <w:kinsoku/>
        <w:wordWrap/>
        <w:overflowPunct/>
        <w:topLinePunct w:val="0"/>
        <w:autoSpaceDE/>
        <w:autoSpaceDN/>
        <w:bidi w:val="0"/>
        <w:adjustRightInd w:val="0"/>
        <w:snapToGrid w:val="0"/>
        <w:spacing w:line="640" w:lineRule="exact"/>
        <w:ind w:right="1120"/>
        <w:contextualSpacing/>
        <w:jc w:val="righ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 xml:space="preserve">年 </w:t>
      </w: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 xml:space="preserve"> 月</w:t>
      </w:r>
      <w:r>
        <w:rPr>
          <w:rFonts w:hint="eastAsia" w:ascii="Times New Roman" w:hAnsi="Times New Roman" w:eastAsia="仿宋_GB2312" w:cs="Times New Roman"/>
          <w:color w:val="000000"/>
          <w:sz w:val="32"/>
          <w:szCs w:val="32"/>
          <w:lang w:val="en-US" w:eastAsia="zh-CN"/>
        </w:rPr>
        <w:t>16</w:t>
      </w:r>
      <w:r>
        <w:rPr>
          <w:rFonts w:hint="default" w:ascii="Times New Roman" w:hAnsi="Times New Roman" w:eastAsia="仿宋_GB2312" w:cs="Times New Roman"/>
          <w:color w:val="000000"/>
          <w:sz w:val="32"/>
          <w:szCs w:val="32"/>
        </w:rPr>
        <w:t xml:space="preserve"> 日</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仿宋_GB2312" w:cs="Times New Roman"/>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contextualSpacing/>
        <w:textAlignment w:val="auto"/>
        <w:rPr>
          <w:rFonts w:hint="default" w:ascii="Times New Roman" w:hAnsi="Times New Roman" w:eastAsia="仿宋_GB2312" w:cs="Times New Roman"/>
          <w:spacing w:val="-20"/>
          <w:kern w:val="0"/>
          <w:sz w:val="32"/>
          <w:szCs w:val="32"/>
        </w:rPr>
      </w:pPr>
      <w:r>
        <w:rPr>
          <w:rFonts w:hint="default" w:ascii="Times New Roman" w:hAnsi="Times New Roman" w:eastAsia="仿宋_GB2312" w:cs="Times New Roman"/>
          <w:kern w:val="0"/>
          <w:sz w:val="32"/>
          <w:szCs w:val="32"/>
        </w:rPr>
        <w:t>附件：</w:t>
      </w:r>
      <w:r>
        <w:rPr>
          <w:rFonts w:hint="default" w:ascii="Times New Roman" w:hAnsi="Times New Roman" w:eastAsia="仿宋_GB2312" w:cs="Times New Roman"/>
          <w:spacing w:val="-20"/>
          <w:kern w:val="0"/>
          <w:sz w:val="32"/>
          <w:szCs w:val="32"/>
        </w:rPr>
        <w:t>1.</w:t>
      </w:r>
      <w:r>
        <w:rPr>
          <w:rFonts w:hint="default" w:ascii="Times New Roman" w:hAnsi="Times New Roman" w:eastAsia="仿宋_GB2312" w:cs="Times New Roman"/>
          <w:spacing w:val="-20"/>
          <w:kern w:val="0"/>
          <w:sz w:val="32"/>
          <w:szCs w:val="32"/>
          <w:lang w:eastAsia="zh-CN"/>
        </w:rPr>
        <w:t>华池农业农村局</w:t>
      </w:r>
      <w:r>
        <w:rPr>
          <w:rFonts w:hint="default" w:ascii="Times New Roman" w:hAnsi="Times New Roman" w:eastAsia="仿宋_GB2312" w:cs="Times New Roman"/>
          <w:spacing w:val="-20"/>
          <w:kern w:val="0"/>
          <w:sz w:val="32"/>
          <w:szCs w:val="32"/>
        </w:rPr>
        <w:t>202</w:t>
      </w:r>
      <w:r>
        <w:rPr>
          <w:rFonts w:hint="eastAsia" w:ascii="Times New Roman" w:hAnsi="Times New Roman" w:eastAsia="仿宋_GB2312" w:cs="Times New Roman"/>
          <w:spacing w:val="-20"/>
          <w:kern w:val="0"/>
          <w:sz w:val="32"/>
          <w:szCs w:val="32"/>
          <w:lang w:val="en-US" w:eastAsia="zh-CN"/>
        </w:rPr>
        <w:t>6</w:t>
      </w:r>
      <w:r>
        <w:rPr>
          <w:rFonts w:hint="default" w:ascii="Times New Roman" w:hAnsi="Times New Roman" w:eastAsia="仿宋_GB2312" w:cs="Times New Roman"/>
          <w:spacing w:val="-20"/>
          <w:kern w:val="0"/>
          <w:sz w:val="32"/>
          <w:szCs w:val="32"/>
        </w:rPr>
        <w:t>年预算公开表</w:t>
      </w:r>
    </w:p>
    <w:p>
      <w:pPr>
        <w:keepNext w:val="0"/>
        <w:keepLines w:val="0"/>
        <w:pageBreakBefore w:val="0"/>
        <w:widowControl w:val="0"/>
        <w:kinsoku/>
        <w:wordWrap/>
        <w:overflowPunct/>
        <w:topLinePunct w:val="0"/>
        <w:autoSpaceDE/>
        <w:autoSpaceDN/>
        <w:bidi w:val="0"/>
        <w:adjustRightInd w:val="0"/>
        <w:snapToGrid w:val="0"/>
        <w:spacing w:line="640" w:lineRule="exact"/>
        <w:ind w:left="1796" w:leftChars="767" w:hanging="185" w:hangingChars="58"/>
        <w:contextualSpacing/>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2.</w:t>
      </w:r>
      <w:r>
        <w:rPr>
          <w:rFonts w:hint="default" w:ascii="Times New Roman" w:hAnsi="Times New Roman" w:eastAsia="仿宋_GB2312" w:cs="Times New Roman"/>
          <w:kern w:val="0"/>
          <w:sz w:val="32"/>
          <w:szCs w:val="32"/>
          <w:lang w:eastAsia="zh-CN"/>
        </w:rPr>
        <w:t>华池农业农村局</w:t>
      </w:r>
      <w:r>
        <w:rPr>
          <w:rFonts w:hint="default"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6</w:t>
      </w:r>
      <w:bookmarkStart w:id="1" w:name="_GoBack"/>
      <w:bookmarkEnd w:id="1"/>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eastAsia="zh-CN"/>
        </w:rPr>
        <w:t>部门</w:t>
      </w:r>
      <w:r>
        <w:rPr>
          <w:rFonts w:hint="default" w:ascii="Times New Roman" w:hAnsi="Times New Roman" w:eastAsia="仿宋_GB2312" w:cs="Times New Roman"/>
          <w:kern w:val="0"/>
          <w:sz w:val="32"/>
          <w:szCs w:val="32"/>
        </w:rPr>
        <w:t>整体支出绩效目标及预算项目绩效目标表</w:t>
      </w:r>
    </w:p>
    <w:p>
      <w:pPr>
        <w:keepNext w:val="0"/>
        <w:keepLines w:val="0"/>
        <w:pageBreakBefore w:val="0"/>
        <w:widowControl w:val="0"/>
        <w:tabs>
          <w:tab w:val="left" w:pos="1272"/>
        </w:tabs>
        <w:kinsoku/>
        <w:wordWrap/>
        <w:overflowPunct/>
        <w:topLinePunct w:val="0"/>
        <w:autoSpaceDE/>
        <w:autoSpaceDN/>
        <w:bidi w:val="0"/>
        <w:textAlignment w:val="auto"/>
        <w:rPr>
          <w:rFonts w:hint="default" w:ascii="Times New Roman" w:hAnsi="Times New Roman" w:cs="Times New Roman"/>
        </w:rPr>
      </w:pPr>
    </w:p>
    <w:p>
      <w:pPr>
        <w:tabs>
          <w:tab w:val="left" w:pos="1272"/>
        </w:tabs>
        <w:rPr>
          <w:rFonts w:hint="default" w:ascii="Times New Roman" w:hAnsi="Times New Roman" w:cs="Times New Roman"/>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27</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D48DD2"/>
    <w:multiLevelType w:val="singleLevel"/>
    <w:tmpl w:val="E7D48DD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8330BA7"/>
    <w:rsid w:val="1D34261E"/>
    <w:rsid w:val="211A2370"/>
    <w:rsid w:val="2D316434"/>
    <w:rsid w:val="42A05423"/>
    <w:rsid w:val="4C433C79"/>
    <w:rsid w:val="4CB47BB0"/>
    <w:rsid w:val="527E074E"/>
    <w:rsid w:val="56393C72"/>
    <w:rsid w:val="579503FF"/>
    <w:rsid w:val="57F029A2"/>
    <w:rsid w:val="60535296"/>
    <w:rsid w:val="6769748D"/>
    <w:rsid w:val="72FD2525"/>
    <w:rsid w:val="78106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qFormat/>
    <w:uiPriority w:val="0"/>
    <w:rPr>
      <w:b/>
      <w:bCs/>
    </w:rPr>
  </w:style>
  <w:style w:type="character" w:styleId="10">
    <w:name w:val="line number"/>
    <w:qFormat/>
    <w:uiPriority w:val="0"/>
  </w:style>
  <w:style w:type="character" w:styleId="11">
    <w:name w:val="annotation referenc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qFormat/>
    <w:uiPriority w:val="0"/>
    <w:rPr>
      <w:rFonts w:hint="eastAsia" w:ascii="仿宋_GB2312" w:eastAsia="仿宋_GB2312"/>
      <w:color w:val="000000"/>
      <w:sz w:val="32"/>
      <w:szCs w:val="32"/>
    </w:rPr>
  </w:style>
  <w:style w:type="character" w:customStyle="1" w:styleId="21">
    <w:name w:val="fontstyle21"/>
    <w:qFormat/>
    <w:uiPriority w:val="0"/>
    <w:rPr>
      <w:rFonts w:hint="default" w:ascii="TimesNewRomanPSMT" w:hAnsi="TimesNewRomanPSMT"/>
      <w:color w:val="000000"/>
      <w:sz w:val="32"/>
      <w:szCs w:val="32"/>
    </w:rPr>
  </w:style>
  <w:style w:type="character" w:customStyle="1" w:styleId="22">
    <w:name w:val="fontstyle11"/>
    <w:qFormat/>
    <w:uiPriority w:val="0"/>
    <w:rPr>
      <w:rFonts w:hint="eastAsia" w:ascii="仿宋_GB2312" w:eastAsia="仿宋_GB2312"/>
      <w:color w:val="000000"/>
      <w:sz w:val="32"/>
      <w:szCs w:val="32"/>
    </w:rPr>
  </w:style>
  <w:style w:type="character" w:customStyle="1" w:styleId="23">
    <w:name w:val="fontstyle31"/>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beijing</Company>
  <Pages>14</Pages>
  <Words>5936</Words>
  <Characters>6302</Characters>
  <Lines>68</Lines>
  <Paragraphs>19</Paragraphs>
  <TotalTime>3</TotalTime>
  <ScaleCrop>false</ScaleCrop>
  <LinksUpToDate>false</LinksUpToDate>
  <CharactersWithSpaces>6354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2024-01-30T09:03:00Z</dcterms:created>
  <dc:creator>home</dc:creator>
  <cp:lastModifiedBy>Administrator</cp:lastModifiedBy>
  <cp:lastPrinted>2026-03-16T01:16:29Z</cp:lastPrinted>
  <dcterms:modified xsi:type="dcterms:W3CDTF">2026-03-16T01:17:36Z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3BF216D21B9042549D3D1778E886734A_13</vt:lpwstr>
  </property>
  <property fmtid="{D5CDD505-2E9C-101B-9397-08002B2CF9AE}" pid="4" name="KSOTemplateDocerSaveRecord">
    <vt:lpwstr>eyJoZGlkIjoiZmI5Yjg5MGI5ZTE0MTZhNjVkOGZiMTEyZDY5NWJhNzAiLCJ1c2VySWQiOiI1MTAxNDQxMzMifQ==</vt:lpwstr>
  </property>
</Properties>
</file>