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hint="default" w:ascii="Times New Roman" w:hAnsi="Times New Roman" w:eastAsia="宋体" w:cs="Times New Roman"/>
          <w:b/>
          <w:bCs/>
          <w:kern w:val="0"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kern w:val="0"/>
          <w:sz w:val="44"/>
          <w:szCs w:val="44"/>
          <w:lang w:val="en-US" w:eastAsia="zh-CN"/>
        </w:rPr>
        <w:t>华池县农村合作经济经营管理局</w:t>
      </w:r>
    </w:p>
    <w:p w14:paraId="67ACC143">
      <w:pPr>
        <w:spacing w:line="660" w:lineRule="exact"/>
        <w:jc w:val="center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default" w:ascii="Times New Roman" w:hAnsi="Times New Roman" w:cs="Times New Roman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Times New Roman" w:hAnsi="Times New Roman" w:cs="Times New Roman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  <w:r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hint="default" w:ascii="Times New Roman" w:hAnsi="Times New Roman" w:eastAsia="黑体" w:cs="Times New Roman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  <w:t xml:space="preserve">第二部分 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六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八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九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十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十一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  <w:t xml:space="preserve">第三部分 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pacing w:val="-2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八、</w:t>
      </w:r>
      <w:r>
        <w:rPr>
          <w:rFonts w:hint="default" w:ascii="Times New Roman" w:hAnsi="Times New Roman" w:eastAsia="仿宋_GB2312" w:cs="Times New Roman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hint="default" w:ascii="Times New Roman" w:hAnsi="Times New Roman" w:eastAsia="仿宋_GB2312" w:cs="Times New Roman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hint="default" w:ascii="Times New Roman" w:hAnsi="Times New Roman" w:eastAsia="仿宋_GB2312" w:cs="Times New Roman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jc w:val="center"/>
        <w:rPr>
          <w:rFonts w:hint="default"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财政部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实施方案》要求，现将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一、单位职责</w:t>
      </w:r>
    </w:p>
    <w:p w14:paraId="067B38A2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主要职责：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负责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农村集体财务管理监督、农村土地承包管理、新型经营主体发展、村级财务审计、农村集体产权制度改革、村集体经济发展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农村宅基地备案等工作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。</w:t>
      </w:r>
    </w:p>
    <w:p w14:paraId="720E48B4">
      <w:pPr>
        <w:spacing w:line="600" w:lineRule="exact"/>
        <w:ind w:firstLine="640" w:firstLineChars="200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二、机构设置情况</w:t>
      </w:r>
    </w:p>
    <w:p w14:paraId="4241CD3F">
      <w:pPr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</w:rPr>
        <w:t>结合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本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</w:rPr>
        <w:t>单位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主要职责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</w:rPr>
        <w:t>内设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一室四股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</w:rPr>
        <w:t>即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</w:rPr>
        <w:t>办公室、农民专业合作组织管理股、农村集体“三资”管理股、农村土地承包管理股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eastAsia="zh-CN"/>
        </w:rPr>
        <w:t>、农村宅基地管理股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eastAsia="zh-CN"/>
        </w:rPr>
        <w:t>。</w:t>
      </w:r>
    </w:p>
    <w:p w14:paraId="154D8898">
      <w:pPr>
        <w:spacing w:line="600" w:lineRule="exact"/>
        <w:ind w:firstLine="640" w:firstLineChars="200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三、部门/单位收支总体情况</w:t>
      </w:r>
    </w:p>
    <w:p w14:paraId="7E0B9E78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年部门收支总预算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310.55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。按照综合预算的原则，单位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年收入预算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310.55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万元（详见单位预算公开表1,2）。包括：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一般公共预算收入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310.55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X%；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年支出预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310.55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万元（详见单位预算公开表3）。</w:t>
      </w:r>
      <w:r>
        <w:rPr>
          <w:rStyle w:val="20"/>
          <w:rFonts w:hint="default" w:ascii="Times New Roman" w:hAnsi="Times New Roman" w:cs="Times New Roman"/>
        </w:rPr>
        <w:t>其中：基本支出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294.55</w:t>
      </w:r>
      <w:r>
        <w:rPr>
          <w:rStyle w:val="20"/>
          <w:rFonts w:hint="default" w:ascii="Times New Roman" w:hAnsi="Times New Roman" w:cs="Times New Roman"/>
        </w:rPr>
        <w:t>万元，占</w:t>
      </w:r>
      <w:r>
        <w:rPr>
          <w:rStyle w:val="20"/>
          <w:rFonts w:hint="default" w:ascii="Times New Roman" w:hAnsi="Times New Roman" w:eastAsia="仿宋_GB2312" w:cs="Times New Roman"/>
          <w:lang w:val="en-US" w:eastAsia="zh-CN"/>
        </w:rPr>
        <w:t>94.8</w:t>
      </w:r>
      <w:r>
        <w:rPr>
          <w:rStyle w:val="21"/>
          <w:rFonts w:hint="default" w:ascii="Times New Roman" w:hAnsi="Times New Roman" w:eastAsia="仿宋_GB2312" w:cs="Times New Roman"/>
        </w:rPr>
        <w:t>%</w:t>
      </w:r>
      <w:r>
        <w:rPr>
          <w:rStyle w:val="20"/>
          <w:rFonts w:hint="default" w:ascii="Times New Roman" w:hAnsi="Times New Roman" w:cs="Times New Roman"/>
        </w:rPr>
        <w:t>；项目支出</w:t>
      </w:r>
      <w:r>
        <w:rPr>
          <w:rStyle w:val="20"/>
          <w:rFonts w:hint="default" w:ascii="Times New Roman" w:hAnsi="Times New Roman" w:eastAsia="仿宋_GB2312" w:cs="Times New Roman"/>
          <w:lang w:val="en-US" w:eastAsia="zh-CN"/>
        </w:rPr>
        <w:t>16</w:t>
      </w:r>
      <w:r>
        <w:rPr>
          <w:rStyle w:val="20"/>
          <w:rFonts w:hint="default" w:ascii="Times New Roman" w:hAnsi="Times New Roman" w:cs="Times New Roman"/>
        </w:rPr>
        <w:t>万元，占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5.2</w:t>
      </w:r>
      <w:r>
        <w:rPr>
          <w:rStyle w:val="21"/>
          <w:rFonts w:hint="default" w:ascii="Times New Roman" w:hAnsi="Times New Roman" w:eastAsia="仿宋_GB2312" w:cs="Times New Roman"/>
        </w:rPr>
        <w:t>%</w:t>
      </w:r>
      <w:r>
        <w:rPr>
          <w:rStyle w:val="20"/>
          <w:rFonts w:hint="default" w:ascii="Times New Roman" w:hAnsi="Times New Roman" w:eastAsia="仿宋_GB2312" w:cs="Times New Roman"/>
          <w:lang w:val="en-US" w:eastAsia="zh-CN"/>
        </w:rPr>
        <w:t>.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四、一般公共预算情况</w:t>
      </w:r>
    </w:p>
    <w:p w14:paraId="2251480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21"/>
          <w:rFonts w:hint="default" w:ascii="Times New Roman" w:hAnsi="Times New Roman" w:eastAsia="仿宋_GB2312" w:cs="Times New Roman"/>
          <w:lang w:eastAsia="zh-CN"/>
        </w:rPr>
        <w:t>202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6</w:t>
      </w:r>
      <w:r>
        <w:rPr>
          <w:rStyle w:val="20"/>
          <w:rFonts w:hint="default" w:ascii="Times New Roman" w:hAnsi="Times New Roman" w:cs="Times New Roman"/>
        </w:rPr>
        <w:t>年一般公共预算当年支出</w:t>
      </w:r>
      <w:r>
        <w:rPr>
          <w:rStyle w:val="21"/>
          <w:rFonts w:hint="eastAsia" w:ascii="Times New Roman" w:hAnsi="Times New Roman" w:eastAsia="仿宋_GB2312" w:cs="Times New Roman"/>
          <w:lang w:val="en-US" w:eastAsia="zh-CN"/>
        </w:rPr>
        <w:t>310.55</w:t>
      </w:r>
      <w:r>
        <w:rPr>
          <w:rStyle w:val="20"/>
          <w:rFonts w:hint="default" w:ascii="Times New Roman" w:hAnsi="Times New Roman" w:cs="Times New Roman"/>
        </w:rPr>
        <w:t>万元，</w:t>
      </w:r>
      <w:r>
        <w:rPr>
          <w:rStyle w:val="20"/>
          <w:rFonts w:hint="default" w:ascii="Times New Roman" w:hAnsi="Times New Roman" w:cs="Times New Roman"/>
        </w:rPr>
        <w:t>包括：一般公共服务支出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0</w:t>
      </w:r>
      <w:r>
        <w:rPr>
          <w:rStyle w:val="20"/>
          <w:rFonts w:hint="default" w:ascii="Times New Roman" w:hAnsi="Times New Roman" w:cs="Times New Roman"/>
        </w:rPr>
        <w:t>万元、公共安全支出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0</w:t>
      </w:r>
      <w:r>
        <w:rPr>
          <w:rStyle w:val="20"/>
          <w:rFonts w:hint="default" w:ascii="Times New Roman" w:hAnsi="Times New Roman" w:cs="Times New Roman"/>
        </w:rPr>
        <w:t>万元、教育支出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0</w:t>
      </w:r>
      <w:r>
        <w:rPr>
          <w:rStyle w:val="20"/>
          <w:rFonts w:hint="default" w:ascii="Times New Roman" w:hAnsi="Times New Roman" w:cs="Times New Roman"/>
        </w:rPr>
        <w:t>万元、科学技术支出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0</w:t>
      </w:r>
      <w:r>
        <w:rPr>
          <w:rStyle w:val="20"/>
          <w:rFonts w:hint="default" w:ascii="Times New Roman" w:hAnsi="Times New Roman" w:cs="Times New Roman"/>
        </w:rPr>
        <w:t>万元、社会保障和就业支出</w:t>
      </w:r>
      <w:r>
        <w:rPr>
          <w:rStyle w:val="21"/>
          <w:rFonts w:hint="eastAsia" w:ascii="Times New Roman" w:hAnsi="Times New Roman" w:eastAsia="仿宋_GB2312" w:cs="Times New Roman"/>
          <w:lang w:val="en-US" w:eastAsia="zh-CN"/>
        </w:rPr>
        <w:t>43.49</w:t>
      </w:r>
      <w:r>
        <w:rPr>
          <w:rStyle w:val="20"/>
          <w:rFonts w:hint="default" w:ascii="Times New Roman" w:hAnsi="Times New Roman" w:cs="Times New Roman"/>
        </w:rPr>
        <w:t>万元、其他支出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0</w:t>
      </w:r>
      <w:r>
        <w:rPr>
          <w:rStyle w:val="20"/>
          <w:rFonts w:hint="default" w:ascii="Times New Roman" w:hAnsi="Times New Roman" w:cs="Times New Roman"/>
        </w:rPr>
        <w:t>万元。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具体安排情况如下（详见单位预算公开表4,5,6,7）：</w:t>
      </w:r>
    </w:p>
    <w:p w14:paraId="59725234">
      <w:pPr>
        <w:spacing w:line="640" w:lineRule="exact"/>
        <w:ind w:firstLine="643" w:firstLineChars="200"/>
        <w:contextualSpacing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年基本支出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294.55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年预算增加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14.63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万元，增长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5.3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%，增长的主要原因是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年内人员增加、预算增加。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其中：人员经费支出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276.74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公用经费支出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17.81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（二）项目支出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年一般公共预算财政拨款项目支出预算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年预算增加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万元，增长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%，增长的主要原因是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年内项目增加，预算资金增加。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部门专项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个，主要是项目1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: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农村土地承包经营权仲裁工作经费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: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第二轮土地承包到期再延长30年试点工作经费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;项目3：乱占耕地建房住宅类房屋专项整治工作经费支出。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（三）支出功能分类说明</w:t>
      </w:r>
    </w:p>
    <w:p w14:paraId="3C47CE7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</w:rPr>
        <w:t>1.社会保障和就业支出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43.49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，较2025年预算增加1.23万元，增加2.9%，主要原因为人员工资增加，预算各类保险增加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；</w:t>
      </w:r>
    </w:p>
    <w:p w14:paraId="48392C9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2.卫生健康支出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15.18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，较2025年预算增加1.34万元，增加9.7%，主要原因为人员工资增加，预算各类保险增加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；</w:t>
      </w:r>
    </w:p>
    <w:p w14:paraId="2D901C8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3.农林水支出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231.09202.76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，较2025年预算增加28.33万元，增加13.97%，主要原因为人员增加、年内项目增加，预算增加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；</w:t>
      </w:r>
    </w:p>
    <w:p w14:paraId="0A17ECD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4.住房保障支出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20.79万元，较2025年预算增加1.73万元，增加9.1%，主要原因为人员增加，预算增加。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（一）“三公”经费情况说明</w:t>
      </w:r>
    </w:p>
    <w:p w14:paraId="51834DC9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“三公”经费预算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万元，较20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无变化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5CCE71A1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1.因公出国（境）费用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较20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无变化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3501C54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2.公务接待费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较202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无变化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4D47C90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3.公务用车购置及运行维护费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较20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无变化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4.培训费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0.15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增加0.015万元，增加11.1%，人员增加，预算增加。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（三）会议费预算情况说明</w:t>
      </w:r>
    </w:p>
    <w:p w14:paraId="5EBE131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5.会议费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万元，较202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无变化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六、一般公共预算财政拨款机关运行经费情况</w:t>
      </w:r>
    </w:p>
    <w:p w14:paraId="43D457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本单位为事业单位，无机关运行经费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年，单位政府采购预算总额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2.55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万元，其中：政府采购货物预算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1.55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万元，政府采购工程预算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万元，政府采购服务预算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年，单位面向中小企业预留政府采购项目预算金额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万元，小微企业预留政府采购项目预算金额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2.55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上年末固定资产金额为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26.09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万元。单价20万元以上的设备价值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年拟采购固定资产约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2.55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（一）政府性基金预算支出情况</w:t>
      </w:r>
    </w:p>
    <w:p w14:paraId="2FB18F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（二）非税收入情况</w:t>
      </w:r>
    </w:p>
    <w:p w14:paraId="1162844B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年本单位无非税收入。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（三）重点项目情况</w:t>
      </w:r>
    </w:p>
    <w:p w14:paraId="0DB6721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项目名称：华池县农村土地承包经营权仲裁工作经费</w:t>
      </w:r>
    </w:p>
    <w:p w14:paraId="0509B170">
      <w:pPr>
        <w:widowControl/>
        <w:numPr>
          <w:ilvl w:val="0"/>
          <w:numId w:val="1"/>
        </w:numPr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项目概况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调处农村土地承包经营权纠纷及仲裁工作： </w:t>
      </w:r>
    </w:p>
    <w:p w14:paraId="342EEF24">
      <w:pPr>
        <w:widowControl/>
        <w:numPr>
          <w:ilvl w:val="0"/>
          <w:numId w:val="1"/>
        </w:numPr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立项依据：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关于进一步加强农村土地承包经营纠纷调解仲裁工作的通知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》（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甘农经函（2020）18号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</w:p>
    <w:p w14:paraId="45AAE33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3、实施主体：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华池县农经局</w:t>
      </w:r>
    </w:p>
    <w:p w14:paraId="20FAA90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4、实施周期：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1年</w:t>
      </w:r>
    </w:p>
    <w:p w14:paraId="4BCCFF8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5、实施计划：预计调处土地承包经营权纠纷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起</w:t>
      </w:r>
    </w:p>
    <w:p w14:paraId="5B34641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6、年度预算安排：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1万元</w:t>
      </w:r>
    </w:p>
    <w:p w14:paraId="25CCE4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7、预期总体目标：稳定农村土地承包经营权，预计调处土地矛盾纠纷10起，减少农村土地矛盾纠纷发生率。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（四）部门管理转移支付情况</w:t>
      </w:r>
    </w:p>
    <w:p w14:paraId="5F0DA0E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年，部门管理转移支付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</w:p>
    <w:p w14:paraId="4295EA1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2.专项转移支付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万元，具体项目有：</w:t>
      </w:r>
    </w:p>
    <w:p w14:paraId="3DB02A8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(1)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: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农村土地承包经营权仲裁工作经费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1万元；</w:t>
      </w:r>
    </w:p>
    <w:p w14:paraId="0D9EB76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(2)项目2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第二轮土地承包到期再延长30年试点工作经费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10万元;</w:t>
      </w:r>
    </w:p>
    <w:p w14:paraId="0650AC6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(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)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项目3：乱占耕地建房住宅类房屋专项整治工作经费5万元。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（五）国有资本经营预算支出情况</w:t>
      </w:r>
    </w:p>
    <w:p w14:paraId="45183F7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按照《中共中央国务院关于全面实施预算绩效管理的意见》《中共甘肃省委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1.绩效目标管理情况。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年度，按照“谁申请资金，谁设置目标”的原则，纳入部门预算管理的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整体支出和项目绩效目标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个，按规定随年度预算一并公开项目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个，公开率为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</w:t>
      </w:r>
    </w:p>
    <w:p w14:paraId="27D67525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2.绩效运行监控情况。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月，组织开展1-6月绩效运行监控项目4个，占本单位项目的100%。截至7月底，如期完成预算执行和绩效目标指标值的项目1个，完成率为100 %。开展1-9月绩效运行监控项目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个，占本部门（单位）项目的100 %。截至10月底，如期完成预算执行和绩效目标指标值的项目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个，完成率为100 %。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3.绩效自评开展情况。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年度，组织开展绩效自评项目共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个，其中，部门（单位）整体支出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个，项目支出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个，转移支付项目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个，绩效自评覆盖率为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%。绩效自评结果随部门决算报送财政和随决算公开情况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本单位共组织对202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年农业生产社会化社会化服务项目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401.78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万元开展部门重点绩效评价，项目绩效评价结果均为优。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4.绩效结果应用情况。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根据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绩效运行监控、绩效自评等情况，我单位认真贯彻中央和省、市、区有关文件精神，积极推进预算绩效管理工作，建立健全财务管理制度，严格按照绩效目标的各项指标执行，做到会计核算符合相关规定、资金专款专用、资金支付依据和开支标准合法合规，提高财政资金使用效益和科学精细化管理水平，完成绩效目标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年，纳入单位预算绩效目标管理的项目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个。其中，部门整体支出绩效目标围绕部门管理、履职效果、能力建设三个维度，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，设置二级指标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个、三级指标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个、三级指标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1、财政拨款: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2、一般公共预算: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3、财政专户管理资金: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4、其他资金: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5、基本支出: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6、项目支出: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7、“三公”经费: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8、机关运行经费: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64124FC8">
      <w:pPr>
        <w:adjustRightInd w:val="0"/>
        <w:snapToGrid w:val="0"/>
        <w:spacing w:line="640" w:lineRule="exact"/>
        <w:ind w:right="1120"/>
        <w:contextualSpacing/>
        <w:jc w:val="center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                             </w:t>
      </w:r>
    </w:p>
    <w:p w14:paraId="157503B0">
      <w:pPr>
        <w:adjustRightInd w:val="0"/>
        <w:snapToGrid w:val="0"/>
        <w:spacing w:line="640" w:lineRule="exact"/>
        <w:ind w:right="1120"/>
        <w:contextualSpacing/>
        <w:jc w:val="center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                           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华池县农经局</w:t>
      </w:r>
    </w:p>
    <w:p w14:paraId="66B61564">
      <w:pPr>
        <w:adjustRightInd w:val="0"/>
        <w:snapToGrid w:val="0"/>
        <w:spacing w:line="640" w:lineRule="exact"/>
        <w:ind w:right="1120"/>
        <w:contextualSpacing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                              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日</w:t>
      </w:r>
    </w:p>
    <w:p w14:paraId="3AE36DB2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198D4AE6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490C00F9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附件：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1.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  <w:lang w:val="en-US" w:eastAsia="zh-CN"/>
        </w:rPr>
        <w:t>华池县农经局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单位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预算公开表</w:t>
      </w:r>
    </w:p>
    <w:p w14:paraId="41DD49F1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2.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  <w:lang w:val="en-US" w:eastAsia="zh-CN"/>
        </w:rPr>
        <w:t>华池县农经局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单位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整体支出绩效目标及预算项目绩效目标表</w:t>
      </w:r>
    </w:p>
    <w:p w14:paraId="17E9953D">
      <w:pPr>
        <w:tabs>
          <w:tab w:val="left" w:pos="1272"/>
        </w:tabs>
        <w:rPr>
          <w:rFonts w:hint="default" w:ascii="Times New Roman" w:hAnsi="Times New Roman" w:cs="Times New Roman"/>
        </w:rPr>
      </w:pPr>
    </w:p>
    <w:p w14:paraId="32A93612">
      <w:pPr>
        <w:tabs>
          <w:tab w:val="left" w:pos="1272"/>
        </w:tabs>
        <w:rPr>
          <w:rFonts w:hint="default" w:ascii="Times New Roman" w:hAnsi="Times New Roman" w:cs="Times New Roma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Cambria">
    <w:altName w:val="Segoe Print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Noto Sans Syriac Eastern">
    <w:altName w:val="宋体"/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国标仿宋">
    <w:altName w:val="仿宋"/>
    <w:panose1 w:val="02000500000000000000"/>
    <w:charset w:val="86"/>
    <w:family w:val="auto"/>
    <w:pitch w:val="default"/>
    <w:sig w:usb0="00000000" w:usb1="00000000" w:usb2="00000016" w:usb3="00000000" w:csb0="00060007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ECD234"/>
    <w:multiLevelType w:val="singleLevel"/>
    <w:tmpl w:val="37ECD23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AC92E03"/>
    <w:rsid w:val="1D34261E"/>
    <w:rsid w:val="42A05423"/>
    <w:rsid w:val="4C433C79"/>
    <w:rsid w:val="527E074E"/>
    <w:rsid w:val="56393C72"/>
    <w:rsid w:val="579503FF"/>
    <w:rsid w:val="58750913"/>
    <w:rsid w:val="60535296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4807</Words>
  <Characters>5040</Characters>
  <Lines>68</Lines>
  <Paragraphs>19</Paragraphs>
  <TotalTime>0</TotalTime>
  <ScaleCrop>false</ScaleCrop>
  <LinksUpToDate>false</LinksUpToDate>
  <CharactersWithSpaces>5501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浅笑、淡然</cp:lastModifiedBy>
  <cp:lastPrinted>2022-02-15T15:45:00Z</cp:lastPrinted>
  <dcterms:modified xsi:type="dcterms:W3CDTF">2026-03-14T08:36:43Z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eyJoZGlkIjoiZmI5Yjg5MGI5ZTE0MTZhNjVkOGZiMTEyZDY5NWJhNzAiLCJ1c2VySWQiOiI1MTAxNDQxMzMifQ==</vt:lpwstr>
  </property>
</Properties>
</file>