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0990B">
      <w:pPr>
        <w:pStyle w:val="2"/>
        <w:pageBreakBefore w:val="0"/>
        <w:widowControl w:val="0"/>
        <w:kinsoku/>
        <w:wordWrap/>
        <w:overflowPunct/>
        <w:topLinePunct w:val="0"/>
        <w:autoSpaceDE/>
        <w:autoSpaceDN/>
        <w:bidi w:val="0"/>
        <w:adjustRightInd/>
        <w:snapToGrid/>
        <w:spacing w:before="420" w:beforeAutospacing="0" w:after="210" w:afterAutospacing="0" w:line="560" w:lineRule="exact"/>
        <w:ind w:firstLine="0" w:firstLineChars="0"/>
        <w:jc w:val="center"/>
        <w:textAlignment w:val="auto"/>
        <w:rPr>
          <w:rFonts w:hint="default" w:ascii="黑体" w:hAnsi="宋体" w:eastAsia="黑体" w:cs="Times New Roman"/>
          <w:b/>
          <w:bCs/>
          <w:color w:val="000000"/>
          <w:sz w:val="44"/>
          <w:szCs w:val="44"/>
        </w:rPr>
      </w:pPr>
      <w:r>
        <w:rPr>
          <w:rFonts w:hint="default" w:ascii="黑体" w:hAnsi="宋体" w:eastAsia="黑体" w:cs="Times New Roman"/>
          <w:b/>
          <w:bCs/>
          <w:color w:val="000000"/>
          <w:sz w:val="44"/>
          <w:szCs w:val="44"/>
        </w:rPr>
        <w:t>华池县乔川九年制学校</w:t>
      </w:r>
    </w:p>
    <w:p w14:paraId="0E8A7147">
      <w:pPr>
        <w:pStyle w:val="3"/>
        <w:pageBreakBefore w:val="0"/>
        <w:widowControl w:val="0"/>
        <w:kinsoku/>
        <w:wordWrap/>
        <w:overflowPunct/>
        <w:topLinePunct w:val="0"/>
        <w:autoSpaceDE/>
        <w:autoSpaceDN/>
        <w:bidi w:val="0"/>
        <w:adjustRightInd/>
        <w:snapToGrid/>
        <w:spacing w:before="105" w:beforeAutospacing="0" w:after="420" w:afterAutospacing="0" w:line="560" w:lineRule="exact"/>
        <w:ind w:firstLine="0" w:firstLineChars="0"/>
        <w:jc w:val="center"/>
        <w:textAlignment w:val="auto"/>
        <w:rPr>
          <w:rFonts w:hint="default" w:ascii="黑体" w:hAnsi="宋体" w:eastAsia="黑体" w:cs="黑体"/>
          <w:b/>
          <w:bCs/>
          <w:color w:val="000000"/>
          <w:sz w:val="44"/>
          <w:szCs w:val="44"/>
        </w:rPr>
      </w:pPr>
      <w:r>
        <w:rPr>
          <w:rFonts w:hint="default" w:ascii="黑体" w:hAnsi="宋体" w:eastAsia="黑体" w:cs="黑体"/>
          <w:b/>
          <w:bCs/>
          <w:color w:val="000000"/>
          <w:sz w:val="44"/>
          <w:szCs w:val="44"/>
        </w:rPr>
        <w:t>2026年单位预算公开情况说明</w:t>
      </w:r>
    </w:p>
    <w:p w14:paraId="745246E6">
      <w:pPr>
        <w:pStyle w:val="4"/>
        <w:pageBreakBefore w:val="0"/>
        <w:widowControl w:val="0"/>
        <w:kinsoku/>
        <w:wordWrap/>
        <w:overflowPunct/>
        <w:topLinePunct w:val="0"/>
        <w:autoSpaceDE/>
        <w:autoSpaceDN/>
        <w:bidi w:val="0"/>
        <w:adjustRightInd/>
        <w:snapToGrid/>
        <w:spacing w:before="210" w:beforeAutospacing="0" w:after="105" w:afterAutospacing="0" w:line="560" w:lineRule="exact"/>
        <w:ind w:firstLine="0" w:firstLineChars="0"/>
        <w:jc w:val="left"/>
        <w:textAlignment w:val="auto"/>
        <w:rPr>
          <w:rFonts w:hint="default" w:ascii="仿宋_GB2312" w:hAnsi="Times New Roman" w:eastAsia="仿宋_GB2312" w:cs="仿宋_GB2312"/>
          <w:b/>
          <w:bCs/>
          <w:color w:val="000000"/>
          <w:sz w:val="32"/>
          <w:szCs w:val="32"/>
        </w:rPr>
      </w:pPr>
      <w:r>
        <w:rPr>
          <w:rFonts w:hint="default" w:ascii="仿宋_GB2312" w:hAnsi="Times New Roman" w:eastAsia="仿宋_GB2312" w:cs="仿宋_GB2312"/>
          <w:b/>
          <w:bCs/>
          <w:color w:val="000000"/>
          <w:sz w:val="32"/>
          <w:szCs w:val="32"/>
        </w:rPr>
        <w:t>目 录</w:t>
      </w:r>
    </w:p>
    <w:p w14:paraId="6BE446FC">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第一部分 部门/单位基本概况</w:t>
      </w:r>
    </w:p>
    <w:p w14:paraId="3B1607BB">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一、部门/单位职责</w:t>
      </w:r>
    </w:p>
    <w:p w14:paraId="4C78A811">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二、机构设置情况</w:t>
      </w:r>
    </w:p>
    <w:p w14:paraId="2E6C4926">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 w:val="32"/>
          <w:szCs w:val="32"/>
        </w:rPr>
      </w:pPr>
    </w:p>
    <w:p w14:paraId="5D2A7A05">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第二部分 2026年部门/单位预算情况说明</w:t>
      </w:r>
    </w:p>
    <w:p w14:paraId="3C0A840C">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三、收支总体情况</w:t>
      </w:r>
    </w:p>
    <w:p w14:paraId="5547B89C">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四、一般公共预算情况</w:t>
      </w:r>
    </w:p>
    <w:p w14:paraId="1E6D1A67">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五、一般公共预算财政拨款“三公”经费、培训费、会议费等情况</w:t>
      </w:r>
    </w:p>
    <w:p w14:paraId="6A28C675">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六、一般公共预算财政拨款机关运行经费情况</w:t>
      </w:r>
    </w:p>
    <w:p w14:paraId="57C77F01">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七、政府采购安排情况</w:t>
      </w:r>
    </w:p>
    <w:p w14:paraId="1BFC2B5C">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八、国有资产占用情况</w:t>
      </w:r>
    </w:p>
    <w:p w14:paraId="1BFD41CF">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九、其他重要事项情况说明</w:t>
      </w:r>
    </w:p>
    <w:p w14:paraId="6FF53B59">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十、预算绩效管理情况</w:t>
      </w:r>
    </w:p>
    <w:p w14:paraId="3377D0E6">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十一、名词解释</w:t>
      </w:r>
    </w:p>
    <w:p w14:paraId="413D7B13">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 w:val="32"/>
          <w:szCs w:val="32"/>
        </w:rPr>
      </w:pPr>
    </w:p>
    <w:p w14:paraId="3C28AEB4">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第三部分 2026年部门（单位）预算公开表</w:t>
      </w:r>
    </w:p>
    <w:p w14:paraId="45531661">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一、部门/单位收支总体情况表</w:t>
      </w:r>
    </w:p>
    <w:p w14:paraId="5F961F33">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二、部门/单位收入总体情况表</w:t>
      </w:r>
    </w:p>
    <w:p w14:paraId="1DC63513">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三、部门/单位支出总体情况表</w:t>
      </w:r>
    </w:p>
    <w:p w14:paraId="64A2672C">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四、财政拨款收支总体情况表</w:t>
      </w:r>
    </w:p>
    <w:p w14:paraId="1E8011B0">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五、财政拨款支出表</w:t>
      </w:r>
    </w:p>
    <w:p w14:paraId="3DEED37F">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六、一般公共预算支出情况表</w:t>
      </w:r>
    </w:p>
    <w:p w14:paraId="726EC4BB">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七、一般公共预算基本支出情况表</w:t>
      </w:r>
    </w:p>
    <w:p w14:paraId="6D51C457">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八、一般公共预算财政拨款“三公”经费、会议费、培训费支出情况表</w:t>
      </w:r>
    </w:p>
    <w:p w14:paraId="2BC1314E">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九、一般公共预算财政拨款机关运行经费表</w:t>
      </w:r>
    </w:p>
    <w:p w14:paraId="26844C17">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十、政府性基金预算支出情况表</w:t>
      </w:r>
    </w:p>
    <w:p w14:paraId="4B2323E9">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十一、部门管理转移支付表</w:t>
      </w:r>
    </w:p>
    <w:p w14:paraId="1FC04774">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十二、国有资本经营预算支出情况表</w:t>
      </w:r>
    </w:p>
    <w:p w14:paraId="699238C4">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十三、部门/单位整体支出绩效目标表和项目支出绩效目标表</w:t>
      </w:r>
    </w:p>
    <w:p w14:paraId="485FFE1C">
      <w:pPr>
        <w:pStyle w:val="4"/>
        <w:pageBreakBefore w:val="0"/>
        <w:widowControl w:val="0"/>
        <w:kinsoku/>
        <w:wordWrap/>
        <w:overflowPunct/>
        <w:topLinePunct w:val="0"/>
        <w:autoSpaceDE/>
        <w:autoSpaceDN/>
        <w:bidi w:val="0"/>
        <w:adjustRightInd/>
        <w:snapToGrid/>
        <w:spacing w:before="210" w:beforeAutospacing="0" w:after="105" w:afterAutospacing="0" w:line="560" w:lineRule="exact"/>
        <w:ind w:firstLine="0" w:firstLineChars="0"/>
        <w:jc w:val="left"/>
        <w:textAlignment w:val="auto"/>
        <w:rPr>
          <w:rFonts w:hint="default" w:ascii="仿宋_GB2312" w:hAnsi="Times New Roman" w:eastAsia="仿宋_GB2312" w:cs="仿宋_GB2312"/>
          <w:b/>
          <w:bCs/>
          <w:color w:val="000000"/>
          <w:sz w:val="32"/>
          <w:szCs w:val="32"/>
        </w:rPr>
      </w:pPr>
    </w:p>
    <w:p w14:paraId="793D8B51">
      <w:pPr>
        <w:pStyle w:val="4"/>
        <w:pageBreakBefore w:val="0"/>
        <w:widowControl w:val="0"/>
        <w:kinsoku/>
        <w:wordWrap/>
        <w:overflowPunct/>
        <w:topLinePunct w:val="0"/>
        <w:autoSpaceDE/>
        <w:autoSpaceDN/>
        <w:bidi w:val="0"/>
        <w:adjustRightInd/>
        <w:snapToGrid/>
        <w:spacing w:before="210" w:beforeAutospacing="0" w:after="105" w:afterAutospacing="0" w:line="560" w:lineRule="exact"/>
        <w:ind w:firstLine="0" w:firstLineChars="0"/>
        <w:jc w:val="left"/>
        <w:textAlignment w:val="auto"/>
        <w:rPr>
          <w:rFonts w:hint="default" w:ascii="仿宋_GB2312" w:hAnsi="Times New Roman" w:eastAsia="仿宋_GB2312" w:cs="仿宋_GB2312"/>
          <w:b/>
          <w:bCs/>
          <w:color w:val="000000"/>
          <w:sz w:val="32"/>
          <w:szCs w:val="32"/>
        </w:rPr>
      </w:pPr>
    </w:p>
    <w:p w14:paraId="1F0D8B5B">
      <w:pPr>
        <w:pStyle w:val="4"/>
        <w:pageBreakBefore w:val="0"/>
        <w:widowControl w:val="0"/>
        <w:kinsoku/>
        <w:wordWrap/>
        <w:overflowPunct/>
        <w:topLinePunct w:val="0"/>
        <w:autoSpaceDE/>
        <w:autoSpaceDN/>
        <w:bidi w:val="0"/>
        <w:adjustRightInd/>
        <w:snapToGrid/>
        <w:spacing w:before="210" w:beforeAutospacing="0" w:after="105" w:afterAutospacing="0" w:line="560" w:lineRule="exact"/>
        <w:ind w:firstLine="0" w:firstLineChars="0"/>
        <w:jc w:val="left"/>
        <w:textAlignment w:val="auto"/>
        <w:rPr>
          <w:rFonts w:hint="default" w:ascii="仿宋_GB2312" w:hAnsi="Times New Roman" w:eastAsia="仿宋_GB2312" w:cs="仿宋_GB2312"/>
          <w:b/>
          <w:bCs/>
          <w:color w:val="000000"/>
          <w:sz w:val="32"/>
          <w:szCs w:val="32"/>
        </w:rPr>
      </w:pPr>
    </w:p>
    <w:p w14:paraId="46A5BE89">
      <w:pPr>
        <w:pStyle w:val="4"/>
        <w:pageBreakBefore w:val="0"/>
        <w:widowControl w:val="0"/>
        <w:kinsoku/>
        <w:wordWrap/>
        <w:overflowPunct/>
        <w:topLinePunct w:val="0"/>
        <w:autoSpaceDE/>
        <w:autoSpaceDN/>
        <w:bidi w:val="0"/>
        <w:adjustRightInd/>
        <w:snapToGrid/>
        <w:spacing w:before="210" w:beforeAutospacing="0" w:after="105" w:afterAutospacing="0" w:line="560" w:lineRule="exact"/>
        <w:ind w:firstLine="0" w:firstLineChars="0"/>
        <w:jc w:val="left"/>
        <w:textAlignment w:val="auto"/>
        <w:rPr>
          <w:rFonts w:hint="default" w:ascii="仿宋_GB2312" w:hAnsi="Times New Roman" w:eastAsia="仿宋_GB2312" w:cs="仿宋_GB2312"/>
          <w:b/>
          <w:bCs/>
          <w:color w:val="000000"/>
          <w:sz w:val="32"/>
          <w:szCs w:val="32"/>
        </w:rPr>
      </w:pPr>
    </w:p>
    <w:p w14:paraId="5C994D85">
      <w:pPr>
        <w:rPr>
          <w:rFonts w:hint="default" w:ascii="仿宋_GB2312" w:hAnsi="Times New Roman" w:eastAsia="仿宋_GB2312" w:cs="仿宋_GB2312"/>
          <w:b/>
          <w:bCs/>
          <w:color w:val="000000"/>
          <w:sz w:val="32"/>
          <w:szCs w:val="32"/>
        </w:rPr>
      </w:pPr>
    </w:p>
    <w:p w14:paraId="5E207456">
      <w:pPr>
        <w:rPr>
          <w:rFonts w:hint="default" w:ascii="仿宋_GB2312" w:hAnsi="Times New Roman" w:eastAsia="仿宋_GB2312" w:cs="仿宋_GB2312"/>
          <w:b/>
          <w:bCs/>
          <w:color w:val="000000"/>
          <w:sz w:val="32"/>
          <w:szCs w:val="32"/>
        </w:rPr>
      </w:pPr>
    </w:p>
    <w:p w14:paraId="67C9651E">
      <w:pPr>
        <w:rPr>
          <w:rFonts w:hint="default" w:ascii="仿宋_GB2312" w:hAnsi="Times New Roman" w:eastAsia="仿宋_GB2312" w:cs="仿宋_GB2312"/>
          <w:b/>
          <w:bCs/>
          <w:color w:val="000000"/>
          <w:sz w:val="32"/>
          <w:szCs w:val="32"/>
        </w:rPr>
      </w:pPr>
    </w:p>
    <w:p w14:paraId="17004B28">
      <w:pPr>
        <w:rPr>
          <w:rFonts w:hint="default" w:ascii="仿宋_GB2312" w:hAnsi="Times New Roman" w:eastAsia="仿宋_GB2312" w:cs="仿宋_GB2312"/>
          <w:b/>
          <w:bCs/>
          <w:color w:val="000000"/>
          <w:sz w:val="32"/>
          <w:szCs w:val="32"/>
        </w:rPr>
      </w:pPr>
    </w:p>
    <w:p w14:paraId="328781EF">
      <w:pPr>
        <w:pStyle w:val="4"/>
        <w:pageBreakBefore w:val="0"/>
        <w:widowControl w:val="0"/>
        <w:kinsoku/>
        <w:wordWrap/>
        <w:overflowPunct/>
        <w:topLinePunct w:val="0"/>
        <w:autoSpaceDE/>
        <w:autoSpaceDN/>
        <w:bidi w:val="0"/>
        <w:adjustRightInd/>
        <w:snapToGrid/>
        <w:spacing w:before="210" w:beforeAutospacing="0" w:after="105" w:afterAutospacing="0" w:line="560" w:lineRule="exact"/>
        <w:ind w:firstLine="0" w:firstLineChars="0"/>
        <w:jc w:val="left"/>
        <w:textAlignment w:val="auto"/>
        <w:rPr>
          <w:rFonts w:hint="default" w:ascii="仿宋_GB2312" w:hAnsi="Times New Roman" w:eastAsia="仿宋_GB2312" w:cs="仿宋_GB2312"/>
          <w:b/>
          <w:bCs/>
          <w:color w:val="000000"/>
          <w:sz w:val="32"/>
          <w:szCs w:val="32"/>
        </w:rPr>
      </w:pPr>
      <w:r>
        <w:rPr>
          <w:rFonts w:hint="default" w:ascii="仿宋_GB2312" w:hAnsi="Times New Roman" w:eastAsia="仿宋_GB2312" w:cs="仿宋_GB2312"/>
          <w:b/>
          <w:bCs/>
          <w:color w:val="000000"/>
          <w:sz w:val="32"/>
          <w:szCs w:val="32"/>
        </w:rPr>
        <w:t>前言</w:t>
      </w:r>
    </w:p>
    <w:p w14:paraId="65348277">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按照《中华人民共和国预算法》《中华人民共和国预算法实施条例》以及财政部《地方预决算公开操作规程》《关于推进部门所属单位预算公开的指导意见》和《中共甘肃省委办公厅 甘肃省人民政府办公厅关于进一步推进预算公开工作的实施方案》要求，现将2026年华池县乔川九年制学校预算公开如下：</w:t>
      </w:r>
    </w:p>
    <w:p w14:paraId="514E4BB5">
      <w:pPr>
        <w:pStyle w:val="4"/>
        <w:pageBreakBefore w:val="0"/>
        <w:widowControl w:val="0"/>
        <w:kinsoku/>
        <w:wordWrap/>
        <w:overflowPunct/>
        <w:topLinePunct w:val="0"/>
        <w:autoSpaceDE/>
        <w:autoSpaceDN/>
        <w:bidi w:val="0"/>
        <w:adjustRightInd/>
        <w:snapToGrid/>
        <w:spacing w:before="210" w:beforeAutospacing="0" w:after="105" w:afterAutospacing="0" w:line="560" w:lineRule="exact"/>
        <w:ind w:firstLine="0" w:firstLineChars="0"/>
        <w:jc w:val="left"/>
        <w:textAlignment w:val="auto"/>
        <w:rPr>
          <w:rFonts w:hint="default" w:ascii="仿宋_GB2312" w:hAnsi="Times New Roman" w:eastAsia="仿宋_GB2312" w:cs="仿宋_GB2312"/>
          <w:b/>
          <w:bCs/>
          <w:color w:val="000000"/>
          <w:sz w:val="32"/>
          <w:szCs w:val="32"/>
        </w:rPr>
      </w:pPr>
      <w:r>
        <w:rPr>
          <w:rFonts w:hint="default" w:ascii="仿宋_GB2312" w:hAnsi="Times New Roman" w:eastAsia="仿宋_GB2312" w:cs="仿宋_GB2312"/>
          <w:b/>
          <w:bCs/>
          <w:color w:val="000000"/>
          <w:sz w:val="32"/>
          <w:szCs w:val="32"/>
        </w:rPr>
        <w:t>一、部门/单位职责</w:t>
      </w:r>
    </w:p>
    <w:p w14:paraId="05A50ED7">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华池县乔川九年制学校属全额拨款事业单位，隶属于华池县教育局，主要职责是负责普及本辖区内及周边附近乡村适龄少年九年义务教育工作。</w:t>
      </w:r>
    </w:p>
    <w:p w14:paraId="01CB4C94">
      <w:pPr>
        <w:pStyle w:val="4"/>
        <w:pageBreakBefore w:val="0"/>
        <w:widowControl w:val="0"/>
        <w:kinsoku/>
        <w:wordWrap/>
        <w:overflowPunct/>
        <w:topLinePunct w:val="0"/>
        <w:autoSpaceDE/>
        <w:autoSpaceDN/>
        <w:bidi w:val="0"/>
        <w:adjustRightInd/>
        <w:snapToGrid/>
        <w:spacing w:before="210" w:beforeAutospacing="0" w:after="105" w:afterAutospacing="0" w:line="560" w:lineRule="exact"/>
        <w:ind w:firstLine="0" w:firstLineChars="0"/>
        <w:jc w:val="left"/>
        <w:textAlignment w:val="auto"/>
        <w:rPr>
          <w:rFonts w:hint="default" w:ascii="仿宋_GB2312" w:hAnsi="Times New Roman" w:eastAsia="仿宋_GB2312" w:cs="仿宋_GB2312"/>
          <w:b/>
          <w:bCs/>
          <w:color w:val="000000"/>
          <w:sz w:val="32"/>
          <w:szCs w:val="32"/>
        </w:rPr>
      </w:pPr>
      <w:r>
        <w:rPr>
          <w:rFonts w:hint="default" w:ascii="仿宋_GB2312" w:hAnsi="Times New Roman" w:eastAsia="仿宋_GB2312" w:cs="仿宋_GB2312"/>
          <w:b/>
          <w:bCs/>
          <w:color w:val="000000"/>
          <w:sz w:val="32"/>
          <w:szCs w:val="32"/>
        </w:rPr>
        <w:t>二、机构设置情况</w:t>
      </w:r>
    </w:p>
    <w:p w14:paraId="62323324">
      <w:pPr>
        <w:pStyle w:val="5"/>
        <w:pageBreakBefore w:val="0"/>
        <w:widowControl w:val="0"/>
        <w:kinsoku/>
        <w:wordWrap/>
        <w:overflowPunct/>
        <w:topLinePunct w:val="0"/>
        <w:autoSpaceDE/>
        <w:autoSpaceDN/>
        <w:bidi w:val="0"/>
        <w:adjustRightInd/>
        <w:snapToGrid/>
        <w:spacing w:before="105" w:beforeAutospacing="0" w:after="42" w:afterAutospacing="0" w:line="560" w:lineRule="exact"/>
        <w:ind w:firstLine="0" w:firstLineChars="0"/>
        <w:jc w:val="left"/>
        <w:textAlignment w:val="auto"/>
        <w:rPr>
          <w:rFonts w:hint="default" w:ascii="仿宋_GB2312" w:hAnsi="Times New Roman" w:eastAsia="仿宋_GB2312" w:cs="仿宋_GB2312"/>
          <w:b w:val="0"/>
          <w:bCs w:val="0"/>
          <w:color w:val="000000"/>
          <w:sz w:val="32"/>
          <w:szCs w:val="32"/>
        </w:rPr>
      </w:pPr>
      <w:r>
        <w:rPr>
          <w:rFonts w:hint="default" w:ascii="仿宋_GB2312" w:hAnsi="Times New Roman" w:eastAsia="仿宋_GB2312" w:cs="仿宋_GB2312"/>
          <w:b w:val="0"/>
          <w:bCs w:val="0"/>
          <w:color w:val="000000"/>
          <w:sz w:val="32"/>
          <w:szCs w:val="32"/>
        </w:rPr>
        <w:t>（一）机关内设机构</w:t>
      </w:r>
    </w:p>
    <w:p w14:paraId="18BEDD31">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华池县乔川九年制学校内设机构3个处室（教务处、政教处、总务处），教务处主要负责学校全盘教学工作，教学安排、学情检测等；政教处主要负责学校的德育及学生管理工作；总务处主要负责教师学生餐饮、教学后勤保障等工作。</w:t>
      </w:r>
    </w:p>
    <w:p w14:paraId="3C22D761">
      <w:pPr>
        <w:pStyle w:val="5"/>
        <w:pageBreakBefore w:val="0"/>
        <w:widowControl w:val="0"/>
        <w:kinsoku/>
        <w:wordWrap/>
        <w:overflowPunct/>
        <w:topLinePunct w:val="0"/>
        <w:autoSpaceDE/>
        <w:autoSpaceDN/>
        <w:bidi w:val="0"/>
        <w:adjustRightInd/>
        <w:snapToGrid/>
        <w:spacing w:before="105" w:beforeAutospacing="0" w:after="42" w:afterAutospacing="0" w:line="560" w:lineRule="exact"/>
        <w:ind w:firstLine="0" w:firstLineChars="0"/>
        <w:jc w:val="left"/>
        <w:textAlignment w:val="auto"/>
        <w:rPr>
          <w:rFonts w:hint="default" w:ascii="仿宋_GB2312" w:hAnsi="Times New Roman" w:eastAsia="仿宋_GB2312" w:cs="仿宋_GB2312"/>
          <w:b w:val="0"/>
          <w:bCs w:val="0"/>
          <w:color w:val="000000"/>
          <w:sz w:val="32"/>
          <w:szCs w:val="32"/>
        </w:rPr>
      </w:pPr>
      <w:r>
        <w:rPr>
          <w:rFonts w:hint="default" w:ascii="仿宋_GB2312" w:hAnsi="Times New Roman" w:eastAsia="仿宋_GB2312" w:cs="仿宋_GB2312"/>
          <w:b w:val="0"/>
          <w:bCs w:val="0"/>
          <w:color w:val="000000"/>
          <w:sz w:val="32"/>
          <w:szCs w:val="32"/>
        </w:rPr>
        <w:t>（二）参照公务员法管理单位</w:t>
      </w:r>
    </w:p>
    <w:p w14:paraId="36E7122E">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无</w:t>
      </w:r>
    </w:p>
    <w:p w14:paraId="66887B3F">
      <w:pPr>
        <w:pStyle w:val="5"/>
        <w:pageBreakBefore w:val="0"/>
        <w:widowControl w:val="0"/>
        <w:kinsoku/>
        <w:wordWrap/>
        <w:overflowPunct/>
        <w:topLinePunct w:val="0"/>
        <w:autoSpaceDE/>
        <w:autoSpaceDN/>
        <w:bidi w:val="0"/>
        <w:adjustRightInd/>
        <w:snapToGrid/>
        <w:spacing w:before="105" w:beforeAutospacing="0" w:after="42" w:afterAutospacing="0" w:line="560" w:lineRule="exact"/>
        <w:ind w:firstLine="0" w:firstLineChars="0"/>
        <w:jc w:val="left"/>
        <w:textAlignment w:val="auto"/>
        <w:rPr>
          <w:rFonts w:hint="default" w:ascii="仿宋_GB2312" w:hAnsi="Times New Roman" w:eastAsia="仿宋_GB2312" w:cs="仿宋_GB2312"/>
          <w:b w:val="0"/>
          <w:bCs w:val="0"/>
          <w:color w:val="000000"/>
          <w:sz w:val="32"/>
          <w:szCs w:val="32"/>
        </w:rPr>
      </w:pPr>
      <w:r>
        <w:rPr>
          <w:rFonts w:hint="default" w:ascii="仿宋_GB2312" w:hAnsi="Times New Roman" w:eastAsia="仿宋_GB2312" w:cs="仿宋_GB2312"/>
          <w:b w:val="0"/>
          <w:bCs w:val="0"/>
          <w:color w:val="000000"/>
          <w:sz w:val="32"/>
          <w:szCs w:val="32"/>
        </w:rPr>
        <w:t>（三）直属事业单位</w:t>
      </w:r>
    </w:p>
    <w:p w14:paraId="137F6A23">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无</w:t>
      </w:r>
    </w:p>
    <w:p w14:paraId="03825623">
      <w:pPr>
        <w:pStyle w:val="4"/>
        <w:pageBreakBefore w:val="0"/>
        <w:widowControl w:val="0"/>
        <w:kinsoku/>
        <w:wordWrap/>
        <w:overflowPunct/>
        <w:topLinePunct w:val="0"/>
        <w:autoSpaceDE/>
        <w:autoSpaceDN/>
        <w:bidi w:val="0"/>
        <w:adjustRightInd/>
        <w:snapToGrid/>
        <w:spacing w:before="210" w:beforeAutospacing="0" w:after="105" w:afterAutospacing="0" w:line="560" w:lineRule="exact"/>
        <w:ind w:firstLine="0" w:firstLineChars="0"/>
        <w:jc w:val="left"/>
        <w:textAlignment w:val="auto"/>
        <w:rPr>
          <w:rFonts w:hint="default" w:ascii="仿宋_GB2312" w:hAnsi="Times New Roman" w:eastAsia="仿宋_GB2312" w:cs="仿宋_GB2312"/>
          <w:b/>
          <w:bCs/>
          <w:color w:val="000000"/>
          <w:sz w:val="32"/>
          <w:szCs w:val="32"/>
        </w:rPr>
      </w:pPr>
      <w:r>
        <w:rPr>
          <w:rFonts w:hint="default" w:ascii="仿宋_GB2312" w:hAnsi="Times New Roman" w:eastAsia="仿宋_GB2312" w:cs="仿宋_GB2312"/>
          <w:b/>
          <w:bCs/>
          <w:color w:val="000000"/>
          <w:sz w:val="32"/>
          <w:szCs w:val="32"/>
        </w:rPr>
        <w:t>三、部门/单位收支总体情况</w:t>
      </w:r>
    </w:p>
    <w:p w14:paraId="2CD025FF">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按照预算管理有关规定，2026年部门（单位）收支为学校本级预算情况。</w:t>
      </w:r>
    </w:p>
    <w:p w14:paraId="07539710">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2026年部门收支总预算</w:t>
      </w:r>
      <w:r>
        <w:rPr>
          <w:rFonts w:hint="default" w:ascii="Times New Roman" w:hAnsi="Times New Roman" w:eastAsia="仿宋_GB2312" w:cs="Times New Roman"/>
          <w:b/>
          <w:bCs/>
          <w:color w:val="000000"/>
          <w:sz w:val="32"/>
          <w:szCs w:val="32"/>
        </w:rPr>
        <w:t>614.64万元</w:t>
      </w:r>
      <w:r>
        <w:rPr>
          <w:rFonts w:hint="default" w:ascii="Times New Roman" w:hAnsi="Times New Roman" w:eastAsia="仿宋_GB2312" w:cs="Times New Roman"/>
          <w:color w:val="000000"/>
          <w:sz w:val="32"/>
          <w:szCs w:val="32"/>
        </w:rPr>
        <w:t>。按照综合预算的原则，部门（单位）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14:paraId="42A904B6">
      <w:pPr>
        <w:pStyle w:val="5"/>
        <w:pageBreakBefore w:val="0"/>
        <w:widowControl w:val="0"/>
        <w:kinsoku/>
        <w:wordWrap/>
        <w:overflowPunct/>
        <w:topLinePunct w:val="0"/>
        <w:autoSpaceDE/>
        <w:autoSpaceDN/>
        <w:bidi w:val="0"/>
        <w:adjustRightInd/>
        <w:snapToGrid/>
        <w:spacing w:before="105" w:beforeAutospacing="0" w:after="42" w:afterAutospacing="0" w:line="560" w:lineRule="exact"/>
        <w:ind w:firstLine="0" w:firstLineChars="0"/>
        <w:jc w:val="left"/>
        <w:textAlignment w:val="auto"/>
        <w:rPr>
          <w:rFonts w:hint="default" w:ascii="仿宋_GB2312" w:hAnsi="Times New Roman" w:eastAsia="仿宋_GB2312" w:cs="仿宋_GB2312"/>
          <w:b w:val="0"/>
          <w:bCs w:val="0"/>
          <w:color w:val="000000"/>
          <w:sz w:val="32"/>
          <w:szCs w:val="32"/>
        </w:rPr>
      </w:pPr>
      <w:r>
        <w:rPr>
          <w:rFonts w:hint="default" w:ascii="仿宋_GB2312" w:hAnsi="Times New Roman" w:eastAsia="仿宋_GB2312" w:cs="仿宋_GB2312"/>
          <w:b w:val="0"/>
          <w:bCs w:val="0"/>
          <w:color w:val="000000"/>
          <w:sz w:val="32"/>
          <w:szCs w:val="32"/>
        </w:rPr>
        <w:t>（一）收入预算</w:t>
      </w:r>
    </w:p>
    <w:p w14:paraId="13EEC007">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2026年收入预算</w:t>
      </w:r>
      <w:r>
        <w:rPr>
          <w:rFonts w:hint="default" w:ascii="Times New Roman" w:hAnsi="Times New Roman" w:eastAsia="仿宋_GB2312" w:cs="Times New Roman"/>
          <w:b/>
          <w:bCs/>
          <w:color w:val="000000"/>
          <w:sz w:val="32"/>
          <w:szCs w:val="32"/>
        </w:rPr>
        <w:t>614.64万元</w:t>
      </w:r>
      <w:r>
        <w:rPr>
          <w:rFonts w:hint="default" w:ascii="Times New Roman" w:hAnsi="Times New Roman" w:eastAsia="仿宋_GB2312" w:cs="Times New Roman"/>
          <w:color w:val="000000"/>
          <w:sz w:val="32"/>
          <w:szCs w:val="32"/>
        </w:rPr>
        <w:t>（详见部门/单位预算公开表1,2）。包括：</w:t>
      </w:r>
    </w:p>
    <w:p w14:paraId="7DA712F9">
      <w:pPr>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left="780" w:leftChars="200" w:hanging="360" w:firstLineChars="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一般公共预算收入614.64万元，占100%；</w:t>
      </w:r>
    </w:p>
    <w:p w14:paraId="77FD2247">
      <w:pPr>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left="780" w:leftChars="200" w:hanging="360" w:firstLineChars="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政府性基金预算收入0.00万元，占0.00%；</w:t>
      </w:r>
    </w:p>
    <w:p w14:paraId="64E752A3">
      <w:pPr>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left="780" w:leftChars="200" w:hanging="360" w:firstLineChars="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上年结转收入0.00万元，占0.00%；</w:t>
      </w:r>
    </w:p>
    <w:p w14:paraId="3A706C42">
      <w:pPr>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left="780" w:leftChars="200" w:hanging="360" w:firstLineChars="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其他收入0.00万元，占0.00%。</w:t>
      </w:r>
    </w:p>
    <w:p w14:paraId="3B809FF4">
      <w:pPr>
        <w:pStyle w:val="5"/>
        <w:pageBreakBefore w:val="0"/>
        <w:widowControl w:val="0"/>
        <w:kinsoku/>
        <w:wordWrap/>
        <w:overflowPunct/>
        <w:topLinePunct w:val="0"/>
        <w:autoSpaceDE/>
        <w:autoSpaceDN/>
        <w:bidi w:val="0"/>
        <w:adjustRightInd/>
        <w:snapToGrid/>
        <w:spacing w:before="105" w:beforeAutospacing="0" w:after="42" w:afterAutospacing="0" w:line="560" w:lineRule="exact"/>
        <w:ind w:firstLine="0" w:firstLineChars="0"/>
        <w:jc w:val="left"/>
        <w:textAlignment w:val="auto"/>
        <w:rPr>
          <w:rFonts w:hint="default" w:ascii="仿宋_GB2312" w:hAnsi="Times New Roman" w:eastAsia="仿宋_GB2312" w:cs="仿宋_GB2312"/>
          <w:b w:val="0"/>
          <w:bCs w:val="0"/>
          <w:color w:val="000000"/>
          <w:sz w:val="32"/>
          <w:szCs w:val="32"/>
        </w:rPr>
      </w:pPr>
      <w:r>
        <w:rPr>
          <w:rFonts w:hint="default" w:ascii="仿宋_GB2312" w:hAnsi="Times New Roman" w:eastAsia="仿宋_GB2312" w:cs="仿宋_GB2312"/>
          <w:b w:val="0"/>
          <w:bCs w:val="0"/>
          <w:color w:val="000000"/>
          <w:sz w:val="32"/>
          <w:szCs w:val="32"/>
        </w:rPr>
        <w:t>（二）支出预算</w:t>
      </w:r>
    </w:p>
    <w:p w14:paraId="1BF7E2A3">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2026年支出预算</w:t>
      </w:r>
      <w:r>
        <w:rPr>
          <w:rFonts w:hint="default" w:ascii="Times New Roman" w:hAnsi="Times New Roman" w:eastAsia="仿宋_GB2312" w:cs="Times New Roman"/>
          <w:b/>
          <w:bCs/>
          <w:color w:val="000000"/>
          <w:sz w:val="32"/>
          <w:szCs w:val="32"/>
        </w:rPr>
        <w:t>614.64万元</w:t>
      </w:r>
      <w:r>
        <w:rPr>
          <w:rFonts w:hint="default" w:ascii="Times New Roman" w:hAnsi="Times New Roman" w:eastAsia="仿宋_GB2312" w:cs="Times New Roman"/>
          <w:color w:val="000000"/>
          <w:sz w:val="32"/>
          <w:szCs w:val="32"/>
        </w:rPr>
        <w:t>（详见部门/单位预算公开表3）。其中：</w:t>
      </w:r>
    </w:p>
    <w:p w14:paraId="1A0F1237">
      <w:pPr>
        <w:pageBreakBefore w:val="0"/>
        <w:widowControl w:val="0"/>
        <w:numPr>
          <w:ilvl w:val="0"/>
          <w:numId w:val="2"/>
        </w:numPr>
        <w:kinsoku/>
        <w:wordWrap/>
        <w:overflowPunct/>
        <w:topLinePunct w:val="0"/>
        <w:autoSpaceDE/>
        <w:autoSpaceDN/>
        <w:bidi w:val="0"/>
        <w:adjustRightInd/>
        <w:snapToGrid/>
        <w:spacing w:before="0" w:beforeAutospacing="0" w:after="0" w:afterAutospacing="0" w:line="560" w:lineRule="exact"/>
        <w:ind w:left="780" w:leftChars="200" w:hanging="360" w:firstLineChars="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基本支出614.64万元，占100%；</w:t>
      </w:r>
    </w:p>
    <w:p w14:paraId="5A3B4C6F">
      <w:pPr>
        <w:pageBreakBefore w:val="0"/>
        <w:widowControl w:val="0"/>
        <w:numPr>
          <w:ilvl w:val="0"/>
          <w:numId w:val="2"/>
        </w:numPr>
        <w:kinsoku/>
        <w:wordWrap/>
        <w:overflowPunct/>
        <w:topLinePunct w:val="0"/>
        <w:autoSpaceDE/>
        <w:autoSpaceDN/>
        <w:bidi w:val="0"/>
        <w:adjustRightInd/>
        <w:snapToGrid/>
        <w:spacing w:before="0" w:beforeAutospacing="0" w:after="0" w:afterAutospacing="0" w:line="560" w:lineRule="exact"/>
        <w:ind w:left="780" w:leftChars="200" w:hanging="360" w:firstLineChars="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项目支出0.00万元，占0.00%；</w:t>
      </w:r>
    </w:p>
    <w:p w14:paraId="2D00F860">
      <w:pPr>
        <w:pageBreakBefore w:val="0"/>
        <w:widowControl w:val="0"/>
        <w:numPr>
          <w:ilvl w:val="0"/>
          <w:numId w:val="2"/>
        </w:numPr>
        <w:kinsoku/>
        <w:wordWrap/>
        <w:overflowPunct/>
        <w:topLinePunct w:val="0"/>
        <w:autoSpaceDE/>
        <w:autoSpaceDN/>
        <w:bidi w:val="0"/>
        <w:adjustRightInd/>
        <w:snapToGrid/>
        <w:spacing w:before="0" w:beforeAutospacing="0" w:after="0" w:afterAutospacing="0" w:line="560" w:lineRule="exact"/>
        <w:ind w:left="780" w:leftChars="200" w:hanging="360" w:firstLineChars="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上年结转0.00万元，占0.00%。</w:t>
      </w:r>
    </w:p>
    <w:p w14:paraId="33E8F3BC">
      <w:pPr>
        <w:pStyle w:val="4"/>
        <w:pageBreakBefore w:val="0"/>
        <w:widowControl w:val="0"/>
        <w:kinsoku/>
        <w:wordWrap/>
        <w:overflowPunct/>
        <w:topLinePunct w:val="0"/>
        <w:autoSpaceDE/>
        <w:autoSpaceDN/>
        <w:bidi w:val="0"/>
        <w:adjustRightInd/>
        <w:snapToGrid/>
        <w:spacing w:before="210" w:beforeAutospacing="0" w:after="105" w:afterAutospacing="0" w:line="560" w:lineRule="exact"/>
        <w:ind w:firstLine="0" w:firstLineChars="0"/>
        <w:jc w:val="left"/>
        <w:textAlignment w:val="auto"/>
        <w:rPr>
          <w:rFonts w:hint="default" w:ascii="仿宋_GB2312" w:hAnsi="Times New Roman" w:eastAsia="仿宋_GB2312" w:cs="仿宋_GB2312"/>
          <w:b/>
          <w:bCs/>
          <w:color w:val="000000"/>
          <w:sz w:val="32"/>
          <w:szCs w:val="32"/>
        </w:rPr>
      </w:pPr>
      <w:r>
        <w:rPr>
          <w:rFonts w:hint="default" w:ascii="仿宋_GB2312" w:hAnsi="Times New Roman" w:eastAsia="仿宋_GB2312" w:cs="仿宋_GB2312"/>
          <w:b/>
          <w:bCs/>
          <w:color w:val="000000"/>
          <w:sz w:val="32"/>
          <w:szCs w:val="32"/>
        </w:rPr>
        <w:t>四、一般公共预算情况</w:t>
      </w:r>
    </w:p>
    <w:p w14:paraId="7B96D5F1">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2026年一般公共预算当年支出</w:t>
      </w:r>
      <w:r>
        <w:rPr>
          <w:rFonts w:hint="default" w:ascii="Times New Roman" w:hAnsi="Times New Roman" w:eastAsia="仿宋_GB2312" w:cs="Times New Roman"/>
          <w:b/>
          <w:bCs/>
          <w:color w:val="000000"/>
          <w:sz w:val="32"/>
          <w:szCs w:val="32"/>
        </w:rPr>
        <w:t>614.64万元</w:t>
      </w:r>
      <w:r>
        <w:rPr>
          <w:rFonts w:hint="default" w:ascii="Times New Roman" w:hAnsi="Times New Roman" w:eastAsia="仿宋_GB2312" w:cs="Times New Roman"/>
          <w:color w:val="000000"/>
          <w:sz w:val="32"/>
          <w:szCs w:val="32"/>
        </w:rPr>
        <w:t>，包括：一般公共服务支出0.00万元、公共安全支出0.00万元、教育支出445.63万元、科学技术支出0.00万元、社会保障和就业支出93.09万元、卫生健康支出32.64万元、住房保障支出43.28万元、其他支出0.00万元。具体安排情况如下（详见部门（单位）预算公开表4,5,6,7）：</w:t>
      </w:r>
    </w:p>
    <w:p w14:paraId="0B13D66B">
      <w:pPr>
        <w:pStyle w:val="5"/>
        <w:pageBreakBefore w:val="0"/>
        <w:widowControl w:val="0"/>
        <w:kinsoku/>
        <w:wordWrap/>
        <w:overflowPunct/>
        <w:topLinePunct w:val="0"/>
        <w:autoSpaceDE/>
        <w:autoSpaceDN/>
        <w:bidi w:val="0"/>
        <w:adjustRightInd/>
        <w:snapToGrid/>
        <w:spacing w:before="105" w:beforeAutospacing="0" w:after="42" w:afterAutospacing="0" w:line="560" w:lineRule="exact"/>
        <w:ind w:firstLine="0" w:firstLineChars="0"/>
        <w:jc w:val="left"/>
        <w:textAlignment w:val="auto"/>
        <w:rPr>
          <w:rFonts w:hint="default" w:ascii="仿宋_GB2312" w:hAnsi="Times New Roman" w:eastAsia="仿宋_GB2312" w:cs="仿宋_GB2312"/>
          <w:b w:val="0"/>
          <w:bCs w:val="0"/>
          <w:color w:val="000000"/>
          <w:sz w:val="32"/>
          <w:szCs w:val="32"/>
        </w:rPr>
      </w:pPr>
      <w:r>
        <w:rPr>
          <w:rFonts w:hint="default" w:ascii="仿宋_GB2312" w:hAnsi="Times New Roman" w:eastAsia="仿宋_GB2312" w:cs="仿宋_GB2312"/>
          <w:b w:val="0"/>
          <w:bCs w:val="0"/>
          <w:color w:val="000000"/>
          <w:sz w:val="32"/>
          <w:szCs w:val="32"/>
        </w:rPr>
        <w:t>（一）基本支出</w:t>
      </w:r>
    </w:p>
    <w:p w14:paraId="06D855DD">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2026年基本支出</w:t>
      </w:r>
      <w:r>
        <w:rPr>
          <w:rFonts w:hint="default" w:ascii="Times New Roman" w:hAnsi="Times New Roman" w:eastAsia="仿宋_GB2312" w:cs="Times New Roman"/>
          <w:b/>
          <w:bCs/>
          <w:color w:val="000000"/>
          <w:sz w:val="32"/>
          <w:szCs w:val="32"/>
        </w:rPr>
        <w:t>614.64万元</w:t>
      </w:r>
      <w:r>
        <w:rPr>
          <w:rFonts w:hint="default" w:ascii="Times New Roman" w:hAnsi="Times New Roman" w:eastAsia="仿宋_GB2312" w:cs="Times New Roman"/>
          <w:color w:val="000000"/>
          <w:sz w:val="32"/>
          <w:szCs w:val="32"/>
        </w:rPr>
        <w:t>，如与2025年预算对比请自行填写增减变化及原因。</w:t>
      </w:r>
    </w:p>
    <w:p w14:paraId="768740D2">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其中：</w:t>
      </w:r>
    </w:p>
    <w:p w14:paraId="3AA9478C">
      <w:pPr>
        <w:pageBreakBefore w:val="0"/>
        <w:widowControl w:val="0"/>
        <w:numPr>
          <w:ilvl w:val="0"/>
          <w:numId w:val="3"/>
        </w:numPr>
        <w:kinsoku/>
        <w:wordWrap/>
        <w:overflowPunct/>
        <w:topLinePunct w:val="0"/>
        <w:autoSpaceDE/>
        <w:autoSpaceDN/>
        <w:bidi w:val="0"/>
        <w:adjustRightInd/>
        <w:snapToGrid/>
        <w:spacing w:before="0" w:beforeAutospacing="0" w:after="0" w:afterAutospacing="0" w:line="560" w:lineRule="exact"/>
        <w:ind w:left="780" w:leftChars="200" w:hanging="360" w:firstLineChars="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人员经费支出</w:t>
      </w:r>
      <w:r>
        <w:rPr>
          <w:rFonts w:hint="default" w:ascii="Times New Roman" w:hAnsi="Times New Roman" w:eastAsia="仿宋_GB2312" w:cs="Times New Roman"/>
          <w:b/>
          <w:bCs/>
          <w:color w:val="000000"/>
          <w:sz w:val="32"/>
          <w:szCs w:val="32"/>
        </w:rPr>
        <w:t>607.60万元</w:t>
      </w:r>
      <w:r>
        <w:rPr>
          <w:rFonts w:hint="default" w:ascii="Times New Roman" w:hAnsi="Times New Roman" w:eastAsia="仿宋_GB2312" w:cs="Times New Roman"/>
          <w:color w:val="000000"/>
          <w:sz w:val="32"/>
          <w:szCs w:val="32"/>
        </w:rPr>
        <w:t>，主要包括：基本工资、津贴补贴、奖金、绩效工资、机关事业单位基本养老保险缴费、职业年金缴费、职工基本医疗保险缴费、其他社会保障缴费、住房公积金、生活补助、其他工资福利支出等。</w:t>
      </w:r>
    </w:p>
    <w:p w14:paraId="2709F3F7">
      <w:pPr>
        <w:pageBreakBefore w:val="0"/>
        <w:widowControl w:val="0"/>
        <w:numPr>
          <w:ilvl w:val="0"/>
          <w:numId w:val="3"/>
        </w:numPr>
        <w:kinsoku/>
        <w:wordWrap/>
        <w:overflowPunct/>
        <w:topLinePunct w:val="0"/>
        <w:autoSpaceDE/>
        <w:autoSpaceDN/>
        <w:bidi w:val="0"/>
        <w:adjustRightInd/>
        <w:snapToGrid/>
        <w:spacing w:before="0" w:beforeAutospacing="0" w:after="0" w:afterAutospacing="0" w:line="560" w:lineRule="exact"/>
        <w:ind w:left="780" w:leftChars="200" w:hanging="360" w:firstLineChars="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公用经费支出</w:t>
      </w:r>
      <w:r>
        <w:rPr>
          <w:rFonts w:hint="default" w:ascii="Times New Roman" w:hAnsi="Times New Roman" w:eastAsia="仿宋_GB2312" w:cs="Times New Roman"/>
          <w:b/>
          <w:bCs/>
          <w:color w:val="000000"/>
          <w:sz w:val="32"/>
          <w:szCs w:val="32"/>
        </w:rPr>
        <w:t>7.04万元</w:t>
      </w:r>
      <w:r>
        <w:rPr>
          <w:rFonts w:hint="default" w:ascii="Times New Roman" w:hAnsi="Times New Roman" w:eastAsia="仿宋_GB2312" w:cs="Times New Roman"/>
          <w:color w:val="000000"/>
          <w:sz w:val="32"/>
          <w:szCs w:val="32"/>
        </w:rPr>
        <w:t>，主要包括：工会经费、福利费等。</w:t>
      </w:r>
    </w:p>
    <w:p w14:paraId="55BBFF3A">
      <w:pPr>
        <w:pStyle w:val="5"/>
        <w:pageBreakBefore w:val="0"/>
        <w:widowControl w:val="0"/>
        <w:kinsoku/>
        <w:wordWrap/>
        <w:overflowPunct/>
        <w:topLinePunct w:val="0"/>
        <w:autoSpaceDE/>
        <w:autoSpaceDN/>
        <w:bidi w:val="0"/>
        <w:adjustRightInd/>
        <w:snapToGrid/>
        <w:spacing w:before="105" w:beforeAutospacing="0" w:after="42" w:afterAutospacing="0" w:line="560" w:lineRule="exact"/>
        <w:ind w:firstLine="0" w:firstLineChars="0"/>
        <w:jc w:val="left"/>
        <w:textAlignment w:val="auto"/>
        <w:rPr>
          <w:rFonts w:hint="default" w:ascii="仿宋_GB2312" w:hAnsi="Times New Roman" w:eastAsia="仿宋_GB2312" w:cs="仿宋_GB2312"/>
          <w:b w:val="0"/>
          <w:bCs w:val="0"/>
          <w:color w:val="000000"/>
          <w:sz w:val="32"/>
          <w:szCs w:val="32"/>
        </w:rPr>
      </w:pPr>
      <w:r>
        <w:rPr>
          <w:rFonts w:hint="default" w:ascii="仿宋_GB2312" w:hAnsi="Times New Roman" w:eastAsia="仿宋_GB2312" w:cs="仿宋_GB2312"/>
          <w:b w:val="0"/>
          <w:bCs w:val="0"/>
          <w:color w:val="000000"/>
          <w:sz w:val="32"/>
          <w:szCs w:val="32"/>
        </w:rPr>
        <w:t>（二）项目支出</w:t>
      </w:r>
    </w:p>
    <w:p w14:paraId="543B4676">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2026年一般公共预算财政拨款项目支出预算</w:t>
      </w:r>
      <w:r>
        <w:rPr>
          <w:rFonts w:hint="default" w:ascii="Times New Roman" w:hAnsi="Times New Roman" w:eastAsia="仿宋_GB2312" w:cs="Times New Roman"/>
          <w:b/>
          <w:bCs/>
          <w:color w:val="000000"/>
          <w:sz w:val="32"/>
          <w:szCs w:val="32"/>
        </w:rPr>
        <w:t>0.00万元</w:t>
      </w:r>
      <w:r>
        <w:rPr>
          <w:rFonts w:hint="default" w:ascii="Times New Roman" w:hAnsi="Times New Roman" w:eastAsia="仿宋_GB2312" w:cs="Times New Roman"/>
          <w:color w:val="000000"/>
          <w:sz w:val="32"/>
          <w:szCs w:val="32"/>
        </w:rPr>
        <w:t>，无增减变化。</w:t>
      </w:r>
    </w:p>
    <w:p w14:paraId="703CD015">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刚性支出项目0个。</w:t>
      </w:r>
    </w:p>
    <w:p w14:paraId="40152BDB">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部门专项0个。</w:t>
      </w:r>
    </w:p>
    <w:p w14:paraId="6117E29F">
      <w:pPr>
        <w:pStyle w:val="5"/>
        <w:pageBreakBefore w:val="0"/>
        <w:widowControl w:val="0"/>
        <w:kinsoku/>
        <w:wordWrap/>
        <w:overflowPunct/>
        <w:topLinePunct w:val="0"/>
        <w:autoSpaceDE/>
        <w:autoSpaceDN/>
        <w:bidi w:val="0"/>
        <w:adjustRightInd/>
        <w:snapToGrid/>
        <w:spacing w:before="105" w:beforeAutospacing="0" w:after="42" w:afterAutospacing="0" w:line="560" w:lineRule="exact"/>
        <w:ind w:firstLine="0" w:firstLineChars="0"/>
        <w:jc w:val="left"/>
        <w:textAlignment w:val="auto"/>
        <w:rPr>
          <w:rFonts w:hint="default" w:ascii="仿宋_GB2312" w:hAnsi="Times New Roman" w:eastAsia="仿宋_GB2312" w:cs="仿宋_GB2312"/>
          <w:b w:val="0"/>
          <w:bCs w:val="0"/>
          <w:color w:val="000000"/>
          <w:sz w:val="32"/>
          <w:szCs w:val="32"/>
        </w:rPr>
      </w:pPr>
      <w:r>
        <w:rPr>
          <w:rFonts w:hint="default" w:ascii="仿宋_GB2312" w:hAnsi="Times New Roman" w:eastAsia="仿宋_GB2312" w:cs="仿宋_GB2312"/>
          <w:b w:val="0"/>
          <w:bCs w:val="0"/>
          <w:color w:val="000000"/>
          <w:sz w:val="32"/>
          <w:szCs w:val="32"/>
        </w:rPr>
        <w:t>（三）支出功能分类说明</w:t>
      </w:r>
    </w:p>
    <w:p w14:paraId="6894EBE1">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b/>
          <w:bCs/>
          <w:color w:val="000000"/>
          <w:sz w:val="32"/>
          <w:szCs w:val="32"/>
        </w:rPr>
        <w:t>教育支出（类）普通教育（款）初中教育（项）</w:t>
      </w:r>
      <w:r>
        <w:rPr>
          <w:rFonts w:hint="default" w:ascii="Times New Roman" w:hAnsi="Times New Roman" w:eastAsia="仿宋_GB2312" w:cs="Times New Roman"/>
          <w:color w:val="000000"/>
          <w:sz w:val="32"/>
          <w:szCs w:val="32"/>
        </w:rPr>
        <w:t>2026年预算数为</w:t>
      </w:r>
      <w:r>
        <w:rPr>
          <w:rFonts w:hint="default" w:ascii="Times New Roman" w:hAnsi="Times New Roman" w:eastAsia="仿宋_GB2312" w:cs="Times New Roman"/>
          <w:b/>
          <w:bCs/>
          <w:color w:val="000000"/>
          <w:sz w:val="32"/>
          <w:szCs w:val="32"/>
        </w:rPr>
        <w:t>445.63万元</w:t>
      </w:r>
      <w:r>
        <w:rPr>
          <w:rFonts w:hint="default" w:ascii="Times New Roman" w:hAnsi="Times New Roman" w:eastAsia="仿宋_GB2312" w:cs="Times New Roman"/>
          <w:color w:val="000000"/>
          <w:sz w:val="32"/>
          <w:szCs w:val="32"/>
        </w:rPr>
        <w:t>，主要用于保障学校正常教学运转、人员工资发放及日常教学活动开展，包含残疾人就业保障金5.41万元。</w:t>
      </w:r>
    </w:p>
    <w:p w14:paraId="296E6D65">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w:t>
      </w:r>
      <w:r>
        <w:rPr>
          <w:rFonts w:hint="default" w:ascii="Times New Roman" w:hAnsi="Times New Roman" w:eastAsia="仿宋_GB2312" w:cs="Times New Roman"/>
          <w:b/>
          <w:bCs/>
          <w:color w:val="000000"/>
          <w:sz w:val="32"/>
          <w:szCs w:val="32"/>
        </w:rPr>
        <w:t>社会保障和就业支出（类）行政事业单位养老支出（款）机关事业单位基本养老保险缴费支出、机关事业单位职业年金缴费支出（项）</w:t>
      </w:r>
      <w:r>
        <w:rPr>
          <w:rFonts w:hint="default" w:ascii="Times New Roman" w:hAnsi="Times New Roman" w:eastAsia="仿宋_GB2312" w:cs="Times New Roman"/>
          <w:color w:val="000000"/>
          <w:sz w:val="32"/>
          <w:szCs w:val="32"/>
        </w:rPr>
        <w:t>2026年预算数为</w:t>
      </w:r>
      <w:r>
        <w:rPr>
          <w:rFonts w:hint="default" w:ascii="Times New Roman" w:hAnsi="Times New Roman" w:eastAsia="仿宋_GB2312" w:cs="Times New Roman"/>
          <w:b/>
          <w:bCs/>
          <w:color w:val="000000"/>
          <w:sz w:val="32"/>
          <w:szCs w:val="32"/>
        </w:rPr>
        <w:t>88.41万元</w:t>
      </w:r>
      <w:r>
        <w:rPr>
          <w:rFonts w:hint="default" w:ascii="Times New Roman" w:hAnsi="Times New Roman" w:eastAsia="仿宋_GB2312" w:cs="Times New Roman"/>
          <w:color w:val="000000"/>
          <w:sz w:val="32"/>
          <w:szCs w:val="32"/>
        </w:rPr>
        <w:t>，其中：机关事业单位养老保险单位缴费58.94万元、机关事业单位职业年金单位缴费29.47万元。</w:t>
      </w:r>
    </w:p>
    <w:p w14:paraId="77192EBA">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w:t>
      </w:r>
      <w:r>
        <w:rPr>
          <w:rFonts w:hint="default" w:ascii="Times New Roman" w:hAnsi="Times New Roman" w:eastAsia="仿宋_GB2312" w:cs="Times New Roman"/>
          <w:b/>
          <w:bCs/>
          <w:color w:val="000000"/>
          <w:sz w:val="32"/>
          <w:szCs w:val="32"/>
        </w:rPr>
        <w:t>社会保障和就业支出（类）其他社会保障和就业支出（款）其他社会保障和就业支出（项）</w:t>
      </w:r>
      <w:r>
        <w:rPr>
          <w:rFonts w:hint="default" w:ascii="Times New Roman" w:hAnsi="Times New Roman" w:eastAsia="仿宋_GB2312" w:cs="Times New Roman"/>
          <w:color w:val="000000"/>
          <w:sz w:val="32"/>
          <w:szCs w:val="32"/>
        </w:rPr>
        <w:t>2026年预算数为</w:t>
      </w:r>
      <w:r>
        <w:rPr>
          <w:rFonts w:hint="default" w:ascii="Times New Roman" w:hAnsi="Times New Roman" w:eastAsia="仿宋_GB2312" w:cs="Times New Roman"/>
          <w:b/>
          <w:bCs/>
          <w:color w:val="000000"/>
          <w:sz w:val="32"/>
          <w:szCs w:val="32"/>
        </w:rPr>
        <w:t>4.05万元</w:t>
      </w:r>
      <w:r>
        <w:rPr>
          <w:rFonts w:hint="default" w:ascii="Times New Roman" w:hAnsi="Times New Roman" w:eastAsia="仿宋_GB2312" w:cs="Times New Roman"/>
          <w:color w:val="000000"/>
          <w:sz w:val="32"/>
          <w:szCs w:val="32"/>
        </w:rPr>
        <w:t>，其中：工伤保险单位缴费1.47万元、失业保险单位缴费2.58万元。</w:t>
      </w:r>
    </w:p>
    <w:p w14:paraId="34852A8E">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w:t>
      </w:r>
      <w:r>
        <w:rPr>
          <w:rFonts w:hint="default" w:ascii="Times New Roman" w:hAnsi="Times New Roman" w:eastAsia="仿宋_GB2312" w:cs="Times New Roman"/>
          <w:b/>
          <w:bCs/>
          <w:color w:val="000000"/>
          <w:sz w:val="32"/>
          <w:szCs w:val="32"/>
        </w:rPr>
        <w:t>社会保障和就业支出（类）优抚（款）其他优抚支出（项）</w:t>
      </w:r>
      <w:r>
        <w:rPr>
          <w:rFonts w:hint="default" w:ascii="Times New Roman" w:hAnsi="Times New Roman" w:eastAsia="仿宋_GB2312" w:cs="Times New Roman"/>
          <w:color w:val="000000"/>
          <w:sz w:val="32"/>
          <w:szCs w:val="32"/>
        </w:rPr>
        <w:t>2026年预算数为</w:t>
      </w:r>
      <w:r>
        <w:rPr>
          <w:rFonts w:hint="default" w:ascii="Times New Roman" w:hAnsi="Times New Roman" w:eastAsia="仿宋_GB2312" w:cs="Times New Roman"/>
          <w:b/>
          <w:bCs/>
          <w:color w:val="000000"/>
          <w:sz w:val="32"/>
          <w:szCs w:val="32"/>
        </w:rPr>
        <w:t>0.63万元</w:t>
      </w:r>
      <w:r>
        <w:rPr>
          <w:rFonts w:hint="default" w:ascii="Times New Roman" w:hAnsi="Times New Roman" w:eastAsia="仿宋_GB2312" w:cs="Times New Roman"/>
          <w:color w:val="000000"/>
          <w:sz w:val="32"/>
          <w:szCs w:val="32"/>
        </w:rPr>
        <w:t>，用于遗属生活补助支出。</w:t>
      </w:r>
    </w:p>
    <w:p w14:paraId="041091F7">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5.</w:t>
      </w:r>
      <w:r>
        <w:rPr>
          <w:rFonts w:hint="default" w:ascii="Times New Roman" w:hAnsi="Times New Roman" w:eastAsia="仿宋_GB2312" w:cs="Times New Roman"/>
          <w:b/>
          <w:bCs/>
          <w:color w:val="000000"/>
          <w:sz w:val="32"/>
          <w:szCs w:val="32"/>
        </w:rPr>
        <w:t>卫生健康支出（类）行政事业单位医疗（款）事业单位医疗（项）</w:t>
      </w:r>
      <w:r>
        <w:rPr>
          <w:rFonts w:hint="default" w:ascii="Times New Roman" w:hAnsi="Times New Roman" w:eastAsia="仿宋_GB2312" w:cs="Times New Roman"/>
          <w:color w:val="000000"/>
          <w:sz w:val="32"/>
          <w:szCs w:val="32"/>
        </w:rPr>
        <w:t>2026年预算数为</w:t>
      </w:r>
      <w:r>
        <w:rPr>
          <w:rFonts w:hint="default" w:ascii="Times New Roman" w:hAnsi="Times New Roman" w:eastAsia="仿宋_GB2312" w:cs="Times New Roman"/>
          <w:b/>
          <w:bCs/>
          <w:color w:val="000000"/>
          <w:sz w:val="32"/>
          <w:szCs w:val="32"/>
        </w:rPr>
        <w:t>32.64万元</w:t>
      </w:r>
      <w:r>
        <w:rPr>
          <w:rFonts w:hint="default" w:ascii="Times New Roman" w:hAnsi="Times New Roman" w:eastAsia="仿宋_GB2312" w:cs="Times New Roman"/>
          <w:color w:val="000000"/>
          <w:sz w:val="32"/>
          <w:szCs w:val="32"/>
        </w:rPr>
        <w:t>，其中：职工医疗保险单位缴费24.40万元、补充医疗保险单位缴费8.24万元。</w:t>
      </w:r>
    </w:p>
    <w:p w14:paraId="112B5CD1">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6.</w:t>
      </w:r>
      <w:r>
        <w:rPr>
          <w:rFonts w:hint="default" w:ascii="Times New Roman" w:hAnsi="Times New Roman" w:eastAsia="仿宋_GB2312" w:cs="Times New Roman"/>
          <w:b/>
          <w:bCs/>
          <w:color w:val="000000"/>
          <w:sz w:val="32"/>
          <w:szCs w:val="32"/>
        </w:rPr>
        <w:t>住房保障支出（类）住房改革支出（款）住房公积金（项）</w:t>
      </w:r>
      <w:r>
        <w:rPr>
          <w:rFonts w:hint="default" w:ascii="Times New Roman" w:hAnsi="Times New Roman" w:eastAsia="仿宋_GB2312" w:cs="Times New Roman"/>
          <w:color w:val="000000"/>
          <w:sz w:val="32"/>
          <w:szCs w:val="32"/>
        </w:rPr>
        <w:t>2026年预算数为</w:t>
      </w:r>
      <w:r>
        <w:rPr>
          <w:rFonts w:hint="default" w:ascii="Times New Roman" w:hAnsi="Times New Roman" w:eastAsia="仿宋_GB2312" w:cs="Times New Roman"/>
          <w:b/>
          <w:bCs/>
          <w:color w:val="000000"/>
          <w:sz w:val="32"/>
          <w:szCs w:val="32"/>
        </w:rPr>
        <w:t>43.28万元</w:t>
      </w:r>
      <w:r>
        <w:rPr>
          <w:rFonts w:hint="default" w:ascii="Times New Roman" w:hAnsi="Times New Roman" w:eastAsia="仿宋_GB2312" w:cs="Times New Roman"/>
          <w:color w:val="000000"/>
          <w:sz w:val="32"/>
          <w:szCs w:val="32"/>
        </w:rPr>
        <w:t>，用于职工住房公积金单位缴费支出。</w:t>
      </w:r>
    </w:p>
    <w:p w14:paraId="2BD0976C">
      <w:pPr>
        <w:pStyle w:val="4"/>
        <w:pageBreakBefore w:val="0"/>
        <w:widowControl w:val="0"/>
        <w:kinsoku/>
        <w:wordWrap/>
        <w:overflowPunct/>
        <w:topLinePunct w:val="0"/>
        <w:autoSpaceDE/>
        <w:autoSpaceDN/>
        <w:bidi w:val="0"/>
        <w:adjustRightInd/>
        <w:snapToGrid/>
        <w:spacing w:before="210" w:beforeAutospacing="0" w:after="105" w:afterAutospacing="0" w:line="560" w:lineRule="exact"/>
        <w:ind w:firstLine="0" w:firstLineChars="0"/>
        <w:jc w:val="left"/>
        <w:textAlignment w:val="auto"/>
        <w:rPr>
          <w:rFonts w:hint="default" w:ascii="仿宋_GB2312" w:hAnsi="Times New Roman" w:eastAsia="仿宋_GB2312" w:cs="仿宋_GB2312"/>
          <w:b/>
          <w:bCs/>
          <w:color w:val="000000"/>
          <w:sz w:val="32"/>
          <w:szCs w:val="32"/>
        </w:rPr>
      </w:pPr>
      <w:r>
        <w:rPr>
          <w:rFonts w:hint="default" w:ascii="仿宋_GB2312" w:hAnsi="Times New Roman" w:eastAsia="仿宋_GB2312" w:cs="仿宋_GB2312"/>
          <w:b/>
          <w:bCs/>
          <w:color w:val="000000"/>
          <w:sz w:val="32"/>
          <w:szCs w:val="32"/>
        </w:rPr>
        <w:t>五、部门（单位）一般公共预算财政拨款“三公”经费、培训费、会议费等情况</w:t>
      </w:r>
    </w:p>
    <w:p w14:paraId="1153F2A3">
      <w:pPr>
        <w:pStyle w:val="5"/>
        <w:pageBreakBefore w:val="0"/>
        <w:widowControl w:val="0"/>
        <w:kinsoku/>
        <w:wordWrap/>
        <w:overflowPunct/>
        <w:topLinePunct w:val="0"/>
        <w:autoSpaceDE/>
        <w:autoSpaceDN/>
        <w:bidi w:val="0"/>
        <w:adjustRightInd/>
        <w:snapToGrid/>
        <w:spacing w:before="105" w:beforeAutospacing="0" w:after="42" w:afterAutospacing="0" w:line="560" w:lineRule="exact"/>
        <w:ind w:firstLine="0" w:firstLineChars="0"/>
        <w:jc w:val="left"/>
        <w:textAlignment w:val="auto"/>
        <w:rPr>
          <w:rFonts w:hint="default" w:ascii="仿宋_GB2312" w:hAnsi="Times New Roman" w:eastAsia="仿宋_GB2312" w:cs="仿宋_GB2312"/>
          <w:b w:val="0"/>
          <w:bCs w:val="0"/>
          <w:color w:val="000000"/>
          <w:sz w:val="32"/>
          <w:szCs w:val="32"/>
        </w:rPr>
      </w:pPr>
      <w:r>
        <w:rPr>
          <w:rFonts w:hint="default" w:ascii="仿宋_GB2312" w:hAnsi="Times New Roman" w:eastAsia="仿宋_GB2312" w:cs="仿宋_GB2312"/>
          <w:b w:val="0"/>
          <w:bCs w:val="0"/>
          <w:color w:val="000000"/>
          <w:sz w:val="32"/>
          <w:szCs w:val="32"/>
        </w:rPr>
        <w:t>（一）“三公”经费情况说明</w:t>
      </w:r>
    </w:p>
    <w:p w14:paraId="0200B60B">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本单位无“三公”经费预算。</w:t>
      </w:r>
    </w:p>
    <w:p w14:paraId="54C5700D">
      <w:pPr>
        <w:pStyle w:val="5"/>
        <w:pageBreakBefore w:val="0"/>
        <w:widowControl w:val="0"/>
        <w:kinsoku/>
        <w:wordWrap/>
        <w:overflowPunct/>
        <w:topLinePunct w:val="0"/>
        <w:autoSpaceDE/>
        <w:autoSpaceDN/>
        <w:bidi w:val="0"/>
        <w:adjustRightInd/>
        <w:snapToGrid/>
        <w:spacing w:before="105" w:beforeAutospacing="0" w:after="42" w:afterAutospacing="0" w:line="560" w:lineRule="exact"/>
        <w:ind w:firstLine="0" w:firstLineChars="0"/>
        <w:jc w:val="left"/>
        <w:textAlignment w:val="auto"/>
        <w:rPr>
          <w:rFonts w:hint="default" w:ascii="仿宋_GB2312" w:hAnsi="Times New Roman" w:eastAsia="仿宋_GB2312" w:cs="仿宋_GB2312"/>
          <w:b w:val="0"/>
          <w:bCs w:val="0"/>
          <w:color w:val="000000"/>
          <w:sz w:val="32"/>
          <w:szCs w:val="32"/>
        </w:rPr>
      </w:pPr>
      <w:r>
        <w:rPr>
          <w:rFonts w:hint="default" w:ascii="仿宋_GB2312" w:hAnsi="Times New Roman" w:eastAsia="仿宋_GB2312" w:cs="仿宋_GB2312"/>
          <w:b w:val="0"/>
          <w:bCs w:val="0"/>
          <w:color w:val="000000"/>
          <w:sz w:val="32"/>
          <w:szCs w:val="32"/>
        </w:rPr>
        <w:t>（二）培训费预算情况说明</w:t>
      </w:r>
    </w:p>
    <w:p w14:paraId="39AA7F34">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本单位无培训费预算。</w:t>
      </w:r>
    </w:p>
    <w:p w14:paraId="626E920F">
      <w:pPr>
        <w:pStyle w:val="5"/>
        <w:pageBreakBefore w:val="0"/>
        <w:widowControl w:val="0"/>
        <w:kinsoku/>
        <w:wordWrap/>
        <w:overflowPunct/>
        <w:topLinePunct w:val="0"/>
        <w:autoSpaceDE/>
        <w:autoSpaceDN/>
        <w:bidi w:val="0"/>
        <w:adjustRightInd/>
        <w:snapToGrid/>
        <w:spacing w:before="105" w:beforeAutospacing="0" w:after="42" w:afterAutospacing="0" w:line="560" w:lineRule="exact"/>
        <w:ind w:firstLine="0" w:firstLineChars="0"/>
        <w:jc w:val="left"/>
        <w:textAlignment w:val="auto"/>
        <w:rPr>
          <w:rFonts w:hint="default" w:ascii="仿宋_GB2312" w:hAnsi="Times New Roman" w:eastAsia="仿宋_GB2312" w:cs="仿宋_GB2312"/>
          <w:b w:val="0"/>
          <w:bCs w:val="0"/>
          <w:color w:val="000000"/>
          <w:sz w:val="32"/>
          <w:szCs w:val="32"/>
        </w:rPr>
      </w:pPr>
      <w:r>
        <w:rPr>
          <w:rFonts w:hint="default" w:ascii="仿宋_GB2312" w:hAnsi="Times New Roman" w:eastAsia="仿宋_GB2312" w:cs="仿宋_GB2312"/>
          <w:b w:val="0"/>
          <w:bCs w:val="0"/>
          <w:color w:val="000000"/>
          <w:sz w:val="32"/>
          <w:szCs w:val="32"/>
        </w:rPr>
        <w:t>（三）会议费预算情况说明</w:t>
      </w:r>
    </w:p>
    <w:p w14:paraId="53D764B7">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本单位无会议费预算。</w:t>
      </w:r>
    </w:p>
    <w:p w14:paraId="43F32FF0">
      <w:pPr>
        <w:pStyle w:val="4"/>
        <w:pageBreakBefore w:val="0"/>
        <w:widowControl w:val="0"/>
        <w:kinsoku/>
        <w:wordWrap/>
        <w:overflowPunct/>
        <w:topLinePunct w:val="0"/>
        <w:autoSpaceDE/>
        <w:autoSpaceDN/>
        <w:bidi w:val="0"/>
        <w:adjustRightInd/>
        <w:snapToGrid/>
        <w:spacing w:before="210" w:beforeAutospacing="0" w:after="105" w:afterAutospacing="0" w:line="560" w:lineRule="exact"/>
        <w:ind w:firstLine="0" w:firstLineChars="0"/>
        <w:jc w:val="left"/>
        <w:textAlignment w:val="auto"/>
        <w:rPr>
          <w:rFonts w:hint="default" w:ascii="仿宋_GB2312" w:hAnsi="Times New Roman" w:eastAsia="仿宋_GB2312" w:cs="仿宋_GB2312"/>
          <w:b/>
          <w:bCs/>
          <w:color w:val="000000"/>
          <w:sz w:val="32"/>
          <w:szCs w:val="32"/>
        </w:rPr>
      </w:pPr>
      <w:r>
        <w:rPr>
          <w:rFonts w:hint="default" w:ascii="仿宋_GB2312" w:hAnsi="Times New Roman" w:eastAsia="仿宋_GB2312" w:cs="仿宋_GB2312"/>
          <w:b/>
          <w:bCs/>
          <w:color w:val="000000"/>
          <w:sz w:val="32"/>
          <w:szCs w:val="32"/>
        </w:rPr>
        <w:t>六、一般公共预算财政拨款机关运行经费情况</w:t>
      </w:r>
    </w:p>
    <w:p w14:paraId="3A7F16F0">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本单位无机关运行经费。</w:t>
      </w:r>
    </w:p>
    <w:p w14:paraId="387818A1">
      <w:pPr>
        <w:pStyle w:val="4"/>
        <w:pageBreakBefore w:val="0"/>
        <w:widowControl w:val="0"/>
        <w:kinsoku/>
        <w:wordWrap/>
        <w:overflowPunct/>
        <w:topLinePunct w:val="0"/>
        <w:autoSpaceDE/>
        <w:autoSpaceDN/>
        <w:bidi w:val="0"/>
        <w:adjustRightInd/>
        <w:snapToGrid/>
        <w:spacing w:before="210" w:beforeAutospacing="0" w:after="105" w:afterAutospacing="0" w:line="560" w:lineRule="exact"/>
        <w:ind w:firstLine="0" w:firstLineChars="0"/>
        <w:jc w:val="left"/>
        <w:textAlignment w:val="auto"/>
        <w:rPr>
          <w:rFonts w:hint="default" w:ascii="仿宋_GB2312" w:hAnsi="Times New Roman" w:eastAsia="仿宋_GB2312" w:cs="仿宋_GB2312"/>
          <w:b/>
          <w:bCs/>
          <w:color w:val="000000"/>
          <w:sz w:val="32"/>
          <w:szCs w:val="32"/>
        </w:rPr>
      </w:pPr>
      <w:r>
        <w:rPr>
          <w:rFonts w:hint="default" w:ascii="仿宋_GB2312" w:hAnsi="Times New Roman" w:eastAsia="仿宋_GB2312" w:cs="仿宋_GB2312"/>
          <w:b/>
          <w:bCs/>
          <w:color w:val="000000"/>
          <w:sz w:val="32"/>
          <w:szCs w:val="32"/>
        </w:rPr>
        <w:t>七、政府采购安排情况</w:t>
      </w:r>
    </w:p>
    <w:p w14:paraId="3A59EB73">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2026年，部门（单位）政府采购预算总额</w:t>
      </w:r>
      <w:r>
        <w:rPr>
          <w:rFonts w:hint="default" w:ascii="Times New Roman" w:hAnsi="Times New Roman" w:eastAsia="仿宋_GB2312" w:cs="Times New Roman"/>
          <w:b/>
          <w:bCs/>
          <w:color w:val="000000"/>
          <w:sz w:val="32"/>
          <w:szCs w:val="32"/>
        </w:rPr>
        <w:t>0.00万元</w:t>
      </w:r>
      <w:r>
        <w:rPr>
          <w:rFonts w:hint="default" w:ascii="Times New Roman" w:hAnsi="Times New Roman" w:eastAsia="仿宋_GB2312" w:cs="Times New Roman"/>
          <w:color w:val="000000"/>
          <w:sz w:val="32"/>
          <w:szCs w:val="32"/>
        </w:rPr>
        <w:t>，其中：政府采购货物预算0.00万元，政府采购工程预算0.00万元，政府采购服务预算0.00万元。</w:t>
      </w:r>
    </w:p>
    <w:p w14:paraId="49CE2B7A">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2026年，部门（单位）面向中小企业预留政府采购项目预算金额0.00万元，小微企业预留政府采购项目预算金额0.00万元。</w:t>
      </w:r>
    </w:p>
    <w:p w14:paraId="50A98729">
      <w:pPr>
        <w:pStyle w:val="4"/>
        <w:pageBreakBefore w:val="0"/>
        <w:widowControl w:val="0"/>
        <w:kinsoku/>
        <w:wordWrap/>
        <w:overflowPunct/>
        <w:topLinePunct w:val="0"/>
        <w:autoSpaceDE/>
        <w:autoSpaceDN/>
        <w:bidi w:val="0"/>
        <w:adjustRightInd/>
        <w:snapToGrid/>
        <w:spacing w:before="210" w:beforeAutospacing="0" w:after="105" w:afterAutospacing="0" w:line="560" w:lineRule="exact"/>
        <w:ind w:firstLine="0" w:firstLineChars="0"/>
        <w:jc w:val="left"/>
        <w:textAlignment w:val="auto"/>
        <w:rPr>
          <w:rFonts w:hint="default" w:ascii="仿宋_GB2312" w:hAnsi="Times New Roman" w:eastAsia="仿宋_GB2312" w:cs="仿宋_GB2312"/>
          <w:b/>
          <w:bCs/>
          <w:color w:val="000000"/>
          <w:sz w:val="32"/>
          <w:szCs w:val="32"/>
        </w:rPr>
      </w:pPr>
      <w:r>
        <w:rPr>
          <w:rFonts w:hint="default" w:ascii="仿宋_GB2312" w:hAnsi="Times New Roman" w:eastAsia="仿宋_GB2312" w:cs="仿宋_GB2312"/>
          <w:b/>
          <w:bCs/>
          <w:color w:val="000000"/>
          <w:sz w:val="32"/>
          <w:szCs w:val="32"/>
        </w:rPr>
        <w:t>八、国有资产占用情况</w:t>
      </w:r>
    </w:p>
    <w:p w14:paraId="39BF64B1">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上年末固定资产金额请根据单位实际情况填写。其中：办公用房面积请根据实际填写，价值请根据实际填写。预算部门（单位）共有公务用车0.00辆，价值0.00万元。单价20万元以上的设备价值0.00万元。2026年拟采购固定资产约0.00万元。</w:t>
      </w:r>
    </w:p>
    <w:p w14:paraId="401F7760">
      <w:pPr>
        <w:pStyle w:val="4"/>
        <w:pageBreakBefore w:val="0"/>
        <w:widowControl w:val="0"/>
        <w:kinsoku/>
        <w:wordWrap/>
        <w:overflowPunct/>
        <w:topLinePunct w:val="0"/>
        <w:autoSpaceDE/>
        <w:autoSpaceDN/>
        <w:bidi w:val="0"/>
        <w:adjustRightInd/>
        <w:snapToGrid/>
        <w:spacing w:before="210" w:beforeAutospacing="0" w:after="105" w:afterAutospacing="0" w:line="560" w:lineRule="exact"/>
        <w:ind w:firstLine="0" w:firstLineChars="0"/>
        <w:jc w:val="left"/>
        <w:textAlignment w:val="auto"/>
        <w:rPr>
          <w:rFonts w:hint="default" w:ascii="仿宋_GB2312" w:hAnsi="Times New Roman" w:eastAsia="仿宋_GB2312" w:cs="仿宋_GB2312"/>
          <w:b/>
          <w:bCs/>
          <w:color w:val="000000"/>
          <w:sz w:val="32"/>
          <w:szCs w:val="32"/>
        </w:rPr>
      </w:pPr>
      <w:r>
        <w:rPr>
          <w:rFonts w:hint="default" w:ascii="仿宋_GB2312" w:hAnsi="Times New Roman" w:eastAsia="仿宋_GB2312" w:cs="仿宋_GB2312"/>
          <w:b/>
          <w:bCs/>
          <w:color w:val="000000"/>
          <w:sz w:val="32"/>
          <w:szCs w:val="32"/>
        </w:rPr>
        <w:t>九、其他重要事项情况说明</w:t>
      </w:r>
    </w:p>
    <w:p w14:paraId="25168AB7">
      <w:pPr>
        <w:pStyle w:val="5"/>
        <w:pageBreakBefore w:val="0"/>
        <w:widowControl w:val="0"/>
        <w:kinsoku/>
        <w:wordWrap/>
        <w:overflowPunct/>
        <w:topLinePunct w:val="0"/>
        <w:autoSpaceDE/>
        <w:autoSpaceDN/>
        <w:bidi w:val="0"/>
        <w:adjustRightInd/>
        <w:snapToGrid/>
        <w:spacing w:before="105" w:beforeAutospacing="0" w:after="42" w:afterAutospacing="0" w:line="560" w:lineRule="exact"/>
        <w:ind w:firstLine="0" w:firstLineChars="0"/>
        <w:jc w:val="left"/>
        <w:textAlignment w:val="auto"/>
        <w:rPr>
          <w:rFonts w:hint="default" w:ascii="仿宋_GB2312" w:hAnsi="Times New Roman" w:eastAsia="仿宋_GB2312" w:cs="仿宋_GB2312"/>
          <w:b w:val="0"/>
          <w:bCs w:val="0"/>
          <w:color w:val="000000"/>
          <w:sz w:val="32"/>
          <w:szCs w:val="32"/>
        </w:rPr>
      </w:pPr>
      <w:r>
        <w:rPr>
          <w:rFonts w:hint="default" w:ascii="仿宋_GB2312" w:hAnsi="Times New Roman" w:eastAsia="仿宋_GB2312" w:cs="仿宋_GB2312"/>
          <w:b w:val="0"/>
          <w:bCs w:val="0"/>
          <w:color w:val="000000"/>
          <w:sz w:val="32"/>
          <w:szCs w:val="32"/>
        </w:rPr>
        <w:t>（一）政府性基金预算支出情况</w:t>
      </w:r>
    </w:p>
    <w:p w14:paraId="7C2F57A0">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未安排预算，政府性基金预算支出情况表为空表。</w:t>
      </w:r>
    </w:p>
    <w:p w14:paraId="4090EE10">
      <w:pPr>
        <w:pStyle w:val="5"/>
        <w:pageBreakBefore w:val="0"/>
        <w:widowControl w:val="0"/>
        <w:kinsoku/>
        <w:wordWrap/>
        <w:overflowPunct/>
        <w:topLinePunct w:val="0"/>
        <w:autoSpaceDE/>
        <w:autoSpaceDN/>
        <w:bidi w:val="0"/>
        <w:adjustRightInd/>
        <w:snapToGrid/>
        <w:spacing w:before="105" w:beforeAutospacing="0" w:after="42" w:afterAutospacing="0" w:line="560" w:lineRule="exact"/>
        <w:ind w:firstLine="0" w:firstLineChars="0"/>
        <w:jc w:val="left"/>
        <w:textAlignment w:val="auto"/>
        <w:rPr>
          <w:rFonts w:hint="default" w:ascii="仿宋_GB2312" w:hAnsi="Times New Roman" w:eastAsia="仿宋_GB2312" w:cs="仿宋_GB2312"/>
          <w:b w:val="0"/>
          <w:bCs w:val="0"/>
          <w:color w:val="000000"/>
          <w:sz w:val="32"/>
          <w:szCs w:val="32"/>
        </w:rPr>
      </w:pPr>
      <w:r>
        <w:rPr>
          <w:rFonts w:hint="default" w:ascii="仿宋_GB2312" w:hAnsi="Times New Roman" w:eastAsia="仿宋_GB2312" w:cs="仿宋_GB2312"/>
          <w:b w:val="0"/>
          <w:bCs w:val="0"/>
          <w:color w:val="000000"/>
          <w:sz w:val="32"/>
          <w:szCs w:val="32"/>
        </w:rPr>
        <w:t>（二）非税收入情况</w:t>
      </w:r>
    </w:p>
    <w:p w14:paraId="29F9FAA3">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本单位2026年无非税收入。</w:t>
      </w:r>
    </w:p>
    <w:p w14:paraId="272A3108">
      <w:pPr>
        <w:pStyle w:val="5"/>
        <w:pageBreakBefore w:val="0"/>
        <w:widowControl w:val="0"/>
        <w:kinsoku/>
        <w:wordWrap/>
        <w:overflowPunct/>
        <w:topLinePunct w:val="0"/>
        <w:autoSpaceDE/>
        <w:autoSpaceDN/>
        <w:bidi w:val="0"/>
        <w:adjustRightInd/>
        <w:snapToGrid/>
        <w:spacing w:before="105" w:beforeAutospacing="0" w:after="42" w:afterAutospacing="0" w:line="560" w:lineRule="exact"/>
        <w:ind w:firstLine="0" w:firstLineChars="0"/>
        <w:jc w:val="left"/>
        <w:textAlignment w:val="auto"/>
        <w:rPr>
          <w:rFonts w:hint="default" w:ascii="仿宋_GB2312" w:hAnsi="Times New Roman" w:eastAsia="仿宋_GB2312" w:cs="仿宋_GB2312"/>
          <w:b w:val="0"/>
          <w:bCs w:val="0"/>
          <w:color w:val="000000"/>
          <w:sz w:val="32"/>
          <w:szCs w:val="32"/>
        </w:rPr>
      </w:pPr>
      <w:r>
        <w:rPr>
          <w:rFonts w:hint="default" w:ascii="仿宋_GB2312" w:hAnsi="Times New Roman" w:eastAsia="仿宋_GB2312" w:cs="仿宋_GB2312"/>
          <w:b w:val="0"/>
          <w:bCs w:val="0"/>
          <w:color w:val="000000"/>
          <w:sz w:val="32"/>
          <w:szCs w:val="32"/>
        </w:rPr>
        <w:t>（三）重点项目情况</w:t>
      </w:r>
    </w:p>
    <w:p w14:paraId="00FFAE1E">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本单位年初预算未安排项目支出，无重点项目说明。</w:t>
      </w:r>
    </w:p>
    <w:p w14:paraId="7D2B70D5">
      <w:pPr>
        <w:pStyle w:val="5"/>
        <w:pageBreakBefore w:val="0"/>
        <w:widowControl w:val="0"/>
        <w:kinsoku/>
        <w:wordWrap/>
        <w:overflowPunct/>
        <w:topLinePunct w:val="0"/>
        <w:autoSpaceDE/>
        <w:autoSpaceDN/>
        <w:bidi w:val="0"/>
        <w:adjustRightInd/>
        <w:snapToGrid/>
        <w:spacing w:before="105" w:beforeAutospacing="0" w:after="42" w:afterAutospacing="0" w:line="560" w:lineRule="exact"/>
        <w:ind w:firstLine="0" w:firstLineChars="0"/>
        <w:jc w:val="left"/>
        <w:textAlignment w:val="auto"/>
        <w:rPr>
          <w:rFonts w:hint="default" w:ascii="仿宋_GB2312" w:hAnsi="Times New Roman" w:eastAsia="仿宋_GB2312" w:cs="仿宋_GB2312"/>
          <w:b w:val="0"/>
          <w:bCs w:val="0"/>
          <w:color w:val="000000"/>
          <w:sz w:val="32"/>
          <w:szCs w:val="32"/>
        </w:rPr>
      </w:pPr>
      <w:r>
        <w:rPr>
          <w:rFonts w:hint="default" w:ascii="仿宋_GB2312" w:hAnsi="Times New Roman" w:eastAsia="仿宋_GB2312" w:cs="仿宋_GB2312"/>
          <w:b w:val="0"/>
          <w:bCs w:val="0"/>
          <w:color w:val="000000"/>
          <w:sz w:val="32"/>
          <w:szCs w:val="32"/>
        </w:rPr>
        <w:t>（四）部门管理转移支付情况</w:t>
      </w:r>
    </w:p>
    <w:p w14:paraId="423878F3">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未安排预算，单位管理转移支付表为空表。</w:t>
      </w:r>
    </w:p>
    <w:p w14:paraId="26D31C20">
      <w:pPr>
        <w:pStyle w:val="5"/>
        <w:pageBreakBefore w:val="0"/>
        <w:widowControl w:val="0"/>
        <w:kinsoku/>
        <w:wordWrap/>
        <w:overflowPunct/>
        <w:topLinePunct w:val="0"/>
        <w:autoSpaceDE/>
        <w:autoSpaceDN/>
        <w:bidi w:val="0"/>
        <w:adjustRightInd/>
        <w:snapToGrid/>
        <w:spacing w:before="105" w:beforeAutospacing="0" w:after="42" w:afterAutospacing="0" w:line="560" w:lineRule="exact"/>
        <w:ind w:firstLine="0" w:firstLineChars="0"/>
        <w:jc w:val="left"/>
        <w:textAlignment w:val="auto"/>
        <w:rPr>
          <w:rFonts w:hint="default" w:ascii="仿宋_GB2312" w:hAnsi="Times New Roman" w:eastAsia="仿宋_GB2312" w:cs="仿宋_GB2312"/>
          <w:b w:val="0"/>
          <w:bCs w:val="0"/>
          <w:color w:val="000000"/>
          <w:sz w:val="32"/>
          <w:szCs w:val="32"/>
        </w:rPr>
      </w:pPr>
      <w:r>
        <w:rPr>
          <w:rFonts w:hint="default" w:ascii="仿宋_GB2312" w:hAnsi="Times New Roman" w:eastAsia="仿宋_GB2312" w:cs="仿宋_GB2312"/>
          <w:b w:val="0"/>
          <w:bCs w:val="0"/>
          <w:color w:val="000000"/>
          <w:sz w:val="32"/>
          <w:szCs w:val="32"/>
        </w:rPr>
        <w:t>（五）国有资本经营预算支出情况</w:t>
      </w:r>
    </w:p>
    <w:p w14:paraId="2798AE2B">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未安排预算，国有资本经营预算支出情况表为空表。</w:t>
      </w:r>
    </w:p>
    <w:p w14:paraId="3356A07E">
      <w:pPr>
        <w:pStyle w:val="4"/>
        <w:pageBreakBefore w:val="0"/>
        <w:widowControl w:val="0"/>
        <w:kinsoku/>
        <w:wordWrap/>
        <w:overflowPunct/>
        <w:topLinePunct w:val="0"/>
        <w:autoSpaceDE/>
        <w:autoSpaceDN/>
        <w:bidi w:val="0"/>
        <w:adjustRightInd/>
        <w:snapToGrid/>
        <w:spacing w:before="210" w:beforeAutospacing="0" w:after="105" w:afterAutospacing="0" w:line="560" w:lineRule="exact"/>
        <w:ind w:firstLine="0" w:firstLineChars="0"/>
        <w:jc w:val="left"/>
        <w:textAlignment w:val="auto"/>
        <w:rPr>
          <w:rFonts w:hint="default" w:ascii="仿宋_GB2312" w:hAnsi="Times New Roman" w:eastAsia="仿宋_GB2312" w:cs="仿宋_GB2312"/>
          <w:b/>
          <w:bCs/>
          <w:color w:val="000000"/>
          <w:sz w:val="32"/>
          <w:szCs w:val="32"/>
        </w:rPr>
      </w:pPr>
      <w:r>
        <w:rPr>
          <w:rFonts w:hint="default" w:ascii="仿宋_GB2312" w:hAnsi="Times New Roman" w:eastAsia="仿宋_GB2312" w:cs="仿宋_GB2312"/>
          <w:b/>
          <w:bCs/>
          <w:color w:val="000000"/>
          <w:sz w:val="32"/>
          <w:szCs w:val="32"/>
        </w:rPr>
        <w:t>十、预算绩效管理情况</w:t>
      </w:r>
    </w:p>
    <w:p w14:paraId="3085F4D5">
      <w:pPr>
        <w:pStyle w:val="5"/>
        <w:pageBreakBefore w:val="0"/>
        <w:widowControl w:val="0"/>
        <w:kinsoku/>
        <w:wordWrap/>
        <w:overflowPunct/>
        <w:topLinePunct w:val="0"/>
        <w:autoSpaceDE/>
        <w:autoSpaceDN/>
        <w:bidi w:val="0"/>
        <w:adjustRightInd/>
        <w:snapToGrid/>
        <w:spacing w:before="105" w:beforeAutospacing="0" w:after="42" w:afterAutospacing="0" w:line="560" w:lineRule="exact"/>
        <w:ind w:firstLine="0" w:firstLineChars="0"/>
        <w:jc w:val="left"/>
        <w:textAlignment w:val="auto"/>
        <w:rPr>
          <w:rFonts w:hint="default" w:ascii="仿宋_GB2312" w:hAnsi="Times New Roman" w:eastAsia="仿宋_GB2312" w:cs="仿宋_GB2312"/>
          <w:b w:val="0"/>
          <w:bCs w:val="0"/>
          <w:color w:val="000000"/>
          <w:sz w:val="32"/>
          <w:szCs w:val="32"/>
        </w:rPr>
      </w:pPr>
      <w:r>
        <w:rPr>
          <w:rFonts w:hint="default" w:ascii="仿宋_GB2312" w:hAnsi="Times New Roman" w:eastAsia="仿宋_GB2312" w:cs="仿宋_GB2312"/>
          <w:b w:val="0"/>
          <w:bCs w:val="0"/>
          <w:color w:val="000000"/>
          <w:sz w:val="32"/>
          <w:szCs w:val="32"/>
        </w:rPr>
        <w:t>（一）2025年预算绩效管理工作情况。</w:t>
      </w:r>
    </w:p>
    <w:p w14:paraId="58AF88C0">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4546BD31">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 绩效目标管理情况。2025年度，按照“谁申请资金，谁设置目标”的原则，纳入部门预算管理的部门/单位整体支出和项目绩效目标1个，按规定随年度预算一并公开项目1个，公开率为100%。</w:t>
      </w:r>
    </w:p>
    <w:p w14:paraId="6B4B6036">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 绩效运行监控情况。2025年7月，组织开展1-6月绩效运行监控项目1个，占本部门/单位项目的100%。截至7月底，如期完成预算执行和绩效目标指标值的项目1个，完成率为100%。“双监控”发现存在的问题和主要原因是：可根据单位实际情况填写。开展1-9月绩效运行监控项目1个，占本部门（单位）项目的100%。截至10月底，如期完成预算执行和绩效目标指标值的项目1个，完成率为100%。“双监控”发现存在的问题和主要原因是：可根据单位实际情况填写。绩效运行监控在部门内部通报整改情况：可根据单位实际情况填写。</w:t>
      </w:r>
    </w:p>
    <w:p w14:paraId="1E595A40">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 绩效自评开展情况。2025年度，组织开展绩效自评项目共1个，其中，部门（单位）整体支出1个，项目支出0个，转移支付项目0个，绩效自评覆盖率为100%。绩效自评结果随部门决算报送财政和随决算公开情况：及时公开。</w:t>
      </w:r>
    </w:p>
    <w:p w14:paraId="10C35B07">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 绩效结果应用情况。根据2025年度绩效运行监控、绩效自评等情况，当年盘活财政资金0万元，2026年度增加（减少）部门预算项目0个，增长率/压减率0%。同时对政策和项目资金管理作出调整的0个。</w:t>
      </w:r>
    </w:p>
    <w:p w14:paraId="17C91A5D">
      <w:pPr>
        <w:pStyle w:val="5"/>
        <w:pageBreakBefore w:val="0"/>
        <w:widowControl w:val="0"/>
        <w:kinsoku/>
        <w:wordWrap/>
        <w:overflowPunct/>
        <w:topLinePunct w:val="0"/>
        <w:autoSpaceDE/>
        <w:autoSpaceDN/>
        <w:bidi w:val="0"/>
        <w:adjustRightInd/>
        <w:snapToGrid/>
        <w:spacing w:before="105" w:beforeAutospacing="0" w:after="42" w:afterAutospacing="0" w:line="560" w:lineRule="exact"/>
        <w:ind w:firstLine="0" w:firstLineChars="0"/>
        <w:jc w:val="left"/>
        <w:textAlignment w:val="auto"/>
        <w:rPr>
          <w:rFonts w:hint="default" w:ascii="仿宋_GB2312" w:hAnsi="Times New Roman" w:eastAsia="仿宋_GB2312" w:cs="仿宋_GB2312"/>
          <w:b w:val="0"/>
          <w:bCs w:val="0"/>
          <w:color w:val="000000"/>
          <w:sz w:val="32"/>
          <w:szCs w:val="32"/>
        </w:rPr>
      </w:pPr>
      <w:r>
        <w:rPr>
          <w:rFonts w:hint="default" w:ascii="仿宋_GB2312" w:hAnsi="Times New Roman" w:eastAsia="仿宋_GB2312" w:cs="仿宋_GB2312"/>
          <w:b w:val="0"/>
          <w:bCs w:val="0"/>
          <w:color w:val="000000"/>
          <w:sz w:val="32"/>
          <w:szCs w:val="32"/>
        </w:rPr>
        <w:t>（二）2026年绩效目标编制情况</w:t>
      </w:r>
    </w:p>
    <w:p w14:paraId="69ACC218">
      <w:pPr>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2026年，纳入部门/单位预算绩效目标管理的项目1个。其中，部门整体支出绩效目标围绕部门管理、履职效果、能力建设三个维度，设置二级指标18个、三级指标36个。各项绩效目标内容指向明确、细化量化、合理可行，符合规定的格式要求。</w:t>
      </w:r>
    </w:p>
    <w:p w14:paraId="45AC49EB">
      <w:pPr>
        <w:pStyle w:val="4"/>
        <w:pageBreakBefore w:val="0"/>
        <w:widowControl w:val="0"/>
        <w:kinsoku/>
        <w:wordWrap/>
        <w:overflowPunct/>
        <w:topLinePunct w:val="0"/>
        <w:autoSpaceDE/>
        <w:autoSpaceDN/>
        <w:bidi w:val="0"/>
        <w:adjustRightInd/>
        <w:snapToGrid/>
        <w:spacing w:before="210" w:beforeAutospacing="0" w:after="105" w:afterAutospacing="0" w:line="560" w:lineRule="exact"/>
        <w:ind w:firstLine="0" w:firstLineChars="0"/>
        <w:jc w:val="left"/>
        <w:textAlignment w:val="auto"/>
        <w:rPr>
          <w:rFonts w:hint="default" w:ascii="仿宋_GB2312" w:hAnsi="Times New Roman" w:eastAsia="仿宋_GB2312" w:cs="仿宋_GB2312"/>
          <w:b/>
          <w:bCs/>
          <w:color w:val="000000"/>
          <w:sz w:val="32"/>
          <w:szCs w:val="32"/>
        </w:rPr>
      </w:pPr>
      <w:r>
        <w:rPr>
          <w:rFonts w:hint="default" w:ascii="仿宋_GB2312" w:hAnsi="Times New Roman" w:eastAsia="仿宋_GB2312" w:cs="仿宋_GB2312"/>
          <w:b/>
          <w:bCs/>
          <w:color w:val="000000"/>
          <w:sz w:val="32"/>
          <w:szCs w:val="32"/>
        </w:rPr>
        <w:t>十一、名词解释</w:t>
      </w:r>
    </w:p>
    <w:p w14:paraId="562800C9">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b/>
          <w:bCs/>
          <w:color w:val="000000"/>
          <w:sz w:val="32"/>
          <w:szCs w:val="32"/>
        </w:rPr>
        <w:t>财政拨款</w:t>
      </w:r>
      <w:r>
        <w:rPr>
          <w:rFonts w:hint="default" w:ascii="Times New Roman" w:hAnsi="Times New Roman" w:eastAsia="仿宋_GB2312" w:cs="Times New Roman"/>
          <w:color w:val="000000"/>
          <w:sz w:val="32"/>
          <w:szCs w:val="32"/>
        </w:rPr>
        <w:t>: 指由一般公共预算、政府性基金预算、国有资本经营预算安排的财政拨款数。</w:t>
      </w:r>
    </w:p>
    <w:p w14:paraId="21B95CB2">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w:t>
      </w:r>
      <w:r>
        <w:rPr>
          <w:rFonts w:hint="default" w:ascii="Times New Roman" w:hAnsi="Times New Roman" w:eastAsia="仿宋_GB2312" w:cs="Times New Roman"/>
          <w:b/>
          <w:bCs/>
          <w:color w:val="000000"/>
          <w:sz w:val="32"/>
          <w:szCs w:val="32"/>
        </w:rPr>
        <w:t>一般公共预算</w:t>
      </w:r>
      <w:r>
        <w:rPr>
          <w:rFonts w:hint="default" w:ascii="Times New Roman" w:hAnsi="Times New Roman" w:eastAsia="仿宋_GB2312" w:cs="Times New Roman"/>
          <w:color w:val="000000"/>
          <w:sz w:val="32"/>
          <w:szCs w:val="32"/>
        </w:rPr>
        <w:t>: 包括公共财政拨款（补助）资金、专项收入。</w:t>
      </w:r>
    </w:p>
    <w:p w14:paraId="634C839E">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w:t>
      </w:r>
      <w:r>
        <w:rPr>
          <w:rFonts w:hint="default" w:ascii="Times New Roman" w:hAnsi="Times New Roman" w:eastAsia="仿宋_GB2312" w:cs="Times New Roman"/>
          <w:b/>
          <w:bCs/>
          <w:color w:val="000000"/>
          <w:sz w:val="32"/>
          <w:szCs w:val="32"/>
        </w:rPr>
        <w:t>财政专户管理资金</w:t>
      </w:r>
      <w:r>
        <w:rPr>
          <w:rFonts w:hint="default" w:ascii="Times New Roman" w:hAnsi="Times New Roman" w:eastAsia="仿宋_GB2312" w:cs="Times New Roman"/>
          <w:color w:val="000000"/>
          <w:sz w:val="32"/>
          <w:szCs w:val="32"/>
        </w:rPr>
        <w:t>: 包括专户管理行政事业性收费（主要是教育收费）、其他非税收入。</w:t>
      </w:r>
    </w:p>
    <w:p w14:paraId="5A4A79B7">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w:t>
      </w:r>
      <w:r>
        <w:rPr>
          <w:rFonts w:hint="default" w:ascii="Times New Roman" w:hAnsi="Times New Roman" w:eastAsia="仿宋_GB2312" w:cs="Times New Roman"/>
          <w:b/>
          <w:bCs/>
          <w:color w:val="000000"/>
          <w:sz w:val="32"/>
          <w:szCs w:val="32"/>
        </w:rPr>
        <w:t>其他资金</w:t>
      </w:r>
      <w:r>
        <w:rPr>
          <w:rFonts w:hint="default" w:ascii="Times New Roman" w:hAnsi="Times New Roman" w:eastAsia="仿宋_GB2312" w:cs="Times New Roman"/>
          <w:color w:val="000000"/>
          <w:sz w:val="32"/>
          <w:szCs w:val="32"/>
        </w:rPr>
        <w:t>: 包括事业收入、事业经营收入、其他收入等。</w:t>
      </w:r>
    </w:p>
    <w:p w14:paraId="2C4175DC">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5.</w:t>
      </w:r>
      <w:r>
        <w:rPr>
          <w:rFonts w:hint="default" w:ascii="Times New Roman" w:hAnsi="Times New Roman" w:eastAsia="仿宋_GB2312" w:cs="Times New Roman"/>
          <w:b/>
          <w:bCs/>
          <w:color w:val="000000"/>
          <w:sz w:val="32"/>
          <w:szCs w:val="32"/>
        </w:rPr>
        <w:t>基本支出</w:t>
      </w:r>
      <w:r>
        <w:rPr>
          <w:rFonts w:hint="default" w:ascii="Times New Roman" w:hAnsi="Times New Roman" w:eastAsia="仿宋_GB2312" w:cs="Times New Roman"/>
          <w:color w:val="000000"/>
          <w:sz w:val="32"/>
          <w:szCs w:val="32"/>
        </w:rPr>
        <w:t>: 包括人员经费、公用经费（定额）。其中，人员经费包括工资福利支出、对个人和家庭的补助。</w:t>
      </w:r>
    </w:p>
    <w:p w14:paraId="3EF971DF">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6.</w:t>
      </w:r>
      <w:r>
        <w:rPr>
          <w:rFonts w:hint="default" w:ascii="Times New Roman" w:hAnsi="Times New Roman" w:eastAsia="仿宋_GB2312" w:cs="Times New Roman"/>
          <w:b/>
          <w:bCs/>
          <w:color w:val="000000"/>
          <w:sz w:val="32"/>
          <w:szCs w:val="32"/>
        </w:rPr>
        <w:t>项目支出</w:t>
      </w:r>
      <w:r>
        <w:rPr>
          <w:rFonts w:hint="default" w:ascii="Times New Roman" w:hAnsi="Times New Roman" w:eastAsia="仿宋_GB2312" w:cs="Times New Roman"/>
          <w:color w:val="000000"/>
          <w:sz w:val="32"/>
          <w:szCs w:val="32"/>
        </w:rPr>
        <w:t>: 部门（单位）支出预算的组成部分，是各部门（单位）为完成其特定的行政任务或事业发展目标，在基本支出预算之外编制的年度项目支出计划。</w:t>
      </w:r>
    </w:p>
    <w:p w14:paraId="33BEC339">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7.</w:t>
      </w:r>
      <w:r>
        <w:rPr>
          <w:rFonts w:hint="default" w:ascii="Times New Roman" w:hAnsi="Times New Roman" w:eastAsia="仿宋_GB2312" w:cs="Times New Roman"/>
          <w:b/>
          <w:bCs/>
          <w:color w:val="000000"/>
          <w:sz w:val="32"/>
          <w:szCs w:val="32"/>
        </w:rPr>
        <w:t>“三公”经费</w:t>
      </w:r>
      <w:r>
        <w:rPr>
          <w:rFonts w:hint="default" w:ascii="Times New Roman" w:hAnsi="Times New Roman" w:eastAsia="仿宋_GB2312" w:cs="Times New Roman"/>
          <w:color w:val="000000"/>
          <w:sz w:val="32"/>
          <w:szCs w:val="32"/>
        </w:rPr>
        <w:t>: 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6AE27049">
      <w:pPr>
        <w:pageBreakBefore w:val="0"/>
        <w:widowControl w:val="0"/>
        <w:kinsoku/>
        <w:wordWrap/>
        <w:overflowPunct/>
        <w:topLinePunct w:val="0"/>
        <w:autoSpaceDE/>
        <w:autoSpaceDN/>
        <w:bidi w:val="0"/>
        <w:adjustRightInd/>
        <w:snapToGrid/>
        <w:spacing w:before="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8.</w:t>
      </w:r>
      <w:r>
        <w:rPr>
          <w:rFonts w:hint="default" w:ascii="Times New Roman" w:hAnsi="Times New Roman" w:eastAsia="仿宋_GB2312" w:cs="Times New Roman"/>
          <w:b/>
          <w:bCs/>
          <w:color w:val="000000"/>
          <w:sz w:val="32"/>
          <w:szCs w:val="32"/>
        </w:rPr>
        <w:t>机关运行经费</w:t>
      </w:r>
      <w:r>
        <w:rPr>
          <w:rFonts w:hint="default" w:ascii="Times New Roman" w:hAnsi="Times New Roman" w:eastAsia="仿宋_GB2312" w:cs="Times New Roman"/>
          <w:color w:val="000000"/>
          <w:sz w:val="32"/>
          <w:szCs w:val="32"/>
        </w:rPr>
        <w:t>: 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40C7BCDC">
      <w:pPr>
        <w:pageBreakBefore w:val="0"/>
        <w:widowControl w:val="0"/>
        <w:kinsoku/>
        <w:wordWrap/>
        <w:overflowPunct/>
        <w:topLinePunct w:val="0"/>
        <w:autoSpaceDE/>
        <w:autoSpaceDN/>
        <w:bidi w:val="0"/>
        <w:adjustRightInd/>
        <w:snapToGrid/>
        <w:spacing w:before="420" w:beforeAutospacing="0" w:after="0" w:afterAutospacing="0" w:line="560" w:lineRule="exact"/>
        <w:ind w:firstLine="0" w:firstLineChars="0"/>
        <w:jc w:val="right"/>
        <w:textAlignment w:val="auto"/>
        <w:rPr>
          <w:rFonts w:hint="default" w:ascii="Times New Roman" w:hAnsi="Times New Roman" w:eastAsia="仿宋_GB2312" w:cs="Times New Roman"/>
          <w:color w:val="000000"/>
          <w:sz w:val="32"/>
          <w:szCs w:val="32"/>
        </w:rPr>
      </w:pPr>
      <w:bookmarkStart w:id="0" w:name="_GoBack"/>
      <w:bookmarkEnd w:id="0"/>
      <w:r>
        <w:rPr>
          <w:rFonts w:hint="default" w:ascii="Times New Roman" w:hAnsi="Times New Roman" w:eastAsia="仿宋_GB2312" w:cs="Times New Roman"/>
          <w:color w:val="000000"/>
          <w:sz w:val="32"/>
          <w:szCs w:val="32"/>
        </w:rPr>
        <w:t>华池县乔川九年制学校</w:t>
      </w:r>
      <w:r>
        <w:rPr>
          <w:rFonts w:hint="default" w:ascii="Times New Roman" w:hAnsi="Times New Roman" w:eastAsia="仿宋_GB2312" w:cs="Times New Roman"/>
          <w:color w:val="000000"/>
          <w:sz w:val="32"/>
          <w:szCs w:val="32"/>
        </w:rPr>
        <w:br w:type="textWrapping"/>
      </w:r>
      <w:r>
        <w:rPr>
          <w:rFonts w:hint="default" w:ascii="Times New Roman" w:hAnsi="Times New Roman" w:eastAsia="仿宋_GB2312" w:cs="Times New Roman"/>
          <w:color w:val="000000"/>
          <w:sz w:val="32"/>
          <w:szCs w:val="32"/>
        </w:rPr>
        <w:t>2026年3月13日</w:t>
      </w:r>
    </w:p>
    <w:p w14:paraId="23635FF7">
      <w:pPr>
        <w:pageBreakBefore w:val="0"/>
        <w:widowControl w:val="0"/>
        <w:kinsoku/>
        <w:wordWrap/>
        <w:overflowPunct/>
        <w:topLinePunct w:val="0"/>
        <w:autoSpaceDE/>
        <w:autoSpaceDN/>
        <w:bidi w:val="0"/>
        <w:adjustRightInd/>
        <w:snapToGrid/>
        <w:spacing w:before="21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bCs/>
          <w:color w:val="000000"/>
          <w:sz w:val="32"/>
          <w:szCs w:val="32"/>
        </w:rPr>
        <w:t>附件</w:t>
      </w:r>
      <w:r>
        <w:rPr>
          <w:rFonts w:hint="default" w:ascii="Times New Roman" w:hAnsi="Times New Roman" w:eastAsia="仿宋_GB2312" w:cs="Times New Roman"/>
          <w:color w:val="000000"/>
          <w:sz w:val="32"/>
          <w:szCs w:val="32"/>
        </w:rPr>
        <w:t>：</w:t>
      </w:r>
    </w:p>
    <w:p w14:paraId="0E26CE48">
      <w:pPr>
        <w:pageBreakBefore w:val="0"/>
        <w:widowControl w:val="0"/>
        <w:kinsoku/>
        <w:wordWrap/>
        <w:overflowPunct/>
        <w:topLinePunct w:val="0"/>
        <w:autoSpaceDE/>
        <w:autoSpaceDN/>
        <w:bidi w:val="0"/>
        <w:adjustRightInd/>
        <w:snapToGrid/>
        <w:spacing w:before="210" w:beforeAutospacing="0" w:after="0" w:afterAutospacing="0" w:line="560" w:lineRule="exact"/>
        <w:ind w:firstLine="0" w:firstLineChars="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 华池县乔川九年制学校2026年单位预算公开表</w:t>
      </w:r>
    </w:p>
    <w:p w14:paraId="15D5A396">
      <w:pPr>
        <w:pageBreakBefore w:val="0"/>
        <w:widowControl w:val="0"/>
        <w:kinsoku/>
        <w:wordWrap/>
        <w:overflowPunct/>
        <w:topLinePunct w:val="0"/>
        <w:autoSpaceDE/>
        <w:autoSpaceDN/>
        <w:bidi w:val="0"/>
        <w:adjustRightInd/>
        <w:snapToGrid/>
        <w:spacing w:before="210" w:beforeAutospacing="0" w:after="0" w:afterAutospacing="0" w:line="560" w:lineRule="exact"/>
        <w:ind w:firstLine="0" w:firstLineChars="0"/>
        <w:jc w:val="both"/>
        <w:textAlignment w:val="auto"/>
        <w:rPr>
          <w:rFonts w:hint="eastAsia" w:eastAsia="微软雅黑"/>
          <w:lang w:eastAsia="zh"/>
          <w:woUserID w:val="1"/>
        </w:rPr>
      </w:pPr>
      <w:r>
        <w:rPr>
          <w:rFonts w:hint="default" w:ascii="Times New Roman" w:hAnsi="Times New Roman" w:eastAsia="仿宋_GB2312" w:cs="Times New Roman"/>
          <w:color w:val="000000"/>
          <w:sz w:val="32"/>
          <w:szCs w:val="32"/>
        </w:rPr>
        <w:t>2. 华池县乔川九年制学校2026年单位整体支出绩效目标及预算项目绩效目标表</w:t>
      </w:r>
    </w:p>
    <w:sectPr>
      <w:pgSz w:w="11906" w:h="16838"/>
      <w:pgMar w:top="1587" w:right="1587" w:bottom="1587" w:left="1587" w:header="851" w:footer="992" w:gutter="0"/>
      <w:paperSrc/>
      <w:cols w:space="0" w:num="1"/>
      <w:rtlGutter w:val="0"/>
      <w:docGrid w:type="lines" w:linePitch="3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8F3A96"/>
    <w:multiLevelType w:val="singleLevel"/>
    <w:tmpl w:val="B58F3A96"/>
    <w:lvl w:ilvl="0" w:tentative="0">
      <w:start w:val="1"/>
      <w:numFmt w:val="bullet"/>
      <w:lvlText w:val=""/>
      <w:lvlJc w:val="left"/>
      <w:pPr>
        <w:ind w:left="720" w:hanging="360"/>
      </w:pPr>
      <w:rPr>
        <w:rFonts w:hint="default" w:ascii="Symbol" w:hAnsi="Symbol" w:cs="Symbol"/>
        <w:sz w:val="20"/>
      </w:rPr>
    </w:lvl>
  </w:abstractNum>
  <w:abstractNum w:abstractNumId="1">
    <w:nsid w:val="BA5E5C44"/>
    <w:multiLevelType w:val="singleLevel"/>
    <w:tmpl w:val="BA5E5C44"/>
    <w:lvl w:ilvl="0" w:tentative="0">
      <w:start w:val="1"/>
      <w:numFmt w:val="bullet"/>
      <w:lvlText w:val=""/>
      <w:lvlJc w:val="left"/>
      <w:pPr>
        <w:ind w:left="720" w:hanging="360"/>
      </w:pPr>
      <w:rPr>
        <w:rFonts w:hint="default" w:ascii="Symbol" w:hAnsi="Symbol" w:cs="Symbol"/>
        <w:sz w:val="20"/>
      </w:rPr>
    </w:lvl>
  </w:abstractNum>
  <w:abstractNum w:abstractNumId="2">
    <w:nsid w:val="F7B13B66"/>
    <w:multiLevelType w:val="singleLevel"/>
    <w:tmpl w:val="F7B13B66"/>
    <w:lvl w:ilvl="0" w:tentative="0">
      <w:start w:val="1"/>
      <w:numFmt w:val="bullet"/>
      <w:lvlText w:val=""/>
      <w:lvlJc w:val="left"/>
      <w:pPr>
        <w:ind w:left="720" w:hanging="360"/>
      </w:pPr>
      <w:rPr>
        <w:rFonts w:hint="default" w:ascii="Symbol" w:hAnsi="Symbol" w:cs="Symbol"/>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attachedTemplate r:id="rId1"/>
  <w:documentProtection w:enforcement="0"/>
  <w:defaultTabStop w:val="420"/>
  <w:drawingGridHorizontalSpacing w:val="210"/>
  <w:drawingGridVerticalSpacing w:val="194"/>
  <w:displayHorizontalDrawingGridEvery w:val="1"/>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24D9F"/>
    <w:rsid w:val="07011CC2"/>
    <w:rsid w:val="07644792"/>
    <w:rsid w:val="09284798"/>
    <w:rsid w:val="0F2B6FD9"/>
    <w:rsid w:val="183C240D"/>
    <w:rsid w:val="1AA24D9F"/>
    <w:rsid w:val="28DA2E89"/>
    <w:rsid w:val="2A4254F9"/>
    <w:rsid w:val="2D1F32F4"/>
    <w:rsid w:val="323B4D81"/>
    <w:rsid w:val="34B70380"/>
    <w:rsid w:val="3AE174A3"/>
    <w:rsid w:val="43446334"/>
    <w:rsid w:val="44A84E71"/>
    <w:rsid w:val="477DCE1E"/>
    <w:rsid w:val="573E1E21"/>
    <w:rsid w:val="5B487E91"/>
    <w:rsid w:val="5CF9550F"/>
    <w:rsid w:val="5EFEBDE8"/>
    <w:rsid w:val="68CA2609"/>
    <w:rsid w:val="68CC1AED"/>
    <w:rsid w:val="69BB0F42"/>
    <w:rsid w:val="6A637494"/>
    <w:rsid w:val="6BCF62E6"/>
    <w:rsid w:val="6CD3A16D"/>
    <w:rsid w:val="6D535020"/>
    <w:rsid w:val="6E334677"/>
    <w:rsid w:val="6E5F49A6"/>
    <w:rsid w:val="6FFF37D2"/>
    <w:rsid w:val="70DE2EF1"/>
    <w:rsid w:val="7C5F4108"/>
    <w:rsid w:val="7F79C282"/>
    <w:rsid w:val="7F7B6CAE"/>
    <w:rsid w:val="7FBF6DD0"/>
    <w:rsid w:val="7FCD17FE"/>
    <w:rsid w:val="7FD7E9A0"/>
    <w:rsid w:val="7FE9FBB2"/>
    <w:rsid w:val="8FFFA67E"/>
    <w:rsid w:val="A97F623E"/>
    <w:rsid w:val="AFBF8780"/>
    <w:rsid w:val="BEEFCB4B"/>
    <w:rsid w:val="BFE6F841"/>
    <w:rsid w:val="D5DE8897"/>
    <w:rsid w:val="E7FE3684"/>
    <w:rsid w:val="EFFF70E4"/>
    <w:rsid w:val="F3DFC5F3"/>
    <w:rsid w:val="F7EEC240"/>
    <w:rsid w:val="FBF75102"/>
    <w:rsid w:val="FDDC5620"/>
    <w:rsid w:val="FDEA700A"/>
    <w:rsid w:val="FFBFCE42"/>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微软雅黑" w:cs="Times New Roman"/>
      <w:kern w:val="2"/>
      <w:sz w:val="21"/>
      <w:szCs w:val="24"/>
      <w:lang w:val="en-US" w:eastAsia="zh-CN" w:bidi="ar-SA"/>
    </w:rPr>
  </w:style>
  <w:style w:type="paragraph" w:styleId="2">
    <w:name w:val="heading 1"/>
    <w:basedOn w:val="1"/>
    <w:next w:val="1"/>
    <w:qFormat/>
    <w:uiPriority w:val="0"/>
    <w:pPr>
      <w:keepNext/>
      <w:keepLines/>
      <w:spacing w:before="260" w:beforeLines="0" w:beforeAutospacing="0" w:after="220" w:afterLines="0" w:afterAutospacing="0" w:line="240" w:lineRule="auto"/>
      <w:outlineLvl w:val="0"/>
    </w:pPr>
    <w:rPr>
      <w:rFonts w:ascii="Arial" w:hAnsi="Arial"/>
      <w:b/>
      <w:kern w:val="44"/>
      <w:sz w:val="36"/>
    </w:rPr>
  </w:style>
  <w:style w:type="paragraph" w:styleId="3">
    <w:name w:val="heading 2"/>
    <w:basedOn w:val="1"/>
    <w:next w:val="1"/>
    <w:unhideWhenUsed/>
    <w:qFormat/>
    <w:uiPriority w:val="0"/>
    <w:pPr>
      <w:keepNext/>
      <w:keepLines/>
      <w:spacing w:before="260" w:beforeLines="0" w:beforeAutospacing="0" w:after="200" w:afterLines="0" w:afterAutospacing="0" w:line="240" w:lineRule="auto"/>
      <w:outlineLvl w:val="1"/>
    </w:pPr>
    <w:rPr>
      <w:rFonts w:ascii="Arial" w:hAnsi="Arial"/>
      <w:b/>
      <w:sz w:val="32"/>
    </w:rPr>
  </w:style>
  <w:style w:type="paragraph" w:styleId="4">
    <w:name w:val="heading 3"/>
    <w:basedOn w:val="1"/>
    <w:next w:val="1"/>
    <w:unhideWhenUsed/>
    <w:qFormat/>
    <w:uiPriority w:val="0"/>
    <w:pPr>
      <w:keepNext/>
      <w:keepLines/>
      <w:spacing w:before="260" w:beforeLines="0" w:beforeAutospacing="0" w:after="180" w:afterLines="0" w:afterAutospacing="0" w:line="240" w:lineRule="auto"/>
      <w:outlineLvl w:val="2"/>
    </w:pPr>
    <w:rPr>
      <w:rFonts w:ascii="Arial" w:hAnsi="Arial"/>
      <w:b/>
      <w:sz w:val="30"/>
    </w:rPr>
  </w:style>
  <w:style w:type="paragraph" w:styleId="5">
    <w:name w:val="heading 4"/>
    <w:basedOn w:val="1"/>
    <w:next w:val="1"/>
    <w:unhideWhenUsed/>
    <w:qFormat/>
    <w:uiPriority w:val="0"/>
    <w:pPr>
      <w:keepNext/>
      <w:keepLines/>
      <w:spacing w:before="240" w:beforeLines="0" w:beforeAutospacing="0" w:after="160" w:afterLines="0" w:afterAutospacing="0" w:line="240" w:lineRule="auto"/>
      <w:outlineLvl w:val="3"/>
    </w:pPr>
    <w:rPr>
      <w:rFonts w:ascii="Arial" w:hAnsi="Arial"/>
      <w:b/>
      <w:sz w:val="28"/>
    </w:rPr>
  </w:style>
  <w:style w:type="paragraph" w:styleId="6">
    <w:name w:val="heading 5"/>
    <w:basedOn w:val="1"/>
    <w:next w:val="1"/>
    <w:unhideWhenUsed/>
    <w:qFormat/>
    <w:uiPriority w:val="0"/>
    <w:pPr>
      <w:keepNext/>
      <w:keepLines/>
      <w:spacing w:before="240" w:beforeLines="0" w:beforeAutospacing="0" w:after="160" w:afterLines="0" w:afterAutospacing="0" w:line="240" w:lineRule="auto"/>
      <w:outlineLvl w:val="4"/>
    </w:pPr>
    <w:rPr>
      <w:rFonts w:ascii="Arial" w:hAnsi="Arial"/>
      <w:b/>
      <w:sz w:val="28"/>
    </w:rPr>
  </w:style>
  <w:style w:type="paragraph" w:styleId="7">
    <w:name w:val="heading 6"/>
    <w:basedOn w:val="1"/>
    <w:next w:val="1"/>
    <w:unhideWhenUsed/>
    <w:qFormat/>
    <w:uiPriority w:val="0"/>
    <w:pPr>
      <w:keepNext/>
      <w:keepLines/>
      <w:spacing w:before="240" w:beforeLines="0" w:beforeAutospacing="0" w:after="120" w:afterLines="0" w:afterAutospacing="0" w:line="240" w:lineRule="auto"/>
      <w:outlineLvl w:val="5"/>
    </w:pPr>
    <w:rPr>
      <w:rFonts w:ascii="Arial" w:hAnsi="Arial"/>
      <w:b/>
      <w:sz w:val="24"/>
    </w:rPr>
  </w:style>
  <w:style w:type="paragraph" w:styleId="8">
    <w:name w:val="heading 7"/>
    <w:basedOn w:val="1"/>
    <w:next w:val="1"/>
    <w:unhideWhenUsed/>
    <w:qFormat/>
    <w:uiPriority w:val="0"/>
    <w:pPr>
      <w:keepNext/>
      <w:keepLines/>
      <w:spacing w:before="240" w:beforeLines="0" w:beforeAutospacing="0" w:after="120" w:afterLines="0" w:afterAutospacing="0" w:line="240" w:lineRule="auto"/>
      <w:outlineLvl w:val="6"/>
    </w:pPr>
    <w:rPr>
      <w:rFonts w:ascii="Arial" w:hAnsi="Arial"/>
      <w:b/>
      <w:sz w:val="24"/>
    </w:rPr>
  </w:style>
  <w:style w:type="paragraph" w:styleId="9">
    <w:name w:val="heading 8"/>
    <w:basedOn w:val="1"/>
    <w:next w:val="1"/>
    <w:unhideWhenUsed/>
    <w:qFormat/>
    <w:uiPriority w:val="0"/>
    <w:pPr>
      <w:keepNext/>
      <w:keepLines/>
      <w:spacing w:before="180" w:beforeLines="0" w:beforeAutospacing="0" w:after="64" w:afterLines="0" w:afterAutospacing="0" w:line="240" w:lineRule="auto"/>
      <w:outlineLvl w:val="7"/>
    </w:pPr>
    <w:rPr>
      <w:rFonts w:ascii="Arial" w:hAnsi="Arial"/>
      <w:sz w:val="24"/>
    </w:rPr>
  </w:style>
  <w:style w:type="paragraph" w:styleId="10">
    <w:name w:val="heading 9"/>
    <w:basedOn w:val="1"/>
    <w:next w:val="1"/>
    <w:unhideWhenUsed/>
    <w:qFormat/>
    <w:uiPriority w:val="0"/>
    <w:pPr>
      <w:keepNext/>
      <w:keepLines/>
      <w:spacing w:before="180" w:beforeLines="0" w:beforeAutospacing="0" w:after="64" w:afterLines="0" w:afterAutospacing="0" w:line="240" w:lineRule="auto"/>
      <w:outlineLvl w:val="8"/>
    </w:pPr>
    <w:rPr>
      <w:rFonts w:ascii="Arial" w:hAnsi="Arial"/>
    </w:rPr>
  </w:style>
  <w:style w:type="character" w:default="1" w:styleId="13">
    <w:name w:val="Default Paragraph Font"/>
    <w:qFormat/>
    <w:uiPriority w:val="0"/>
    <w:rPr>
      <w:rFonts w:eastAsia="微软雅黑" w:asciiTheme="minorAscii" w:hAnsiTheme="minorAscii"/>
    </w:rPr>
  </w:style>
  <w:style w:type="table" w:default="1" w:styleId="11">
    <w:name w:val="Normal Table"/>
    <w:semiHidden/>
    <w:qFormat/>
    <w:uiPriority w:val="0"/>
    <w:tblPr>
      <w:tblCellMar>
        <w:top w:w="0" w:type="dxa"/>
        <w:left w:w="108" w:type="dxa"/>
        <w:bottom w:w="0" w:type="dxa"/>
        <w:right w:w="108" w:type="dxa"/>
      </w:tblCellMar>
    </w:tblPr>
  </w:style>
  <w:style w:type="table" w:styleId="12">
    <w:name w:val="Table Grid"/>
    <w:basedOn w:val="11"/>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weboffice\C:\data\weboffice\C:\data\weboffice\C:\data\weboffice\C:\data\weboffice\C:\data\weboffice\C:\Users\June\Library\Containers\com.kingsoft.wpsoffice.mac\Data\C:\data\weboffice\C:\home\ranpeng\C:\Users\53YFKM2\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1059</Words>
  <Characters>1132</Characters>
  <Lines>0</Lines>
  <Paragraphs>0</Paragraphs>
  <TotalTime>1</TotalTime>
  <ScaleCrop>false</ScaleCrop>
  <LinksUpToDate>false</LinksUpToDate>
  <CharactersWithSpaces>1137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2018-05-28T01:24:00Z</dcterms:created>
  <dc:creator>lx</dc:creator>
  <cp:lastModifiedBy>张峰</cp:lastModifiedBy>
  <dcterms:modified xsi:type="dcterms:W3CDTF">2026-03-13T06:41:11Z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woTemplateTypoMode" linkTarget="0">
    <vt:lpwstr/>
  </property>
  <property fmtid="{D5CDD505-2E9C-101B-9397-08002B2CF9AE}" pid="4" name="woTemplate" linkTarget="0">
    <vt:i4>0</vt:i4>
  </property>
  <property fmtid="{D5CDD505-2E9C-101B-9397-08002B2CF9AE}" pid="5" name="ICV">
    <vt:lpwstr>23D60364DA11F9441DA6B3694F1DF19A_43</vt:lpwstr>
  </property>
  <property fmtid="{D5CDD505-2E9C-101B-9397-08002B2CF9AE}" pid="6" name="KSOTemplateDocerSaveRecord">
    <vt:lpwstr>eyJoZGlkIjoiYzM3OTBiZWE5ZjY1MGQwZWE5ZDczMGI1MGMwYWQxNWEiLCJ1c2VySWQiOiIyMDM1OTgzODgifQ==</vt:lpwstr>
  </property>
</Properties>
</file>