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065D36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AF7918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4783AE85">
      <w:pPr>
        <w:spacing w:line="660" w:lineRule="exact"/>
        <w:jc w:val="center"/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华池县上里塬初级中学</w:t>
      </w:r>
    </w:p>
    <w:p w14:paraId="67ACC143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default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年单位预算公开情况说明 </w:t>
      </w:r>
    </w:p>
    <w:p w14:paraId="2329893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04A490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81C7286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5300202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70C024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 w14:paraId="4D83AF2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433351F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 w14:paraId="44EBD67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BB73F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4A12B8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F88CE3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5046C44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6D55E2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171C491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7042C3D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734FD34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 w14:paraId="3FD2078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 w14:paraId="72142C8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 w14:paraId="45966E8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 w14:paraId="675B820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622165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6361183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600E529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189B4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31FDB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5FFFCFA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05BB7C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129F3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7F85859C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6DBFCF8A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0AD557B8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1BFDDEEA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一、部门/单位职责</w:t>
      </w:r>
    </w:p>
    <w:p w14:paraId="1179AB51">
      <w:pPr>
        <w:pStyle w:val="7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ascii="宋体" w:hAnsi="宋体" w:cstheme="minorBidi"/>
          <w:szCs w:val="24"/>
          <w:lang w:val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华池县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上里塬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初级中学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是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从事教育事业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等工作的职能部门。主要职责是: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普及九年义务教育，培养合格人才为主要职能，从事教育教学事务活动。</w:t>
      </w:r>
    </w:p>
    <w:p w14:paraId="720E48B4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77BC1A87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（一）机关内设机构</w:t>
      </w:r>
    </w:p>
    <w:p w14:paraId="39C54F68"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N/>
        <w:bidi w:val="0"/>
        <w:adjustRightInd/>
        <w:snapToGrid/>
        <w:spacing w:before="0" w:beforeAutospacing="0" w:after="0" w:afterAutospacing="0" w:line="560" w:lineRule="exact"/>
        <w:ind w:firstLine="645"/>
        <w:jc w:val="both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华池县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上里塬初级中学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内设机构3个处室（教务处、政教处、总务处），教务处主要负责学校全盘教学工作，教学安排、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学情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检测等；政教处主要负责学校的德育及学生管理工作；总务处主要负责教师学生餐饮、教学后勤保障等工作。</w:t>
      </w:r>
    </w:p>
    <w:p w14:paraId="316EA88B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（二）参照公务员法管理单位</w:t>
      </w:r>
    </w:p>
    <w:p w14:paraId="76DB884D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无</w:t>
      </w:r>
    </w:p>
    <w:p w14:paraId="1A18BC42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（三）直属事业单位</w:t>
      </w:r>
    </w:p>
    <w:p w14:paraId="7CE6040E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无</w:t>
      </w:r>
    </w:p>
    <w:p w14:paraId="154D8898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三、部门/单位收支总体情况</w:t>
      </w:r>
    </w:p>
    <w:p w14:paraId="10AF1836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年部门（单位）收支包括机关预算和直属单位预算在内的汇总情况。</w:t>
      </w:r>
    </w:p>
    <w:p w14:paraId="02D85CDC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419.28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部门（单位）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 w14:paraId="78846D78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7E3AB6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419.28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万元（详见部门/单位预算公开表1,2）。包括：</w:t>
      </w:r>
    </w:p>
    <w:p w14:paraId="14E911E5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419.28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6DC38958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政府性基金预算收入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7ABC9C50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上年结转收入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745038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其他收入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2217B58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356FC48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419.28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万元（详见部门/单位预算公开表3）。</w:t>
      </w:r>
      <w:r>
        <w:rPr>
          <w:rStyle w:val="21"/>
          <w:rFonts w:hint="default" w:hAnsi="仿宋"/>
        </w:rPr>
        <w:t>其中：基本支出</w:t>
      </w:r>
      <w:r>
        <w:rPr>
          <w:rStyle w:val="22"/>
          <w:rFonts w:hint="eastAsia" w:ascii="仿宋_GB2312" w:hAnsi="仿宋" w:eastAsia="仿宋_GB2312"/>
          <w:lang w:val="en-US" w:eastAsia="zh-CN"/>
        </w:rPr>
        <w:t>419.28</w:t>
      </w:r>
      <w:r>
        <w:rPr>
          <w:rStyle w:val="21"/>
          <w:rFonts w:hint="default" w:hAnsi="仿宋"/>
        </w:rPr>
        <w:t>万元，占</w:t>
      </w:r>
      <w:r>
        <w:rPr>
          <w:rStyle w:val="22"/>
          <w:rFonts w:hint="eastAsia" w:ascii="仿宋_GB2312" w:hAnsi="仿宋" w:eastAsia="仿宋_GB2312"/>
          <w:lang w:val="en-US" w:eastAsia="zh-CN"/>
        </w:rPr>
        <w:t>100</w:t>
      </w:r>
      <w:r>
        <w:rPr>
          <w:rStyle w:val="22"/>
          <w:rFonts w:hint="eastAsia" w:ascii="仿宋_GB2312" w:hAnsi="仿宋" w:eastAsia="仿宋_GB2312"/>
        </w:rPr>
        <w:t>%</w:t>
      </w:r>
      <w:r>
        <w:rPr>
          <w:rStyle w:val="21"/>
          <w:rFonts w:hint="default" w:hAnsi="仿宋"/>
        </w:rPr>
        <w:t>； 项目支出</w:t>
      </w:r>
      <w:r>
        <w:rPr>
          <w:rStyle w:val="21"/>
          <w:rFonts w:hint="eastAsia" w:hAnsi="仿宋" w:eastAsia="仿宋_GB2312"/>
          <w:lang w:val="en-US" w:eastAsia="zh-CN"/>
        </w:rPr>
        <w:t>0.00</w:t>
      </w:r>
      <w:r>
        <w:rPr>
          <w:rStyle w:val="21"/>
          <w:rFonts w:hint="default" w:hAnsi="仿宋"/>
        </w:rPr>
        <w:t>万元，占</w:t>
      </w:r>
      <w:r>
        <w:rPr>
          <w:rStyle w:val="22"/>
          <w:rFonts w:hint="eastAsia" w:ascii="仿宋_GB2312" w:hAnsi="仿宋" w:eastAsia="仿宋_GB2312"/>
          <w:lang w:val="en-US" w:eastAsia="zh-CN"/>
        </w:rPr>
        <w:t>0.00</w:t>
      </w:r>
      <w:r>
        <w:rPr>
          <w:rStyle w:val="22"/>
          <w:rFonts w:hint="eastAsia" w:ascii="仿宋_GB2312" w:hAnsi="仿宋" w:eastAsia="仿宋_GB2312"/>
        </w:rPr>
        <w:t>%</w:t>
      </w:r>
      <w:r>
        <w:rPr>
          <w:rStyle w:val="21"/>
          <w:rFonts w:hint="default" w:hAnsi="仿宋"/>
        </w:rPr>
        <w:t>； 上年结转</w:t>
      </w:r>
      <w:r>
        <w:rPr>
          <w:rStyle w:val="22"/>
          <w:rFonts w:hint="eastAsia" w:ascii="仿宋_GB2312" w:hAnsi="仿宋" w:eastAsia="仿宋_GB2312"/>
          <w:lang w:val="en-US" w:eastAsia="zh-CN"/>
        </w:rPr>
        <w:t>0.00</w:t>
      </w:r>
      <w:r>
        <w:rPr>
          <w:rStyle w:val="21"/>
          <w:rFonts w:hint="default" w:hAnsi="仿宋"/>
        </w:rPr>
        <w:t>万元， 占</w:t>
      </w:r>
      <w:r>
        <w:rPr>
          <w:rStyle w:val="21"/>
          <w:rFonts w:hint="eastAsia" w:hAnsi="仿宋" w:eastAsia="仿宋_GB2312"/>
          <w:lang w:val="en-US" w:eastAsia="zh-CN"/>
        </w:rPr>
        <w:t>0.00</w:t>
      </w:r>
      <w:r>
        <w:rPr>
          <w:rStyle w:val="22"/>
          <w:rFonts w:hint="eastAsia" w:ascii="仿宋_GB2312" w:hAnsi="仿宋" w:eastAsia="仿宋_GB2312"/>
        </w:rPr>
        <w:t>%</w:t>
      </w:r>
      <w:r>
        <w:rPr>
          <w:rStyle w:val="21"/>
          <w:rFonts w:hint="default" w:hAnsi="仿宋"/>
        </w:rPr>
        <w:t>。</w:t>
      </w:r>
    </w:p>
    <w:p w14:paraId="7D7ADD5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0F3C656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Style w:val="22"/>
          <w:rFonts w:hint="eastAsia" w:ascii="仿宋_GB2312" w:hAnsi="仿宋" w:eastAsia="仿宋_GB2312"/>
          <w:lang w:eastAsia="zh-CN"/>
        </w:rPr>
        <w:t>202</w:t>
      </w:r>
      <w:r>
        <w:rPr>
          <w:rStyle w:val="22"/>
          <w:rFonts w:hint="default" w:ascii="仿宋_GB2312" w:hAnsi="仿宋" w:eastAsia="仿宋_GB2312"/>
          <w:lang w:val="en-US" w:eastAsia="zh-CN"/>
        </w:rPr>
        <w:t>6</w:t>
      </w:r>
      <w:r>
        <w:rPr>
          <w:rStyle w:val="21"/>
          <w:rFonts w:hint="default" w:hAnsi="仿宋"/>
        </w:rPr>
        <w:t>年一般公共预算当年支出</w:t>
      </w:r>
      <w:r>
        <w:rPr>
          <w:rStyle w:val="22"/>
          <w:rFonts w:hint="eastAsia" w:ascii="仿宋_GB2312" w:hAnsi="仿宋" w:eastAsia="仿宋_GB2312"/>
          <w:lang w:val="en-US" w:eastAsia="zh-CN"/>
        </w:rPr>
        <w:t>419.28</w:t>
      </w:r>
      <w:r>
        <w:rPr>
          <w:rStyle w:val="21"/>
          <w:rFonts w:hint="default" w:hAnsi="仿宋"/>
        </w:rPr>
        <w:t>万元，包括：一般公共服务支出</w:t>
      </w:r>
      <w:r>
        <w:rPr>
          <w:rStyle w:val="22"/>
          <w:rFonts w:hint="eastAsia" w:ascii="仿宋_GB2312" w:hAnsi="仿宋" w:eastAsia="仿宋_GB2312"/>
          <w:lang w:val="en-US" w:eastAsia="zh-CN"/>
        </w:rPr>
        <w:t>0.00</w:t>
      </w:r>
      <w:r>
        <w:rPr>
          <w:rStyle w:val="21"/>
          <w:rFonts w:hint="default" w:hAnsi="仿宋"/>
        </w:rPr>
        <w:t>万元、公共安全支出</w:t>
      </w:r>
      <w:r>
        <w:rPr>
          <w:rStyle w:val="22"/>
          <w:rFonts w:hint="eastAsia" w:ascii="仿宋_GB2312" w:hAnsi="仿宋" w:eastAsia="仿宋_GB2312"/>
          <w:lang w:val="en-US" w:eastAsia="zh-CN"/>
        </w:rPr>
        <w:t>0.00</w:t>
      </w:r>
      <w:r>
        <w:rPr>
          <w:rStyle w:val="21"/>
          <w:rFonts w:hint="default" w:hAnsi="仿宋"/>
        </w:rPr>
        <w:t>万元、教育支出</w:t>
      </w:r>
      <w:r>
        <w:rPr>
          <w:rStyle w:val="22"/>
          <w:rFonts w:hint="eastAsia" w:ascii="仿宋_GB2312" w:hAnsi="仿宋" w:eastAsia="仿宋_GB2312"/>
          <w:lang w:val="en-US" w:eastAsia="zh-CN"/>
        </w:rPr>
        <w:t>304.67</w:t>
      </w:r>
      <w:r>
        <w:rPr>
          <w:rStyle w:val="21"/>
          <w:rFonts w:hint="default" w:hAnsi="仿宋"/>
        </w:rPr>
        <w:t>万元、科学技术支出</w:t>
      </w:r>
      <w:r>
        <w:rPr>
          <w:rStyle w:val="22"/>
          <w:rFonts w:hint="eastAsia" w:ascii="仿宋_GB2312" w:hAnsi="仿宋" w:eastAsia="仿宋_GB2312"/>
          <w:lang w:val="en-US" w:eastAsia="zh-CN"/>
        </w:rPr>
        <w:t>0.00</w:t>
      </w:r>
      <w:r>
        <w:rPr>
          <w:rStyle w:val="21"/>
          <w:rFonts w:hint="default" w:hAnsi="仿宋"/>
        </w:rPr>
        <w:t>万元、社会保障和就业支出</w:t>
      </w:r>
      <w:r>
        <w:rPr>
          <w:rStyle w:val="22"/>
          <w:rFonts w:hint="eastAsia" w:ascii="仿宋_GB2312" w:hAnsi="仿宋" w:eastAsia="仿宋_GB2312"/>
          <w:lang w:val="en-US" w:eastAsia="zh-CN"/>
        </w:rPr>
        <w:t>63.79</w:t>
      </w:r>
      <w:r>
        <w:rPr>
          <w:rStyle w:val="21"/>
          <w:rFonts w:hint="default" w:hAnsi="仿宋"/>
        </w:rPr>
        <w:t>万元、其他支出</w:t>
      </w:r>
      <w:r>
        <w:rPr>
          <w:rStyle w:val="22"/>
          <w:rFonts w:hint="eastAsia" w:ascii="仿宋_GB2312" w:hAnsi="仿宋" w:eastAsia="仿宋_GB2312"/>
          <w:lang w:val="en-US" w:eastAsia="zh-CN"/>
        </w:rPr>
        <w:t>0.00</w:t>
      </w:r>
      <w:r>
        <w:rPr>
          <w:rStyle w:val="21"/>
          <w:rFonts w:hint="default" w:hAnsi="仿宋"/>
        </w:rPr>
        <w:t>万元。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（详见部门（单位）预算公开表4,5,6,7）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59725234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1AE41538">
      <w:pPr>
        <w:widowControl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419.28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79.62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15.96</w:t>
      </w:r>
      <w:r>
        <w:rPr>
          <w:rFonts w:hint="eastAsia" w:ascii="仿宋_GB2312" w:hAnsi="仿宋" w:eastAsia="仿宋_GB2312"/>
          <w:sz w:val="32"/>
          <w:szCs w:val="32"/>
        </w:rPr>
        <w:t>%，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减少</w:t>
      </w:r>
      <w:r>
        <w:rPr>
          <w:rFonts w:hint="eastAsia" w:ascii="仿宋_GB2312" w:hAnsi="仿宋" w:eastAsia="仿宋_GB2312"/>
          <w:sz w:val="32"/>
          <w:szCs w:val="32"/>
        </w:rPr>
        <w:t>的主要原因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人员调动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。</w:t>
      </w:r>
    </w:p>
    <w:p w14:paraId="7088349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410.71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、津贴补贴、奖金、伙食补助费、绩效工资、机关事业单位基本养老保险缴费、职业年金缴费、职工基本医疗保险缴费、公务员医疗补助缴费、其他社会保障缴费、住房公积金、医疗费、其他工资福利支出、离休费、退休费、退职（役）费、抚恤金、生活补助、救济费、医疗费补助、助学金、奖励金、个人农业生产补贴、代缴社会保险费 、其他对个人和家庭的补助等。</w:t>
      </w:r>
    </w:p>
    <w:p w14:paraId="5167C9C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8.57</w:t>
      </w:r>
      <w:r>
        <w:rPr>
          <w:rFonts w:hint="eastAsia" w:ascii="仿宋_GB2312" w:hAnsi="仿宋" w:eastAsia="仿宋_GB2312"/>
          <w:sz w:val="32"/>
          <w:szCs w:val="32"/>
        </w:rPr>
        <w:t>万元，主要包括：办公费、印刷费、咨询费、手续费、水费、电费、邮电费、取暖费、物业管理费、差旅费、因公出国（境）费、维修（护）费、租赁费、会议费、培训费、公务接待费、专用材料费、被装购置费、专用燃料费、劳务费、委托业务费、工会经费、福利费、公务用车运行维护费、其他交通费用、税金及附加费用、其他商品和服务支出、办公设备购置、专用设备购置等。</w:t>
      </w:r>
    </w:p>
    <w:p w14:paraId="47B7981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7F9FE692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</w:rPr>
        <w:t>万元，增长（减少）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</w:rPr>
        <w:t>%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50CA5CE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刚性支出项目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2DD7CC2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部门专项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2CA5B85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 w14:paraId="4AA0BD6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1.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教育支出</w:t>
      </w:r>
      <w:r>
        <w:rPr>
          <w:rFonts w:hint="eastAsia" w:ascii="仿宋_GB2312" w:eastAsia="仿宋_GB2312"/>
          <w:color w:val="000000"/>
          <w:sz w:val="32"/>
          <w:szCs w:val="32"/>
        </w:rPr>
        <w:t>（类）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普通教育</w:t>
      </w:r>
      <w:r>
        <w:rPr>
          <w:rFonts w:hint="eastAsia" w:ascii="仿宋_GB2312" w:eastAsia="仿宋_GB2312"/>
          <w:color w:val="000000"/>
          <w:sz w:val="32"/>
          <w:szCs w:val="32"/>
        </w:rPr>
        <w:t>（款）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初中教育</w:t>
      </w:r>
      <w:r>
        <w:rPr>
          <w:rFonts w:hint="eastAsia" w:ascii="仿宋_GB2312" w:eastAsia="仿宋_GB2312"/>
          <w:color w:val="000000"/>
          <w:sz w:val="32"/>
          <w:szCs w:val="32"/>
        </w:rPr>
        <w:t>（项）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304.67</w:t>
      </w:r>
      <w:r>
        <w:rPr>
          <w:rFonts w:hint="eastAsia" w:ascii="仿宋_GB2312" w:eastAsia="仿宋_GB2312"/>
          <w:color w:val="000000"/>
          <w:sz w:val="32"/>
          <w:szCs w:val="32"/>
        </w:rPr>
        <w:t>万元，比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减少56.65</w:t>
      </w:r>
      <w:r>
        <w:rPr>
          <w:rFonts w:hint="eastAsia" w:ascii="仿宋_GB2312" w:eastAsia="仿宋_GB2312"/>
          <w:color w:val="000000"/>
          <w:sz w:val="32"/>
          <w:szCs w:val="32"/>
        </w:rPr>
        <w:t>万元，主要原因是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人员调动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 w14:paraId="78D8100D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2.社会保障和就业支出（类）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行政事业单位养老支出</w:t>
      </w:r>
      <w:r>
        <w:rPr>
          <w:rFonts w:hint="eastAsia" w:ascii="仿宋_GB2312" w:eastAsia="仿宋_GB2312"/>
          <w:color w:val="000000"/>
          <w:sz w:val="32"/>
          <w:szCs w:val="32"/>
        </w:rPr>
        <w:t>（款）机关事业单位基本养老保险缴费支出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、机关事业单位职业年金缴费支出</w:t>
      </w:r>
      <w:r>
        <w:rPr>
          <w:rFonts w:hint="eastAsia" w:ascii="仿宋_GB2312" w:eastAsia="仿宋_GB2312"/>
          <w:color w:val="000000"/>
          <w:sz w:val="32"/>
          <w:szCs w:val="32"/>
        </w:rPr>
        <w:t>（项）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60.69</w:t>
      </w:r>
      <w:r>
        <w:rPr>
          <w:rFonts w:hint="eastAsia" w:ascii="仿宋_GB2312" w:eastAsia="仿宋_GB2312"/>
          <w:color w:val="000000"/>
          <w:sz w:val="32"/>
          <w:szCs w:val="32"/>
        </w:rPr>
        <w:t>万元，比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减少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10.47</w:t>
      </w:r>
      <w:r>
        <w:rPr>
          <w:rFonts w:hint="eastAsia" w:ascii="仿宋_GB2312" w:eastAsia="仿宋_GB2312"/>
          <w:color w:val="000000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减少</w:t>
      </w:r>
      <w:r>
        <w:rPr>
          <w:rFonts w:hint="eastAsia" w:ascii="仿宋_GB2312" w:hAnsi="仿宋" w:eastAsia="仿宋_GB2312"/>
          <w:sz w:val="32"/>
          <w:szCs w:val="32"/>
        </w:rPr>
        <w:t>的主要原因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人员调动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 w14:paraId="7E82F92F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3.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卫生健康支出</w:t>
      </w:r>
      <w:r>
        <w:rPr>
          <w:rFonts w:hint="eastAsia" w:ascii="仿宋_GB2312" w:eastAsia="仿宋_GB2312"/>
          <w:color w:val="000000"/>
          <w:sz w:val="32"/>
          <w:szCs w:val="32"/>
        </w:rPr>
        <w:t>（类）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行政事业单位医疗</w:t>
      </w:r>
      <w:r>
        <w:rPr>
          <w:rFonts w:hint="eastAsia" w:ascii="仿宋_GB2312" w:eastAsia="仿宋_GB2312"/>
          <w:color w:val="000000"/>
          <w:sz w:val="32"/>
          <w:szCs w:val="32"/>
        </w:rPr>
        <w:t>（款）事业单位医疗（项）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20.01</w:t>
      </w:r>
      <w:r>
        <w:rPr>
          <w:rFonts w:hint="eastAsia" w:ascii="仿宋_GB2312" w:eastAsia="仿宋_GB2312"/>
          <w:color w:val="000000"/>
          <w:sz w:val="32"/>
          <w:szCs w:val="32"/>
        </w:rPr>
        <w:t>万元，比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color w:val="000000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减少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3.89</w:t>
      </w:r>
      <w:r>
        <w:rPr>
          <w:rFonts w:hint="eastAsia" w:ascii="仿宋_GB2312" w:eastAsia="仿宋_GB2312"/>
          <w:color w:val="000000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减少</w:t>
      </w:r>
      <w:r>
        <w:rPr>
          <w:rFonts w:hint="eastAsia" w:ascii="仿宋_GB2312" w:hAnsi="仿宋" w:eastAsia="仿宋_GB2312"/>
          <w:sz w:val="32"/>
          <w:szCs w:val="32"/>
        </w:rPr>
        <w:t>的主要原因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人员调动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 w14:paraId="2E53124E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4.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住房保障支出</w:t>
      </w:r>
      <w:r>
        <w:rPr>
          <w:rFonts w:hint="eastAsia" w:ascii="仿宋_GB2312" w:eastAsia="仿宋_GB2312"/>
          <w:color w:val="000000"/>
          <w:sz w:val="32"/>
          <w:szCs w:val="32"/>
        </w:rPr>
        <w:t>（类）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住房改革支出</w:t>
      </w:r>
      <w:r>
        <w:rPr>
          <w:rFonts w:hint="eastAsia" w:ascii="仿宋_GB2312" w:eastAsia="仿宋_GB2312"/>
          <w:color w:val="000000"/>
          <w:sz w:val="32"/>
          <w:szCs w:val="32"/>
        </w:rPr>
        <w:t>（款）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住房公积金</w:t>
      </w:r>
      <w:r>
        <w:rPr>
          <w:rFonts w:hint="eastAsia" w:ascii="仿宋_GB2312" w:eastAsia="仿宋_GB2312"/>
          <w:color w:val="000000"/>
          <w:sz w:val="32"/>
          <w:szCs w:val="32"/>
        </w:rPr>
        <w:t>（项）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29.8</w:t>
      </w:r>
      <w:r>
        <w:rPr>
          <w:rFonts w:hint="eastAsia" w:ascii="仿宋_GB2312" w:eastAsia="仿宋_GB2312"/>
          <w:color w:val="000000"/>
          <w:sz w:val="32"/>
          <w:szCs w:val="32"/>
        </w:rPr>
        <w:t>万元，比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color w:val="000000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减少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5.09</w:t>
      </w:r>
      <w:r>
        <w:rPr>
          <w:rFonts w:hint="eastAsia" w:ascii="仿宋_GB2312" w:eastAsia="仿宋_GB2312"/>
          <w:color w:val="000000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减少</w:t>
      </w:r>
      <w:r>
        <w:rPr>
          <w:rFonts w:hint="eastAsia" w:ascii="仿宋_GB2312" w:hAnsi="仿宋" w:eastAsia="仿宋_GB2312"/>
          <w:sz w:val="32"/>
          <w:szCs w:val="32"/>
        </w:rPr>
        <w:t>的主要原因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人员调动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 w14:paraId="0A65071F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1A1EA64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0884110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本单位无“三公”经费预算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3C18502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 w14:paraId="297F7CA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本单位无培训费预算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27BFF129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 w14:paraId="37F06027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本单位无会议费预算。</w:t>
      </w:r>
    </w:p>
    <w:p w14:paraId="7D35BB7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0092D102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本单位无</w:t>
      </w:r>
      <w:r>
        <w:rPr>
          <w:rFonts w:hint="eastAsia" w:ascii="仿宋_GB2312" w:hAnsi="仿宋" w:eastAsia="仿宋_GB2312"/>
          <w:sz w:val="32"/>
          <w:szCs w:val="32"/>
        </w:rPr>
        <w:t>机关运行经费。</w:t>
      </w:r>
    </w:p>
    <w:p w14:paraId="57B4FFA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73FD1C8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年，部门（单位）政府采购预算总额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2.95</w:t>
      </w:r>
      <w:r>
        <w:rPr>
          <w:rFonts w:hint="eastAsia" w:ascii="仿宋_GB2312" w:hAnsi="仿宋" w:eastAsia="仿宋_GB2312"/>
          <w:sz w:val="32"/>
          <w:szCs w:val="32"/>
        </w:rPr>
        <w:t>万元，其中：政府采购货物预算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2.95</w:t>
      </w:r>
      <w:r>
        <w:rPr>
          <w:rFonts w:hint="eastAsia" w:ascii="仿宋_GB2312" w:hAnsi="仿宋" w:eastAsia="仿宋_GB2312"/>
          <w:sz w:val="32"/>
          <w:szCs w:val="32"/>
        </w:rPr>
        <w:t>万元，政府采购工程预算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</w:rPr>
        <w:t>万元，政府采购服务预算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51697EF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 xml:space="preserve">年，部门（单位）面向中小企业预留政府采购项目预算金额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</w:rPr>
        <w:t>万元，小微企业预留政府采购项目预算金额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2.95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6A193527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7051FEC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1012.465189</w:t>
      </w:r>
      <w:r>
        <w:rPr>
          <w:rFonts w:hint="eastAsia" w:ascii="仿宋_GB2312" w:hAnsi="仿宋" w:eastAsia="仿宋_GB2312"/>
          <w:sz w:val="32"/>
          <w:szCs w:val="32"/>
        </w:rPr>
        <w:t>万元。其中：办公用房3953.54平方米，价值1011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" w:eastAsia="仿宋_GB2312"/>
          <w:sz w:val="32"/>
          <w:szCs w:val="32"/>
        </w:rPr>
        <w:t>080629万元。预算部门（单位）共有公务用车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</w:rPr>
        <w:t>辆，价值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</w:rPr>
        <w:t>万元。单价20万元以上的设备价值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年拟采购固定资产约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4AAB33A2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4B4945E4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3D30898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未安排预算，政府性基金预算支出情况表为空表。</w:t>
      </w:r>
    </w:p>
    <w:p w14:paraId="792B6F0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0C54ABC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9CA2645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4703C47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本单位年初预算未安排项目支出，无重点项目说明。</w:t>
      </w:r>
    </w:p>
    <w:p w14:paraId="51BD7EB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5F6CF6A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未安排预算，单位管理转移支付表为空表。</w:t>
      </w:r>
    </w:p>
    <w:p w14:paraId="57061121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1565C8A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 w14:paraId="1ED9B13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1C62EBE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5B5CCF1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545CA32B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整体支出和项目绩效目标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个，按规定随年度预算一并公开项目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58BC8623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月，组织开展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1-6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/>
          <w:sz w:val="32"/>
          <w:szCs w:val="32"/>
        </w:rPr>
        <w:t>个，占本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%。截至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%。“双监控”发现存在的问题和主要原因是：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资金支付率低</w:t>
      </w:r>
      <w:r>
        <w:rPr>
          <w:rFonts w:hint="eastAsia" w:ascii="仿宋_GB2312" w:hAnsi="仿宋" w:eastAsia="仿宋_GB2312"/>
          <w:sz w:val="32"/>
          <w:szCs w:val="32"/>
        </w:rPr>
        <w:t>。开展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1-9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/>
          <w:sz w:val="32"/>
          <w:szCs w:val="32"/>
        </w:rPr>
        <w:t>个，占本部门（单位）项目的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%。截至10月底，如期完成预算执行和绩效目标指标值的项目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%。“双监控”发现存在的问题和主要原因是：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>。绩效运行监控在部门内部通报整改情况：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34CF0D6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个，其中，部门（单位）整体支出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个，项目支出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个，转移支付项目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个，绩效自评覆盖率为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%。绩效自评结果随部门决算报送财政和随决算公开情况：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及时公开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1B5CB531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年度增加（减少）部门预算项目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个，增长率/压减率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%。同时对政策和项目资金管理作出调整的 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7067FDF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5ED3C40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年，纳入部门/单位预算绩效目标管理的项目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个。其中，部门整体支出绩效目标围绕部门管理、履职效果、能力建设三个维度，设置二级指标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36</w:t>
      </w:r>
      <w:r>
        <w:rPr>
          <w:rFonts w:hint="eastAsia" w:ascii="仿宋_GB2312" w:hAnsi="仿宋" w:eastAsia="仿宋_GB2312"/>
          <w:sz w:val="32"/>
          <w:szCs w:val="32"/>
        </w:rPr>
        <w:t>个。各项绩效目标内容指向明确、细化量化、合理可行，符合规定的格式要求。</w:t>
      </w:r>
    </w:p>
    <w:p w14:paraId="1B6BE29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476EBD1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4CC6C57A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7908A71B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4CE172D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6D5803A7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696C919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3E4D9AA1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4CA7FF0F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18C50624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453FCEBD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7BF108C1">
      <w:pPr>
        <w:adjustRightInd w:val="0"/>
        <w:snapToGrid w:val="0"/>
        <w:spacing w:line="640" w:lineRule="exact"/>
        <w:ind w:right="96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华池县上里塬初级中学</w:t>
      </w:r>
    </w:p>
    <w:p w14:paraId="77E85168">
      <w:pPr>
        <w:adjustRightInd w:val="0"/>
        <w:snapToGrid w:val="0"/>
        <w:spacing w:line="640" w:lineRule="exact"/>
        <w:ind w:right="1120"/>
        <w:contextualSpacing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月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日</w:t>
      </w:r>
    </w:p>
    <w:p w14:paraId="104DAE91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 w14:paraId="0358EE45">
      <w:pPr>
        <w:adjustRightInd w:val="0"/>
        <w:snapToGrid w:val="0"/>
        <w:spacing w:line="640" w:lineRule="exact"/>
        <w:ind w:right="960"/>
        <w:contextualSpacing/>
        <w:jc w:val="center"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华池县上里塬初级中学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 w14:paraId="4E90257E">
      <w:pPr>
        <w:adjustRightInd w:val="0"/>
        <w:snapToGrid w:val="0"/>
        <w:spacing w:line="640" w:lineRule="exact"/>
        <w:ind w:left="1796" w:leftChars="767" w:hanging="185" w:hangingChars="58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华池县上里塬初级中学</w:t>
      </w:r>
      <w:bookmarkStart w:id="0" w:name="_GoBack"/>
      <w:bookmarkEnd w:id="0"/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p w14:paraId="22DB4760">
      <w:pPr>
        <w:tabs>
          <w:tab w:val="left" w:pos="1272"/>
        </w:tabs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imesNewRomanPS-BoldMT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BF69E">
    <w:pPr>
      <w:pStyle w:val="5"/>
      <w:jc w:val="center"/>
    </w:pPr>
  </w:p>
  <w:p w14:paraId="18AFAB9B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1810C1F"/>
    <w:rsid w:val="02E03DF9"/>
    <w:rsid w:val="090666F2"/>
    <w:rsid w:val="0A373CCF"/>
    <w:rsid w:val="113741D2"/>
    <w:rsid w:val="18330BA7"/>
    <w:rsid w:val="1D34261E"/>
    <w:rsid w:val="2B8F6595"/>
    <w:rsid w:val="2E3026F6"/>
    <w:rsid w:val="38DF51C6"/>
    <w:rsid w:val="40731D97"/>
    <w:rsid w:val="42A05423"/>
    <w:rsid w:val="4C433C79"/>
    <w:rsid w:val="527E074E"/>
    <w:rsid w:val="56393C72"/>
    <w:rsid w:val="579503FF"/>
    <w:rsid w:val="60535296"/>
    <w:rsid w:val="647B7A37"/>
    <w:rsid w:val="679F41D8"/>
    <w:rsid w:val="72FD2525"/>
    <w:rsid w:val="76433BA8"/>
    <w:rsid w:val="77E73B62"/>
    <w:rsid w:val="78106856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autoRedefine/>
    <w:qFormat/>
    <w:uiPriority w:val="0"/>
    <w:pPr>
      <w:jc w:val="left"/>
    </w:pPr>
  </w:style>
  <w:style w:type="paragraph" w:styleId="4">
    <w:name w:val="Balloon Text"/>
    <w:basedOn w:val="1"/>
    <w:link w:val="16"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annotation subject"/>
    <w:basedOn w:val="3"/>
    <w:next w:val="3"/>
    <w:link w:val="20"/>
    <w:autoRedefine/>
    <w:qFormat/>
    <w:uiPriority w:val="0"/>
    <w:rPr>
      <w:b/>
      <w:bCs/>
    </w:rPr>
  </w:style>
  <w:style w:type="character" w:styleId="11">
    <w:name w:val="line number"/>
    <w:autoRedefine/>
    <w:qFormat/>
    <w:uiPriority w:val="0"/>
  </w:style>
  <w:style w:type="character" w:styleId="12">
    <w:name w:val="annotation reference"/>
    <w:autoRedefine/>
    <w:qFormat/>
    <w:uiPriority w:val="0"/>
    <w:rPr>
      <w:sz w:val="21"/>
      <w:szCs w:val="21"/>
    </w:rPr>
  </w:style>
  <w:style w:type="character" w:customStyle="1" w:styleId="13">
    <w:name w:val="页脚 Char"/>
    <w:link w:val="5"/>
    <w:qFormat/>
    <w:uiPriority w:val="0"/>
    <w:rPr>
      <w:sz w:val="18"/>
      <w:szCs w:val="18"/>
    </w:rPr>
  </w:style>
  <w:style w:type="character" w:customStyle="1" w:styleId="14">
    <w:name w:val="页眉 Char"/>
    <w:link w:val="6"/>
    <w:autoRedefine/>
    <w:qFormat/>
    <w:uiPriority w:val="0"/>
    <w:rPr>
      <w:sz w:val="18"/>
      <w:szCs w:val="18"/>
    </w:rPr>
  </w:style>
  <w:style w:type="paragraph" w:styleId="15">
    <w:name w:val="List Paragraph"/>
    <w:basedOn w:val="1"/>
    <w:qFormat/>
    <w:uiPriority w:val="0"/>
    <w:pPr>
      <w:ind w:firstLine="420" w:firstLineChars="200"/>
    </w:pPr>
  </w:style>
  <w:style w:type="character" w:customStyle="1" w:styleId="16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7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8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9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20">
    <w:name w:val="批注主题 Char"/>
    <w:link w:val="8"/>
    <w:qFormat/>
    <w:uiPriority w:val="0"/>
    <w:rPr>
      <w:b/>
      <w:bCs/>
      <w:kern w:val="2"/>
      <w:sz w:val="21"/>
      <w:szCs w:val="22"/>
    </w:rPr>
  </w:style>
  <w:style w:type="character" w:customStyle="1" w:styleId="21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2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3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4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11</Pages>
  <Words>3916</Words>
  <Characters>4274</Characters>
  <Lines>68</Lines>
  <Paragraphs>19</Paragraphs>
  <TotalTime>11</TotalTime>
  <ScaleCrop>false</ScaleCrop>
  <LinksUpToDate>false</LinksUpToDate>
  <CharactersWithSpaces>4295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WPS_1602082341</cp:lastModifiedBy>
  <cp:lastPrinted>2022-02-15T15:45:00Z</cp:lastPrinted>
  <dcterms:modified xsi:type="dcterms:W3CDTF">2026-03-12T13:28:46Z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64B37F1A3B7542EB8C7E95CCE5F2CF29_13</vt:lpwstr>
  </property>
  <property fmtid="{D5CDD505-2E9C-101B-9397-08002B2CF9AE}" pid="4" name="KSOTemplateDocerSaveRecord">
    <vt:lpwstr>eyJoZGlkIjoiZjU3OWJlOTg5YTMzYzEwZjBmYTFjMWE1NDRkNzMxNDYiLCJ1c2VySWQiOiIxMTI4MzEzMjQ5In0=</vt:lpwstr>
  </property>
</Properties>
</file>