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397D9">
      <w:pPr>
        <w:spacing w:line="660" w:lineRule="exact"/>
        <w:jc w:val="center"/>
        <w:rPr>
          <w:rFonts w:hint="eastAsia" w:ascii="宋体" w:hAnsi="宋体" w:eastAsia="宋体" w:cs="宋体"/>
          <w:b/>
          <w:bCs/>
          <w:kern w:val="0"/>
          <w:sz w:val="44"/>
          <w:szCs w:val="44"/>
          <w:lang w:val="en-US" w:eastAsia="zh-CN" w:bidi="ar-SA"/>
        </w:rPr>
      </w:pPr>
    </w:p>
    <w:p w14:paraId="013591D8">
      <w:pPr>
        <w:spacing w:line="660" w:lineRule="exact"/>
        <w:jc w:val="center"/>
        <w:rPr>
          <w:rFonts w:hint="eastAsia" w:ascii="方正公文小标宋" w:hAnsi="方正公文小标宋" w:eastAsia="方正公文小标宋" w:cs="方正公文小标宋"/>
          <w:b w:val="0"/>
          <w:bCs w:val="0"/>
          <w:sz w:val="44"/>
          <w:szCs w:val="44"/>
        </w:rPr>
      </w:pPr>
      <w:r>
        <w:rPr>
          <w:rFonts w:hint="eastAsia" w:ascii="方正公文小标宋" w:hAnsi="方正公文小标宋" w:eastAsia="方正公文小标宋" w:cs="方正公文小标宋"/>
          <w:b w:val="0"/>
          <w:bCs w:val="0"/>
          <w:kern w:val="0"/>
          <w:sz w:val="44"/>
          <w:szCs w:val="44"/>
          <w:lang w:val="en-US" w:eastAsia="zh-CN" w:bidi="ar-SA"/>
        </w:rPr>
        <w:t>华池县上堡子小学</w:t>
      </w:r>
    </w:p>
    <w:p w14:paraId="05F04674">
      <w:pPr>
        <w:spacing w:line="660" w:lineRule="exact"/>
        <w:jc w:val="center"/>
        <w:rPr>
          <w:b w:val="0"/>
          <w:bCs w:val="0"/>
        </w:rPr>
      </w:pPr>
      <w:r>
        <w:rPr>
          <w:rFonts w:hint="eastAsia" w:ascii="方正公文小标宋" w:hAnsi="方正公文小标宋" w:eastAsia="方正公文小标宋" w:cs="方正公文小标宋"/>
          <w:b w:val="0"/>
          <w:bCs w:val="0"/>
          <w:kern w:val="0"/>
          <w:sz w:val="44"/>
          <w:szCs w:val="44"/>
          <w:lang w:val="en-US" w:eastAsia="zh-CN" w:bidi="ar-SA"/>
        </w:rPr>
        <w:t>2026年单位预算公开情况说明</w:t>
      </w:r>
      <w:r>
        <w:rPr>
          <w:rFonts w:hint="eastAsia" w:ascii="宋体" w:hAnsi="宋体" w:eastAsia="宋体" w:cs="宋体"/>
          <w:b w:val="0"/>
          <w:bCs w:val="0"/>
          <w:kern w:val="0"/>
          <w:sz w:val="44"/>
          <w:szCs w:val="44"/>
          <w:lang w:val="en-US" w:eastAsia="zh-CN" w:bidi="ar-SA"/>
        </w:rPr>
        <w:t> </w:t>
      </w:r>
    </w:p>
    <w:p w14:paraId="09013FDA">
      <w:pPr>
        <w:spacing w:line="660" w:lineRule="exact"/>
        <w:jc w:val="center"/>
        <w:rPr>
          <w:rFonts w:hint="eastAsia" w:ascii="宋体" w:hAnsi="宋体" w:eastAsia="宋体" w:cs="宋体"/>
          <w:b/>
          <w:bCs/>
          <w:kern w:val="0"/>
          <w:sz w:val="44"/>
          <w:szCs w:val="44"/>
          <w:lang w:val="en-US" w:eastAsia="zh-CN" w:bidi="ar-SA"/>
        </w:rPr>
      </w:pPr>
    </w:p>
    <w:p w14:paraId="011B14FE">
      <w:pPr>
        <w:spacing w:line="660" w:lineRule="exact"/>
        <w:jc w:val="center"/>
        <w:rPr>
          <w:rFonts w:hint="eastAsia" w:ascii="宋体" w:hAnsi="宋体" w:eastAsia="宋体" w:cs="宋体"/>
          <w:b/>
          <w:bCs/>
          <w:kern w:val="0"/>
          <w:sz w:val="44"/>
          <w:szCs w:val="44"/>
          <w:lang w:val="en-US" w:eastAsia="zh-CN" w:bidi="ar-SA"/>
        </w:rPr>
      </w:pPr>
    </w:p>
    <w:p w14:paraId="225EEC74">
      <w:pPr>
        <w:spacing w:line="660" w:lineRule="exact"/>
        <w:jc w:val="center"/>
        <w:rPr>
          <w:rFonts w:hint="eastAsia" w:ascii="宋体" w:hAnsi="宋体" w:eastAsia="宋体" w:cs="宋体"/>
          <w:b/>
          <w:bCs/>
          <w:kern w:val="0"/>
          <w:sz w:val="44"/>
          <w:szCs w:val="44"/>
          <w:lang w:val="en-US" w:eastAsia="zh-CN" w:bidi="ar-SA"/>
        </w:rPr>
      </w:pPr>
    </w:p>
    <w:p w14:paraId="742F0F5B">
      <w:pPr>
        <w:spacing w:line="660" w:lineRule="exact"/>
        <w:jc w:val="center"/>
        <w:rPr>
          <w:rFonts w:hint="eastAsia" w:ascii="宋体" w:hAnsi="宋体" w:eastAsia="宋体" w:cs="宋体"/>
          <w:b/>
          <w:bCs/>
          <w:kern w:val="0"/>
          <w:sz w:val="44"/>
          <w:szCs w:val="44"/>
          <w:lang w:val="en-US" w:eastAsia="zh-CN" w:bidi="ar-SA"/>
        </w:rPr>
      </w:pPr>
    </w:p>
    <w:p w14:paraId="25A71792">
      <w:pPr>
        <w:spacing w:line="660" w:lineRule="exact"/>
        <w:jc w:val="center"/>
        <w:rPr>
          <w:rFonts w:hint="eastAsia" w:ascii="宋体" w:hAnsi="宋体" w:eastAsia="宋体" w:cs="宋体"/>
          <w:b/>
          <w:bCs/>
          <w:kern w:val="0"/>
          <w:sz w:val="44"/>
          <w:szCs w:val="44"/>
          <w:lang w:val="en-US" w:eastAsia="zh-CN" w:bidi="ar-SA"/>
        </w:rPr>
      </w:pPr>
    </w:p>
    <w:p w14:paraId="0C9D0F9B">
      <w:pPr>
        <w:spacing w:line="660" w:lineRule="exact"/>
        <w:jc w:val="center"/>
        <w:rPr>
          <w:rFonts w:hint="eastAsia" w:ascii="宋体" w:hAnsi="宋体" w:eastAsia="宋体" w:cs="宋体"/>
          <w:b/>
          <w:bCs/>
          <w:kern w:val="0"/>
          <w:sz w:val="44"/>
          <w:szCs w:val="44"/>
          <w:lang w:val="en-US" w:eastAsia="zh-CN" w:bidi="ar-SA"/>
        </w:rPr>
      </w:pPr>
    </w:p>
    <w:p w14:paraId="01D66F71">
      <w:pPr>
        <w:spacing w:line="660" w:lineRule="exact"/>
        <w:jc w:val="center"/>
        <w:rPr>
          <w:rFonts w:hint="eastAsia" w:ascii="宋体" w:hAnsi="宋体" w:eastAsia="宋体" w:cs="宋体"/>
          <w:b/>
          <w:bCs/>
          <w:kern w:val="0"/>
          <w:sz w:val="44"/>
          <w:szCs w:val="44"/>
          <w:lang w:val="en-US" w:eastAsia="zh-CN" w:bidi="ar-SA"/>
        </w:rPr>
      </w:pPr>
    </w:p>
    <w:p w14:paraId="1D2BEE62">
      <w:pPr>
        <w:spacing w:line="660" w:lineRule="exact"/>
        <w:jc w:val="center"/>
        <w:rPr>
          <w:rFonts w:hint="eastAsia" w:ascii="宋体" w:hAnsi="宋体" w:eastAsia="宋体" w:cs="宋体"/>
          <w:b/>
          <w:bCs/>
          <w:kern w:val="0"/>
          <w:sz w:val="44"/>
          <w:szCs w:val="44"/>
          <w:lang w:val="en-US" w:eastAsia="zh-CN" w:bidi="ar-SA"/>
        </w:rPr>
      </w:pPr>
    </w:p>
    <w:p w14:paraId="2F22E5B8">
      <w:pPr>
        <w:spacing w:line="660" w:lineRule="exact"/>
        <w:jc w:val="center"/>
        <w:rPr>
          <w:rFonts w:hint="eastAsia" w:ascii="宋体" w:hAnsi="宋体" w:eastAsia="宋体" w:cs="宋体"/>
          <w:b/>
          <w:bCs/>
          <w:kern w:val="0"/>
          <w:sz w:val="44"/>
          <w:szCs w:val="44"/>
          <w:lang w:val="en-US" w:eastAsia="zh-CN" w:bidi="ar-SA"/>
        </w:rPr>
      </w:pPr>
    </w:p>
    <w:p w14:paraId="6C872691">
      <w:pPr>
        <w:spacing w:line="660" w:lineRule="exact"/>
        <w:jc w:val="center"/>
        <w:rPr>
          <w:rFonts w:hint="eastAsia" w:ascii="宋体" w:hAnsi="宋体" w:eastAsia="宋体" w:cs="宋体"/>
          <w:b/>
          <w:bCs/>
          <w:kern w:val="0"/>
          <w:sz w:val="44"/>
          <w:szCs w:val="44"/>
          <w:lang w:val="en-US" w:eastAsia="zh-CN" w:bidi="ar-SA"/>
        </w:rPr>
      </w:pPr>
    </w:p>
    <w:p w14:paraId="34700357">
      <w:pPr>
        <w:spacing w:line="660" w:lineRule="exact"/>
        <w:jc w:val="center"/>
        <w:rPr>
          <w:rFonts w:hint="eastAsia" w:ascii="宋体" w:hAnsi="宋体" w:eastAsia="宋体" w:cs="宋体"/>
          <w:b/>
          <w:bCs/>
          <w:kern w:val="0"/>
          <w:sz w:val="44"/>
          <w:szCs w:val="44"/>
          <w:lang w:val="en-US" w:eastAsia="zh-CN" w:bidi="ar-SA"/>
        </w:rPr>
      </w:pPr>
    </w:p>
    <w:p w14:paraId="2E66A5F5">
      <w:pPr>
        <w:spacing w:line="660" w:lineRule="exact"/>
        <w:jc w:val="center"/>
        <w:rPr>
          <w:rFonts w:hint="eastAsia" w:ascii="宋体" w:hAnsi="宋体" w:eastAsia="宋体" w:cs="宋体"/>
          <w:b/>
          <w:bCs/>
          <w:kern w:val="0"/>
          <w:sz w:val="44"/>
          <w:szCs w:val="44"/>
          <w:lang w:val="en-US" w:eastAsia="zh-CN" w:bidi="ar-SA"/>
        </w:rPr>
      </w:pPr>
    </w:p>
    <w:p w14:paraId="05622F67">
      <w:pPr>
        <w:spacing w:line="660" w:lineRule="exact"/>
        <w:jc w:val="center"/>
        <w:rPr>
          <w:rFonts w:hint="eastAsia" w:ascii="宋体" w:hAnsi="宋体" w:eastAsia="宋体" w:cs="宋体"/>
          <w:b/>
          <w:bCs/>
          <w:kern w:val="0"/>
          <w:sz w:val="44"/>
          <w:szCs w:val="44"/>
          <w:lang w:val="en-US" w:eastAsia="zh-CN" w:bidi="ar-SA"/>
        </w:rPr>
      </w:pPr>
    </w:p>
    <w:p w14:paraId="4F7D38FF">
      <w:pPr>
        <w:spacing w:line="660" w:lineRule="exact"/>
        <w:jc w:val="center"/>
        <w:rPr>
          <w:rFonts w:hint="eastAsia" w:ascii="宋体" w:hAnsi="宋体" w:eastAsia="宋体" w:cs="宋体"/>
          <w:b/>
          <w:bCs/>
          <w:kern w:val="0"/>
          <w:sz w:val="44"/>
          <w:szCs w:val="44"/>
          <w:lang w:val="en-US" w:eastAsia="zh-CN" w:bidi="ar-SA"/>
        </w:rPr>
      </w:pPr>
    </w:p>
    <w:p w14:paraId="2778723F">
      <w:pPr>
        <w:spacing w:line="660" w:lineRule="exact"/>
        <w:jc w:val="center"/>
        <w:rPr>
          <w:rFonts w:hint="eastAsia" w:ascii="宋体" w:hAnsi="宋体" w:eastAsia="宋体" w:cs="宋体"/>
          <w:b/>
          <w:bCs/>
          <w:kern w:val="0"/>
          <w:sz w:val="44"/>
          <w:szCs w:val="44"/>
          <w:lang w:val="en-US" w:eastAsia="zh-CN" w:bidi="ar-SA"/>
        </w:rPr>
      </w:pPr>
    </w:p>
    <w:p w14:paraId="113F216D">
      <w:pPr>
        <w:spacing w:line="660" w:lineRule="exact"/>
        <w:jc w:val="center"/>
        <w:rPr>
          <w:rFonts w:hint="eastAsia" w:ascii="宋体" w:hAnsi="宋体" w:eastAsia="宋体" w:cs="宋体"/>
          <w:b/>
          <w:bCs/>
          <w:kern w:val="0"/>
          <w:sz w:val="44"/>
          <w:szCs w:val="44"/>
          <w:lang w:val="en-US" w:eastAsia="zh-CN" w:bidi="ar-SA"/>
        </w:rPr>
      </w:pPr>
    </w:p>
    <w:p w14:paraId="3F1CBD47">
      <w:pPr>
        <w:spacing w:line="660" w:lineRule="exact"/>
        <w:jc w:val="center"/>
        <w:rPr>
          <w:rFonts w:hint="eastAsia" w:ascii="宋体" w:hAnsi="宋体" w:eastAsia="宋体" w:cs="宋体"/>
          <w:b/>
          <w:bCs/>
          <w:kern w:val="0"/>
          <w:sz w:val="44"/>
          <w:szCs w:val="44"/>
          <w:lang w:val="en-US" w:eastAsia="zh-CN" w:bidi="ar-SA"/>
        </w:rPr>
      </w:pPr>
    </w:p>
    <w:p w14:paraId="4BC6BB5D">
      <w:pPr>
        <w:spacing w:line="660" w:lineRule="exact"/>
        <w:jc w:val="center"/>
        <w:rPr>
          <w:rFonts w:hint="eastAsia" w:ascii="宋体" w:hAnsi="宋体" w:eastAsia="宋体" w:cs="宋体"/>
          <w:b/>
          <w:bCs/>
          <w:kern w:val="0"/>
          <w:sz w:val="44"/>
          <w:szCs w:val="44"/>
          <w:lang w:val="en-US" w:eastAsia="zh-CN" w:bidi="ar-SA"/>
        </w:rPr>
      </w:pPr>
    </w:p>
    <w:p w14:paraId="69916927">
      <w:pPr>
        <w:spacing w:line="660" w:lineRule="exact"/>
        <w:jc w:val="center"/>
        <w:rPr>
          <w:rFonts w:hint="eastAsia" w:ascii="宋体" w:hAnsi="宋体" w:eastAsia="宋体" w:cs="宋体"/>
          <w:b/>
          <w:bCs/>
          <w:kern w:val="0"/>
          <w:sz w:val="44"/>
          <w:szCs w:val="44"/>
          <w:lang w:val="en-US" w:eastAsia="zh-CN" w:bidi="ar-SA"/>
        </w:rPr>
      </w:pPr>
    </w:p>
    <w:p w14:paraId="6043774E">
      <w:pPr>
        <w:spacing w:line="660" w:lineRule="exact"/>
        <w:jc w:val="center"/>
        <w:rPr>
          <w:b/>
          <w:bCs/>
        </w:rPr>
      </w:pPr>
      <w:r>
        <w:rPr>
          <w:rFonts w:hint="eastAsia" w:ascii="宋体" w:hAnsi="宋体" w:eastAsia="宋体" w:cs="宋体"/>
          <w:b/>
          <w:bCs/>
          <w:kern w:val="0"/>
          <w:sz w:val="44"/>
          <w:szCs w:val="44"/>
          <w:lang w:val="en-US" w:eastAsia="zh-CN" w:bidi="ar-SA"/>
        </w:rPr>
        <w:t>目  录</w:t>
      </w:r>
    </w:p>
    <w:p w14:paraId="6A0BE880">
      <w:pPr>
        <w:keepNext w:val="0"/>
        <w:keepLines w:val="0"/>
        <w:pageBreakBefore w:val="0"/>
        <w:widowControl w:val="0"/>
        <w:kinsoku/>
        <w:wordWrap/>
        <w:overflowPunct/>
        <w:topLinePunct w:val="0"/>
        <w:autoSpaceDE/>
        <w:autoSpaceDN/>
        <w:bidi w:val="0"/>
        <w:adjustRightInd/>
        <w:snapToGrid/>
        <w:spacing w:line="400" w:lineRule="exact"/>
        <w:ind w:firstLine="602" w:firstLineChars="200"/>
        <w:jc w:val="both"/>
        <w:textAlignment w:val="auto"/>
      </w:pPr>
      <w:r>
        <w:rPr>
          <w:rFonts w:hint="eastAsia" w:ascii="仿宋_GB2312" w:hAnsi="仿宋" w:eastAsia="仿宋_GB2312" w:cs="Times New Roman"/>
          <w:b/>
          <w:color w:val="000000"/>
          <w:kern w:val="2"/>
          <w:sz w:val="30"/>
          <w:szCs w:val="30"/>
          <w:lang w:val="en-US" w:eastAsia="zh-CN" w:bidi="ar-SA"/>
        </w:rPr>
        <w:t>第一部分 部门/单位基本概况</w:t>
      </w:r>
    </w:p>
    <w:p w14:paraId="1A47790B">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一、部门/单位职责</w:t>
      </w:r>
    </w:p>
    <w:p w14:paraId="190FF97F">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二、机构设置情况</w:t>
      </w:r>
    </w:p>
    <w:p w14:paraId="1EF6902B">
      <w:pPr>
        <w:keepNext w:val="0"/>
        <w:keepLines w:val="0"/>
        <w:pageBreakBefore w:val="0"/>
        <w:widowControl w:val="0"/>
        <w:kinsoku/>
        <w:wordWrap/>
        <w:overflowPunct/>
        <w:topLinePunct w:val="0"/>
        <w:autoSpaceDE/>
        <w:autoSpaceDN/>
        <w:bidi w:val="0"/>
        <w:adjustRightInd/>
        <w:snapToGrid/>
        <w:spacing w:line="400" w:lineRule="exact"/>
        <w:ind w:firstLine="602" w:firstLineChars="200"/>
        <w:jc w:val="both"/>
        <w:textAlignment w:val="auto"/>
      </w:pPr>
      <w:r>
        <w:rPr>
          <w:rFonts w:hint="eastAsia" w:ascii="仿宋_GB2312" w:hAnsi="仿宋" w:eastAsia="仿宋_GB2312" w:cs="Times New Roman"/>
          <w:b/>
          <w:color w:val="000000"/>
          <w:kern w:val="2"/>
          <w:sz w:val="30"/>
          <w:szCs w:val="30"/>
          <w:lang w:val="en-US" w:eastAsia="zh-CN" w:bidi="ar-SA"/>
        </w:rPr>
        <w:t>第二部分 2026年部门/单位预算情况说明</w:t>
      </w:r>
    </w:p>
    <w:p w14:paraId="15AE45A3">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三、收支总体情况</w:t>
      </w:r>
    </w:p>
    <w:p w14:paraId="17D542FB">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四、一般公共预算情况</w:t>
      </w:r>
    </w:p>
    <w:p w14:paraId="29C9BC21">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五、一般公共预算财政拨款“三公”经费、培训费、会议费等情况</w:t>
      </w:r>
    </w:p>
    <w:p w14:paraId="1A7DD9BD">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六、一般公共预算财政拨款机关运行经费情况</w:t>
      </w:r>
    </w:p>
    <w:p w14:paraId="20CDB472">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七、政府采购安排情况</w:t>
      </w:r>
    </w:p>
    <w:p w14:paraId="34D3F8C1">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八、国有资产占用情况</w:t>
      </w:r>
    </w:p>
    <w:p w14:paraId="2710DF51">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九、其他重要事项情况说明</w:t>
      </w:r>
    </w:p>
    <w:p w14:paraId="08DA8F88">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十、预算绩效管理情况</w:t>
      </w:r>
    </w:p>
    <w:p w14:paraId="685F86E4">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十一、名词解释</w:t>
      </w:r>
    </w:p>
    <w:p w14:paraId="6724A027">
      <w:pPr>
        <w:keepNext w:val="0"/>
        <w:keepLines w:val="0"/>
        <w:pageBreakBefore w:val="0"/>
        <w:widowControl w:val="0"/>
        <w:kinsoku/>
        <w:wordWrap/>
        <w:overflowPunct/>
        <w:topLinePunct w:val="0"/>
        <w:autoSpaceDE/>
        <w:autoSpaceDN/>
        <w:bidi w:val="0"/>
        <w:adjustRightInd/>
        <w:snapToGrid/>
        <w:spacing w:line="400" w:lineRule="exact"/>
        <w:ind w:firstLine="602" w:firstLineChars="200"/>
        <w:jc w:val="both"/>
        <w:textAlignment w:val="auto"/>
      </w:pPr>
      <w:r>
        <w:rPr>
          <w:rFonts w:hint="eastAsia" w:ascii="仿宋_GB2312" w:hAnsi="仿宋" w:eastAsia="仿宋_GB2312" w:cs="Times New Roman"/>
          <w:b/>
          <w:color w:val="000000"/>
          <w:kern w:val="2"/>
          <w:sz w:val="30"/>
          <w:szCs w:val="30"/>
          <w:lang w:val="en-US" w:eastAsia="zh-CN" w:bidi="ar-SA"/>
        </w:rPr>
        <w:t>第三部分 2026年部门（单位）预算公开表</w:t>
      </w:r>
    </w:p>
    <w:p w14:paraId="32653380">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一、部门/单位收支总体情况表</w:t>
      </w:r>
    </w:p>
    <w:p w14:paraId="01B8C455">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二、部门/单位收入总体情况表</w:t>
      </w:r>
    </w:p>
    <w:p w14:paraId="337FC0A6">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三、部门/单位支出总体情况表</w:t>
      </w:r>
    </w:p>
    <w:p w14:paraId="62834F62">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四、财政拨款收支总体情况表</w:t>
      </w:r>
    </w:p>
    <w:p w14:paraId="3AB7D49C">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五、财政拨款支出表</w:t>
      </w:r>
    </w:p>
    <w:p w14:paraId="40D30FC2">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六、一般公共预算支出情况表</w:t>
      </w:r>
    </w:p>
    <w:p w14:paraId="16D6535D">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七、一般公共预算基本支出情况表</w:t>
      </w:r>
    </w:p>
    <w:p w14:paraId="2771AE02">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八、一般公共预算财政拨款“三公”经费、会议费、培训费支出情况表</w:t>
      </w:r>
    </w:p>
    <w:p w14:paraId="12C3B979">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九、一般公共预算财政拨款机关运行经费表</w:t>
      </w:r>
    </w:p>
    <w:p w14:paraId="391BE725">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十、政府性基金预算支出情况表</w:t>
      </w:r>
    </w:p>
    <w:p w14:paraId="6DF5E3EC">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十一、部门管理转移支付表</w:t>
      </w:r>
    </w:p>
    <w:p w14:paraId="0CE13062">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十二、国有资本经营预算支出情况表</w:t>
      </w:r>
    </w:p>
    <w:p w14:paraId="25E2F0D0">
      <w:pPr>
        <w:spacing w:line="560" w:lineRule="exact"/>
        <w:ind w:firstLine="600" w:firstLineChars="200"/>
        <w:jc w:val="left"/>
      </w:pPr>
      <w:r>
        <w:rPr>
          <w:rFonts w:hint="eastAsia" w:ascii="仿宋_GB2312" w:hAnsi="仿宋" w:eastAsia="仿宋_GB2312" w:cs="Times New Roman"/>
          <w:color w:val="000000"/>
          <w:kern w:val="2"/>
          <w:sz w:val="30"/>
          <w:szCs w:val="30"/>
          <w:lang w:val="en-US" w:eastAsia="zh-CN" w:bidi="ar-SA"/>
        </w:rPr>
        <w:t>十三、部门/单位整体支出绩效目标表和项目支出绩效目标表</w:t>
      </w:r>
    </w:p>
    <w:p w14:paraId="0266DFAD">
      <w:pPr>
        <w:spacing w:line="660" w:lineRule="exact"/>
        <w:jc w:val="center"/>
      </w:pPr>
    </w:p>
    <w:p w14:paraId="1093974A">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3F728D1E">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36F6EB53">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16CBFB2F">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49DEF7EC">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2E7B3D8E">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172CE150">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0295860D">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6E3A1245">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5DFA24E9">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61862C8F">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7060F766">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06F4D9EB">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22A99E46">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2B8E3F9D">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787FA30F">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7B2A4E6E">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1F4234AD">
      <w:pPr>
        <w:spacing w:line="600" w:lineRule="exact"/>
        <w:ind w:firstLine="643" w:firstLineChars="200"/>
        <w:rPr>
          <w:rFonts w:hint="eastAsia" w:ascii="仿宋_GB2312" w:hAnsi="CIDFont+F4" w:eastAsia="仿宋_GB2312" w:cs="Times New Roman"/>
          <w:b/>
          <w:color w:val="000000"/>
          <w:kern w:val="2"/>
          <w:sz w:val="32"/>
          <w:szCs w:val="32"/>
          <w:lang w:val="en-US" w:eastAsia="zh-CN" w:bidi="ar-SA"/>
        </w:rPr>
      </w:pPr>
    </w:p>
    <w:p w14:paraId="2421A447">
      <w:pPr>
        <w:spacing w:line="600" w:lineRule="exact"/>
        <w:ind w:firstLine="643" w:firstLineChars="200"/>
      </w:pPr>
      <w:r>
        <w:rPr>
          <w:rFonts w:hint="eastAsia" w:ascii="仿宋_GB2312" w:hAnsi="CIDFont+F4" w:eastAsia="仿宋_GB2312" w:cs="Times New Roman"/>
          <w:b/>
          <w:color w:val="000000"/>
          <w:kern w:val="2"/>
          <w:sz w:val="32"/>
          <w:szCs w:val="32"/>
          <w:lang w:val="en-US" w:eastAsia="zh-CN" w:bidi="ar-SA"/>
        </w:rPr>
        <w:t>前言</w:t>
      </w:r>
    </w:p>
    <w:p w14:paraId="66801E82">
      <w:pPr>
        <w:spacing w:line="600" w:lineRule="exact"/>
        <w:ind w:firstLine="640" w:firstLineChars="200"/>
      </w:pPr>
      <w:r>
        <w:rPr>
          <w:rFonts w:hint="eastAsia" w:ascii="仿宋_GB2312" w:hAnsi="宋体" w:eastAsia="仿宋_GB2312" w:cs="宋体"/>
          <w:kern w:val="0"/>
          <w:sz w:val="32"/>
          <w:szCs w:val="32"/>
          <w:lang w:val="en-US" w:eastAsia="zh-CN" w:bidi="ar-SA"/>
        </w:rPr>
        <w:t>按照《中华人民共和国预算法》《中华人民共和国预算法实施条例》以及财政部《地方预决算公开操作规程》《关于推进部门所属单位预算公开的指导意见》和《中共甘肃省委办公厅 甘肃省人民政府办公厅关于进一步推进预算公开工作的实施方案》要求，现将2026年部门预算公开如下：</w:t>
      </w:r>
    </w:p>
    <w:p w14:paraId="5403A938">
      <w:pPr>
        <w:spacing w:line="600" w:lineRule="exact"/>
        <w:ind w:firstLine="640" w:firstLineChars="200"/>
      </w:pPr>
      <w:r>
        <w:rPr>
          <w:rFonts w:hint="eastAsia" w:ascii="黑体" w:hAnsi="黑体" w:eastAsia="黑体" w:cs="宋体"/>
          <w:kern w:val="0"/>
          <w:sz w:val="32"/>
          <w:szCs w:val="32"/>
          <w:lang w:val="en-US" w:eastAsia="zh-CN" w:bidi="ar-SA"/>
        </w:rPr>
        <w:t>一、部门/单位职责</w:t>
      </w:r>
    </w:p>
    <w:p w14:paraId="7D8B232E">
      <w:pPr>
        <w:spacing w:line="600" w:lineRule="exact"/>
        <w:ind w:firstLine="640" w:firstLineChars="200"/>
      </w:pPr>
      <w:r>
        <w:rPr>
          <w:rFonts w:hint="eastAsia" w:ascii="仿宋_GB2312" w:hAnsi="宋体" w:eastAsia="仿宋_GB2312" w:cs="宋体"/>
          <w:kern w:val="0"/>
          <w:sz w:val="32"/>
          <w:szCs w:val="32"/>
          <w:lang w:val="en-US" w:eastAsia="zh-CN" w:bidi="ar-SA"/>
        </w:rPr>
        <w:t>华池县上堡子小学属全额拨款事业单位，隶属于华池县教育局，主要职责是负责普及本辖区内及周边附近乡村适龄少年九年义务教育工作。</w:t>
      </w:r>
    </w:p>
    <w:p w14:paraId="3CA95920">
      <w:pPr>
        <w:spacing w:line="600" w:lineRule="exact"/>
        <w:ind w:firstLine="640" w:firstLineChars="200"/>
      </w:pPr>
      <w:r>
        <w:rPr>
          <w:rFonts w:hint="eastAsia" w:ascii="黑体" w:hAnsi="黑体" w:eastAsia="黑体" w:cs="宋体"/>
          <w:kern w:val="0"/>
          <w:sz w:val="32"/>
          <w:szCs w:val="32"/>
          <w:lang w:val="en-US" w:eastAsia="zh-CN" w:bidi="ar-SA"/>
        </w:rPr>
        <w:t>二、机构设置情况</w:t>
      </w:r>
    </w:p>
    <w:p w14:paraId="6FEA8263">
      <w:pPr>
        <w:spacing w:line="600" w:lineRule="exact"/>
        <w:ind w:firstLine="643" w:firstLineChars="200"/>
        <w:rPr>
          <w:rFonts w:ascii="黑体" w:hAnsi="黑体" w:eastAsia="黑体" w:cs="宋体"/>
          <w:kern w:val="0"/>
          <w:sz w:val="32"/>
          <w:szCs w:val="32"/>
          <w:lang w:val="en-US" w:eastAsia="zh-CN" w:bidi="ar-SA"/>
        </w:rPr>
      </w:pPr>
      <w:r>
        <w:rPr>
          <w:rFonts w:hint="eastAsia" w:ascii="楷体_GB2312" w:hAnsi="楷体" w:eastAsia="楷体_GB2312" w:cs="宋体"/>
          <w:b/>
          <w:bCs/>
          <w:kern w:val="0"/>
          <w:sz w:val="32"/>
          <w:szCs w:val="32"/>
          <w:lang w:val="en-US" w:eastAsia="zh-CN" w:bidi="ar-SA"/>
        </w:rPr>
        <w:t>（一）机关内设机构</w:t>
      </w:r>
    </w:p>
    <w:p w14:paraId="200C2BEE">
      <w:pPr>
        <w:spacing w:line="600" w:lineRule="exact"/>
        <w:ind w:firstLine="640" w:firstLineChars="200"/>
        <w:rPr>
          <w:rFonts w:ascii="Calibri" w:hAnsi="Calibri" w:eastAsia="宋体" w:cs="Times New Roman"/>
          <w:kern w:val="2"/>
          <w:sz w:val="21"/>
          <w:szCs w:val="22"/>
          <w:lang w:val="en-US" w:eastAsia="zh-CN" w:bidi="ar-SA"/>
        </w:rPr>
      </w:pPr>
      <w:r>
        <w:rPr>
          <w:rFonts w:hint="eastAsia" w:ascii="仿宋_GB2312" w:hAnsi="宋体" w:eastAsia="仿宋_GB2312" w:cs="宋体"/>
          <w:kern w:val="0"/>
          <w:sz w:val="32"/>
          <w:szCs w:val="32"/>
          <w:lang w:val="en-US" w:eastAsia="zh-CN" w:bidi="ar-SA"/>
        </w:rPr>
        <w:t>华池县上堡子小学内设机构3个处室（教务处、政教处、总务处），教务处主要负责学校全盘教学工作，教学安排、学情检测等；政教处主要负责学校的德育及学生管理工作；总务处主要负责教师学生餐饮、教学后勤保障等工作。</w:t>
      </w:r>
    </w:p>
    <w:p w14:paraId="13DEAEE2">
      <w:pPr>
        <w:spacing w:line="600" w:lineRule="exact"/>
        <w:ind w:firstLine="643" w:firstLineChars="200"/>
        <w:rPr>
          <w:rFonts w:ascii="黑体" w:hAnsi="黑体" w:eastAsia="黑体" w:cs="宋体"/>
          <w:kern w:val="0"/>
          <w:sz w:val="32"/>
          <w:szCs w:val="32"/>
          <w:lang w:val="en-US" w:eastAsia="zh-CN" w:bidi="ar-SA"/>
        </w:rPr>
      </w:pPr>
      <w:r>
        <w:rPr>
          <w:rFonts w:hint="eastAsia" w:ascii="楷体_GB2312" w:hAnsi="楷体" w:eastAsia="楷体_GB2312" w:cs="宋体"/>
          <w:b/>
          <w:bCs/>
          <w:kern w:val="0"/>
          <w:sz w:val="32"/>
          <w:szCs w:val="32"/>
          <w:lang w:val="en-US" w:eastAsia="zh-CN" w:bidi="ar-SA"/>
        </w:rPr>
        <w:t>（二）参照公务员法管理单位</w:t>
      </w:r>
    </w:p>
    <w:p w14:paraId="3B083E6D">
      <w:pPr>
        <w:spacing w:line="600" w:lineRule="exact"/>
        <w:ind w:firstLine="640" w:firstLineChars="200"/>
      </w:pPr>
      <w:r>
        <w:rPr>
          <w:rFonts w:hint="eastAsia" w:ascii="仿宋_GB2312" w:hAnsi="宋体" w:eastAsia="仿宋_GB2312" w:cs="宋体"/>
          <w:kern w:val="0"/>
          <w:sz w:val="32"/>
          <w:szCs w:val="32"/>
          <w:lang w:val="en-US" w:eastAsia="zh-CN" w:bidi="ar-SA"/>
        </w:rPr>
        <w:t>无</w:t>
      </w:r>
    </w:p>
    <w:p w14:paraId="667FB0A5">
      <w:pPr>
        <w:spacing w:line="600" w:lineRule="exact"/>
        <w:ind w:firstLine="643" w:firstLineChars="200"/>
        <w:rPr>
          <w:rFonts w:ascii="黑体" w:hAnsi="黑体" w:eastAsia="黑体" w:cs="宋体"/>
          <w:kern w:val="0"/>
          <w:sz w:val="32"/>
          <w:szCs w:val="32"/>
          <w:lang w:val="en-US" w:eastAsia="zh-CN" w:bidi="ar-SA"/>
        </w:rPr>
      </w:pPr>
      <w:r>
        <w:rPr>
          <w:rFonts w:hint="eastAsia" w:ascii="楷体_GB2312" w:hAnsi="楷体" w:eastAsia="楷体_GB2312" w:cs="宋体"/>
          <w:b/>
          <w:bCs/>
          <w:kern w:val="0"/>
          <w:sz w:val="32"/>
          <w:szCs w:val="32"/>
          <w:lang w:val="en-US" w:eastAsia="zh-CN" w:bidi="ar-SA"/>
        </w:rPr>
        <w:t>（三）直属事业单位</w:t>
      </w:r>
    </w:p>
    <w:p w14:paraId="5D411011">
      <w:pPr>
        <w:spacing w:line="600" w:lineRule="exact"/>
        <w:ind w:firstLine="640" w:firstLineChars="200"/>
      </w:pPr>
      <w:r>
        <w:rPr>
          <w:rFonts w:hint="eastAsia" w:ascii="仿宋_GB2312" w:hAnsi="宋体" w:eastAsia="仿宋_GB2312" w:cs="宋体"/>
          <w:kern w:val="0"/>
          <w:sz w:val="32"/>
          <w:szCs w:val="32"/>
          <w:lang w:val="en-US" w:eastAsia="zh-CN" w:bidi="ar-SA"/>
        </w:rPr>
        <w:t>无</w:t>
      </w:r>
    </w:p>
    <w:p w14:paraId="7B1EEDCD">
      <w:pPr>
        <w:spacing w:line="600" w:lineRule="exact"/>
        <w:ind w:firstLine="640" w:firstLineChars="200"/>
      </w:pPr>
      <w:r>
        <w:rPr>
          <w:rFonts w:hint="eastAsia" w:ascii="黑体" w:hAnsi="黑体" w:eastAsia="黑体" w:cs="宋体"/>
          <w:kern w:val="0"/>
          <w:sz w:val="32"/>
          <w:szCs w:val="32"/>
          <w:lang w:val="en-US" w:eastAsia="zh-CN" w:bidi="ar-SA"/>
        </w:rPr>
        <w:t>三、部门/单位收支总体情况</w:t>
      </w:r>
    </w:p>
    <w:p w14:paraId="65AEA894">
      <w:pPr>
        <w:spacing w:line="600" w:lineRule="exact"/>
        <w:ind w:firstLine="640" w:firstLineChars="200"/>
      </w:pPr>
      <w:r>
        <w:rPr>
          <w:rFonts w:hint="eastAsia" w:ascii="仿宋_GB2312" w:hAnsi="宋体" w:eastAsia="仿宋_GB2312" w:cs="宋体"/>
          <w:kern w:val="0"/>
          <w:sz w:val="32"/>
          <w:szCs w:val="32"/>
          <w:lang w:val="en-US" w:eastAsia="zh-CN" w:bidi="ar-SA"/>
        </w:rPr>
        <w:t>按照预算管理有关规定，2026年部门（单位）收支包括机关预算和直属单位预算在内的汇总情况。</w:t>
      </w:r>
    </w:p>
    <w:p w14:paraId="3EC85ECE">
      <w:pPr>
        <w:spacing w:line="600" w:lineRule="exact"/>
        <w:ind w:firstLine="640" w:firstLineChars="200"/>
      </w:pPr>
      <w:r>
        <w:rPr>
          <w:rFonts w:hint="eastAsia" w:ascii="仿宋_GB2312" w:hAnsi="宋体" w:eastAsia="仿宋_GB2312" w:cs="宋体"/>
          <w:kern w:val="0"/>
          <w:sz w:val="32"/>
          <w:szCs w:val="32"/>
          <w:lang w:val="en-US" w:eastAsia="zh-CN" w:bidi="ar-SA"/>
        </w:rPr>
        <w:t>2026年部门收支总预算379.37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4BE907D0">
      <w:pPr>
        <w:spacing w:line="600" w:lineRule="exact"/>
        <w:ind w:firstLine="643" w:firstLineChars="200"/>
        <w:rPr>
          <w:rFonts w:ascii="楷体_GB2312" w:hAnsi="楷体" w:eastAsia="楷体_GB2312" w:cs="宋体"/>
          <w:b/>
          <w:bCs/>
          <w:kern w:val="0"/>
          <w:sz w:val="32"/>
          <w:szCs w:val="32"/>
          <w:lang w:val="en-US" w:eastAsia="zh-CN" w:bidi="ar-SA"/>
        </w:rPr>
      </w:pPr>
      <w:r>
        <w:rPr>
          <w:rFonts w:hint="eastAsia" w:ascii="楷体_GB2312" w:hAnsi="楷体" w:eastAsia="楷体_GB2312" w:cs="宋体"/>
          <w:b/>
          <w:bCs/>
          <w:kern w:val="0"/>
          <w:sz w:val="32"/>
          <w:szCs w:val="32"/>
          <w:lang w:val="en-US" w:eastAsia="zh-CN" w:bidi="ar-SA"/>
        </w:rPr>
        <w:t>（一）收入预算</w:t>
      </w:r>
    </w:p>
    <w:p w14:paraId="29F0561B">
      <w:pPr>
        <w:pStyle w:val="7"/>
        <w:keepNext w:val="0"/>
        <w:keepLines w:val="0"/>
        <w:pageBreakBefore w:val="0"/>
        <w:kinsoku/>
        <w:wordWrap/>
        <w:overflowPunct/>
        <w:topLinePunct w:val="0"/>
        <w:autoSpaceDN/>
        <w:bidi w:val="0"/>
        <w:adjustRightInd/>
        <w:snapToGrid/>
        <w:spacing w:before="0" w:beforeAutospacing="0" w:after="0" w:afterAutospacing="0" w:line="560" w:lineRule="exact"/>
        <w:ind w:left="0" w:leftChars="0" w:right="0" w:rightChars="0" w:firstLine="645" w:firstLineChars="0"/>
        <w:jc w:val="both"/>
        <w:textAlignment w:val="auto"/>
        <w:rPr>
          <w:rFonts w:ascii="仿宋_GB2312" w:hAnsi="仿宋" w:eastAsia="仿宋_GB2312" w:cs="宋体"/>
          <w:kern w:val="0"/>
          <w:sz w:val="32"/>
          <w:szCs w:val="32"/>
          <w:lang w:val="en-US" w:eastAsia="zh-CN" w:bidi="ar"/>
        </w:rPr>
      </w:pPr>
      <w:r>
        <w:rPr>
          <w:rFonts w:hint="eastAsia" w:ascii="仿宋_GB2312" w:hAnsi="宋体" w:eastAsia="仿宋_GB2312" w:cs="宋体"/>
          <w:kern w:val="0"/>
          <w:sz w:val="32"/>
          <w:szCs w:val="32"/>
          <w:lang w:val="en-US" w:eastAsia="zh-CN" w:bidi="ar-SA"/>
        </w:rPr>
        <w:t>2026年收入预算379.37万元（详见部门/单位预算公开表1,2）。包括：</w:t>
      </w:r>
    </w:p>
    <w:p w14:paraId="6C997EEE">
      <w:pPr>
        <w:pStyle w:val="7"/>
        <w:keepNext w:val="0"/>
        <w:keepLines w:val="0"/>
        <w:pageBreakBefore w:val="0"/>
        <w:kinsoku/>
        <w:wordWrap/>
        <w:overflowPunct/>
        <w:topLinePunct w:val="0"/>
        <w:autoSpaceDN/>
        <w:bidi w:val="0"/>
        <w:adjustRightInd/>
        <w:snapToGrid/>
        <w:spacing w:before="0" w:beforeAutospacing="0" w:after="0" w:afterAutospacing="0" w:line="560" w:lineRule="exact"/>
        <w:ind w:left="0" w:leftChars="0" w:right="0" w:rightChars="0" w:firstLine="645" w:firstLineChars="0"/>
        <w:jc w:val="both"/>
        <w:textAlignment w:val="auto"/>
        <w:rPr>
          <w:rFonts w:ascii="仿宋_GB2312" w:hAnsi="仿宋" w:eastAsia="仿宋_GB2312" w:cs="宋体"/>
          <w:kern w:val="0"/>
          <w:sz w:val="32"/>
          <w:szCs w:val="32"/>
          <w:lang w:val="en-US" w:eastAsia="zh-CN" w:bidi="ar"/>
        </w:rPr>
      </w:pPr>
      <w:r>
        <w:rPr>
          <w:rFonts w:hint="eastAsia" w:ascii="仿宋_GB2312" w:hAnsi="宋体" w:eastAsia="仿宋_GB2312" w:cs="宋体"/>
          <w:kern w:val="0"/>
          <w:sz w:val="32"/>
          <w:szCs w:val="32"/>
          <w:lang w:val="en-US" w:eastAsia="zh-CN" w:bidi="ar-SA"/>
        </w:rPr>
        <w:t>一般公共预算收入379.37万元，占100%；</w:t>
      </w:r>
    </w:p>
    <w:p w14:paraId="2A497158">
      <w:pPr>
        <w:pStyle w:val="7"/>
        <w:keepNext w:val="0"/>
        <w:keepLines w:val="0"/>
        <w:pageBreakBefore w:val="0"/>
        <w:kinsoku/>
        <w:wordWrap/>
        <w:overflowPunct/>
        <w:topLinePunct w:val="0"/>
        <w:autoSpaceDN/>
        <w:bidi w:val="0"/>
        <w:adjustRightInd/>
        <w:snapToGrid/>
        <w:spacing w:before="0" w:beforeAutospacing="0" w:after="0" w:afterAutospacing="0" w:line="560" w:lineRule="exact"/>
        <w:ind w:left="0" w:leftChars="0" w:right="0" w:rightChars="0" w:firstLine="645" w:firstLineChars="0"/>
        <w:jc w:val="both"/>
        <w:textAlignment w:val="auto"/>
        <w:rPr>
          <w:rFonts w:ascii="仿宋_GB2312" w:hAnsi="仿宋" w:eastAsia="仿宋_GB2312" w:cs="宋体"/>
          <w:kern w:val="0"/>
          <w:sz w:val="32"/>
          <w:szCs w:val="32"/>
          <w:lang w:val="en-US" w:eastAsia="zh-CN" w:bidi="ar"/>
        </w:rPr>
      </w:pPr>
      <w:r>
        <w:rPr>
          <w:rFonts w:hint="eastAsia" w:ascii="仿宋_GB2312" w:hAnsi="宋体" w:eastAsia="仿宋_GB2312" w:cs="宋体"/>
          <w:kern w:val="0"/>
          <w:sz w:val="32"/>
          <w:szCs w:val="32"/>
          <w:lang w:val="en-US" w:eastAsia="zh-CN" w:bidi="ar-SA"/>
        </w:rPr>
        <w:t>政府性基金预算收入0.00万元，占0.00%；</w:t>
      </w:r>
    </w:p>
    <w:p w14:paraId="349684A2">
      <w:pPr>
        <w:pStyle w:val="7"/>
        <w:keepNext w:val="0"/>
        <w:keepLines w:val="0"/>
        <w:pageBreakBefore w:val="0"/>
        <w:kinsoku/>
        <w:wordWrap/>
        <w:overflowPunct/>
        <w:topLinePunct w:val="0"/>
        <w:autoSpaceDN/>
        <w:bidi w:val="0"/>
        <w:adjustRightInd/>
        <w:snapToGrid/>
        <w:spacing w:before="0" w:beforeAutospacing="0" w:after="0" w:afterAutospacing="0" w:line="560" w:lineRule="exact"/>
        <w:ind w:left="0" w:leftChars="0" w:right="0" w:rightChars="0" w:firstLine="645" w:firstLineChars="0"/>
        <w:jc w:val="both"/>
        <w:textAlignment w:val="auto"/>
        <w:rPr>
          <w:rFonts w:ascii="仿宋_GB2312" w:hAnsi="仿宋" w:eastAsia="仿宋_GB2312" w:cs="宋体"/>
          <w:kern w:val="0"/>
          <w:sz w:val="32"/>
          <w:szCs w:val="32"/>
          <w:lang w:val="en-US" w:eastAsia="zh-CN" w:bidi="ar"/>
        </w:rPr>
      </w:pPr>
      <w:r>
        <w:rPr>
          <w:rFonts w:hint="eastAsia" w:ascii="仿宋_GB2312" w:hAnsi="宋体" w:eastAsia="仿宋_GB2312" w:cs="宋体"/>
          <w:kern w:val="0"/>
          <w:sz w:val="32"/>
          <w:szCs w:val="32"/>
          <w:lang w:val="en-US" w:eastAsia="zh-CN" w:bidi="ar-SA"/>
        </w:rPr>
        <w:t>上年结转收入0.00万元，占0.00%；</w:t>
      </w:r>
    </w:p>
    <w:p w14:paraId="79E65AAF">
      <w:pPr>
        <w:pStyle w:val="7"/>
        <w:keepNext w:val="0"/>
        <w:keepLines w:val="0"/>
        <w:pageBreakBefore w:val="0"/>
        <w:kinsoku/>
        <w:wordWrap/>
        <w:overflowPunct/>
        <w:topLinePunct w:val="0"/>
        <w:autoSpaceDN/>
        <w:bidi w:val="0"/>
        <w:adjustRightInd/>
        <w:snapToGrid/>
        <w:spacing w:before="0" w:beforeAutospacing="0" w:after="0" w:afterAutospacing="0" w:line="560" w:lineRule="exact"/>
        <w:ind w:left="0" w:leftChars="0" w:right="0" w:rightChars="0" w:firstLine="645" w:firstLineChars="0"/>
        <w:jc w:val="both"/>
        <w:textAlignment w:val="auto"/>
        <w:rPr>
          <w:rFonts w:ascii="仿宋_GB2312" w:hAnsi="仿宋" w:eastAsia="仿宋_GB2312" w:cs="宋体"/>
          <w:kern w:val="0"/>
          <w:sz w:val="32"/>
          <w:szCs w:val="32"/>
          <w:lang w:val="en-US" w:eastAsia="zh-CN" w:bidi="ar"/>
        </w:rPr>
      </w:pPr>
      <w:r>
        <w:rPr>
          <w:rFonts w:hint="eastAsia" w:ascii="仿宋_GB2312" w:hAnsi="宋体" w:eastAsia="仿宋_GB2312" w:cs="宋体"/>
          <w:kern w:val="0"/>
          <w:sz w:val="32"/>
          <w:szCs w:val="32"/>
          <w:lang w:val="en-US" w:eastAsia="zh-CN" w:bidi="ar-SA"/>
        </w:rPr>
        <w:t>其他收入0.00万元，占0.00%。</w:t>
      </w:r>
    </w:p>
    <w:p w14:paraId="7A84DBA2">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（二）支出预算</w:t>
      </w:r>
    </w:p>
    <w:p w14:paraId="61DAC2ED">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2026年支出预算379.37万元（详见部门/单位预算公开表3）。其中：基本支出379.37万元，占100%； 项目支出0.00万元，占0.00%； 上年结转0.00万元， 占0.00%。</w:t>
      </w:r>
    </w:p>
    <w:p w14:paraId="24A37587">
      <w:pPr>
        <w:adjustRightInd w:val="0"/>
        <w:snapToGrid w:val="0"/>
        <w:spacing w:line="640" w:lineRule="exact"/>
        <w:ind w:firstLine="640" w:firstLineChars="200"/>
        <w:contextualSpacing/>
        <w:rPr>
          <w:rFonts w:ascii="楷体_GB2312" w:hAnsi="楷体" w:eastAsia="楷体_GB2312" w:cs="宋体"/>
          <w:b/>
          <w:bCs/>
          <w:kern w:val="0"/>
          <w:sz w:val="32"/>
          <w:szCs w:val="32"/>
          <w:lang w:val="en-US" w:eastAsia="zh-CN" w:bidi="ar-SA"/>
        </w:rPr>
      </w:pPr>
      <w:r>
        <w:rPr>
          <w:rFonts w:hint="eastAsia" w:ascii="黑体" w:hAnsi="黑体" w:eastAsia="黑体" w:cs="宋体"/>
          <w:kern w:val="0"/>
          <w:sz w:val="32"/>
          <w:szCs w:val="32"/>
          <w:lang w:val="en-US" w:eastAsia="zh-CN" w:bidi="ar-SA"/>
        </w:rPr>
        <w:t>四、一般公共预算情况</w:t>
      </w:r>
    </w:p>
    <w:p w14:paraId="0BAE8667">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2026年一般公共预算当年支出379.37万元，包括：一般公共服务支出0.00万元、公共安全支出0.00万元、教育支出275.50万元、科学技术支出0.00万元、社会保障和就业支出57.50万元、卫生健康支出19.33万元、住房保障支出27.04万元、其他支出0.00万元。具体安排情况如下（详见部门（单位）预算公开表4,5,6,7）：</w:t>
      </w:r>
    </w:p>
    <w:p w14:paraId="22089A10">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（一）基本支出</w:t>
      </w:r>
    </w:p>
    <w:p w14:paraId="6437D132">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2026年基本支出379.37万元。</w:t>
      </w:r>
    </w:p>
    <w:p w14:paraId="5038E733">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其中：人员经费支出371.60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10D6F61D">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公用经费支出7.77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17415753">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（二）项目支出</w:t>
      </w:r>
    </w:p>
    <w:p w14:paraId="486D9036">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2026年一般公共预算财政拨款项目支出预算0.00万元，比2025年预算增加（减少）0.00万元，增长（减少）0.00%。</w:t>
      </w:r>
    </w:p>
    <w:p w14:paraId="1D6A927B">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刚性支出项目0个。</w:t>
      </w:r>
    </w:p>
    <w:p w14:paraId="44FCC8E3">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部门专项0个。</w:t>
      </w:r>
    </w:p>
    <w:p w14:paraId="1301AA07">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（三）支出功能分类说明</w:t>
      </w:r>
    </w:p>
    <w:p w14:paraId="5488EE09">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1.教育支出（类）普通教育（款）小学教育（项）2026年预算数为275.50万元。</w:t>
      </w:r>
    </w:p>
    <w:p w14:paraId="33DB1D77">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2.社会保障和就业支出（类）行政事业单位养老支出（款）机关事业单位基本养老保险缴费支出、机关事业单位职业年金缴费支出（项）2026年预算数为54.98万元。</w:t>
      </w:r>
    </w:p>
    <w:p w14:paraId="74BBD13D">
      <w:pPr>
        <w:widowControl/>
        <w:adjustRightInd w:val="0"/>
        <w:snapToGrid w:val="0"/>
        <w:spacing w:line="640" w:lineRule="exact"/>
        <w:ind w:firstLine="640" w:firstLineChars="200"/>
        <w:contextualSpacing/>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3.卫生健康支出（类）行政事业单位医疗（款）事业单位医疗（项）2026年预算数为19.33万元。</w:t>
      </w:r>
    </w:p>
    <w:p w14:paraId="269E3769">
      <w:pPr>
        <w:widowControl/>
        <w:adjustRightInd w:val="0"/>
        <w:snapToGrid w:val="0"/>
        <w:spacing w:line="640" w:lineRule="exact"/>
        <w:ind w:firstLine="640" w:firstLineChars="200"/>
        <w:contextualSpacing/>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4.住房保障支出（类）住房改革支出（款）住房公积金（项）2026年预算数为27.04万元。</w:t>
      </w:r>
    </w:p>
    <w:p w14:paraId="41DC38E6">
      <w:pPr>
        <w:adjustRightInd w:val="0"/>
        <w:snapToGrid w:val="0"/>
        <w:spacing w:line="640" w:lineRule="exact"/>
        <w:ind w:firstLine="640" w:firstLineChars="200"/>
        <w:contextualSpacing/>
        <w:rPr>
          <w:rFonts w:ascii="楷体_GB2312" w:hAnsi="楷体" w:eastAsia="楷体_GB2312" w:cs="宋体"/>
          <w:b/>
          <w:bCs/>
          <w:kern w:val="0"/>
          <w:sz w:val="32"/>
          <w:szCs w:val="32"/>
          <w:lang w:val="en-US" w:eastAsia="zh-CN" w:bidi="ar-SA"/>
        </w:rPr>
      </w:pPr>
      <w:r>
        <w:rPr>
          <w:rFonts w:hint="eastAsia" w:ascii="黑体" w:hAnsi="黑体" w:eastAsia="黑体" w:cs="宋体"/>
          <w:kern w:val="0"/>
          <w:sz w:val="32"/>
          <w:szCs w:val="32"/>
          <w:lang w:val="en-US" w:eastAsia="zh-CN" w:bidi="ar-SA"/>
        </w:rPr>
        <w:t>五、部门（单位）一般公共预算财政拨款“三公”经费、培训费、会议费等情况</w:t>
      </w:r>
    </w:p>
    <w:p w14:paraId="736ABC72">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（一）“三公”经费情况说明</w:t>
      </w:r>
    </w:p>
    <w:p w14:paraId="23FEECEC">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本单位无“三公”经费预算。</w:t>
      </w:r>
    </w:p>
    <w:p w14:paraId="63F8AA81">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（二）培训费预算情况说明</w:t>
      </w:r>
    </w:p>
    <w:p w14:paraId="736E283C">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本单位无培训费预算。</w:t>
      </w:r>
    </w:p>
    <w:p w14:paraId="32EE1905">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（三）会议费预算情况说明</w:t>
      </w:r>
    </w:p>
    <w:p w14:paraId="6976624A">
      <w:pPr>
        <w:widowControl/>
        <w:adjustRightInd w:val="0"/>
        <w:snapToGrid w:val="0"/>
        <w:spacing w:line="640" w:lineRule="exact"/>
        <w:ind w:firstLine="640" w:firstLineChars="200"/>
        <w:contextualSpacing/>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本单位无会议费预算。</w:t>
      </w:r>
    </w:p>
    <w:p w14:paraId="2B478B6E">
      <w:pPr>
        <w:adjustRightInd w:val="0"/>
        <w:snapToGrid w:val="0"/>
        <w:spacing w:line="640" w:lineRule="exact"/>
        <w:ind w:firstLine="640" w:firstLineChars="200"/>
        <w:contextualSpacing/>
        <w:rPr>
          <w:rFonts w:ascii="楷体_GB2312" w:hAnsi="楷体" w:eastAsia="楷体_GB2312" w:cs="宋体"/>
          <w:b/>
          <w:bCs/>
          <w:kern w:val="0"/>
          <w:sz w:val="32"/>
          <w:szCs w:val="32"/>
          <w:lang w:val="en-US" w:eastAsia="zh-CN" w:bidi="ar-SA"/>
        </w:rPr>
      </w:pPr>
      <w:r>
        <w:rPr>
          <w:rFonts w:hint="eastAsia" w:ascii="黑体" w:hAnsi="黑体" w:eastAsia="黑体" w:cs="宋体"/>
          <w:kern w:val="0"/>
          <w:sz w:val="32"/>
          <w:szCs w:val="32"/>
          <w:lang w:val="en-US" w:eastAsia="zh-CN" w:bidi="ar-SA"/>
        </w:rPr>
        <w:t>六、一般公共预算财政拨款机关运行经费情况</w:t>
      </w:r>
    </w:p>
    <w:p w14:paraId="6E5E59AD">
      <w:pPr>
        <w:widowControl/>
        <w:adjustRightInd w:val="0"/>
        <w:snapToGrid w:val="0"/>
        <w:spacing w:line="640" w:lineRule="exact"/>
        <w:ind w:firstLine="640" w:firstLineChars="200"/>
        <w:contextualSpacing/>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本单位无机关运行经费。</w:t>
      </w:r>
    </w:p>
    <w:p w14:paraId="34A9D50F">
      <w:pPr>
        <w:adjustRightInd w:val="0"/>
        <w:snapToGrid w:val="0"/>
        <w:spacing w:line="640" w:lineRule="exact"/>
        <w:ind w:firstLine="640" w:firstLineChars="200"/>
        <w:contextualSpacing/>
        <w:rPr>
          <w:rFonts w:ascii="楷体_GB2312" w:hAnsi="楷体" w:eastAsia="楷体_GB2312" w:cs="宋体"/>
          <w:b/>
          <w:bCs/>
          <w:kern w:val="0"/>
          <w:sz w:val="32"/>
          <w:szCs w:val="32"/>
          <w:lang w:val="en-US" w:eastAsia="zh-CN" w:bidi="ar-SA"/>
        </w:rPr>
      </w:pPr>
      <w:r>
        <w:rPr>
          <w:rFonts w:hint="eastAsia" w:ascii="黑体" w:hAnsi="黑体" w:eastAsia="黑体" w:cs="宋体"/>
          <w:kern w:val="0"/>
          <w:sz w:val="32"/>
          <w:szCs w:val="32"/>
          <w:lang w:val="en-US" w:eastAsia="zh-CN" w:bidi="ar-SA"/>
        </w:rPr>
        <w:t>七、政府采购安排情况</w:t>
      </w:r>
    </w:p>
    <w:p w14:paraId="45FECDAA">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2026年，本单位无政府采购预算安排。</w:t>
      </w:r>
    </w:p>
    <w:p w14:paraId="7425D170">
      <w:pPr>
        <w:adjustRightInd w:val="0"/>
        <w:snapToGrid w:val="0"/>
        <w:spacing w:line="640" w:lineRule="exact"/>
        <w:ind w:firstLine="640" w:firstLineChars="200"/>
        <w:contextualSpacing/>
        <w:rPr>
          <w:rFonts w:ascii="楷体_GB2312" w:hAnsi="楷体" w:eastAsia="楷体_GB2312" w:cs="宋体"/>
          <w:b/>
          <w:bCs/>
          <w:kern w:val="0"/>
          <w:sz w:val="32"/>
          <w:szCs w:val="32"/>
          <w:lang w:val="en-US" w:eastAsia="zh-CN" w:bidi="ar-SA"/>
        </w:rPr>
      </w:pPr>
      <w:r>
        <w:rPr>
          <w:rFonts w:hint="eastAsia" w:ascii="黑体" w:hAnsi="黑体" w:eastAsia="黑体" w:cs="宋体"/>
          <w:kern w:val="0"/>
          <w:sz w:val="32"/>
          <w:szCs w:val="32"/>
          <w:lang w:val="en-US" w:eastAsia="zh-CN" w:bidi="ar-SA"/>
        </w:rPr>
        <w:t>八、国有资产占用情况</w:t>
      </w:r>
    </w:p>
    <w:p w14:paraId="234AB59E">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上年末固定资产金额为783.74万元。其中：办公用房2722.03平方米，价值631.26万元。预算部门（单位）共有公务用车0.00辆，价值0.00万元。单价20万元以上的设备价值0.00万元。2026年拟采购固定资产约0.00万元。</w:t>
      </w:r>
    </w:p>
    <w:p w14:paraId="5BA6BD58">
      <w:pPr>
        <w:adjustRightInd w:val="0"/>
        <w:snapToGrid w:val="0"/>
        <w:spacing w:line="640" w:lineRule="exact"/>
        <w:ind w:firstLine="640" w:firstLineChars="200"/>
        <w:contextualSpacing/>
        <w:rPr>
          <w:rFonts w:ascii="楷体_GB2312" w:hAnsi="楷体" w:eastAsia="楷体_GB2312" w:cs="宋体"/>
          <w:b/>
          <w:bCs/>
          <w:kern w:val="0"/>
          <w:sz w:val="32"/>
          <w:szCs w:val="32"/>
          <w:lang w:val="en-US" w:eastAsia="zh-CN" w:bidi="ar-SA"/>
        </w:rPr>
      </w:pPr>
      <w:r>
        <w:rPr>
          <w:rFonts w:hint="eastAsia" w:ascii="黑体" w:hAnsi="黑体" w:eastAsia="黑体" w:cs="宋体"/>
          <w:kern w:val="0"/>
          <w:sz w:val="32"/>
          <w:szCs w:val="32"/>
          <w:lang w:val="en-US" w:eastAsia="zh-CN" w:bidi="ar-SA"/>
        </w:rPr>
        <w:t>九、其他重要事项情况说明</w:t>
      </w:r>
    </w:p>
    <w:p w14:paraId="42CCB197">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（一）政府性基金预算支出情况</w:t>
      </w:r>
    </w:p>
    <w:p w14:paraId="676485B2">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未安排预算，政府性基金预算支出情况表为空表。</w:t>
      </w:r>
    </w:p>
    <w:p w14:paraId="20D23BF1">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（二）非税收入情况</w:t>
      </w:r>
    </w:p>
    <w:p w14:paraId="39FFB453">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本单位2026年无非税收入。</w:t>
      </w:r>
    </w:p>
    <w:p w14:paraId="0AEDAF82">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（三）重点项目情况</w:t>
      </w:r>
    </w:p>
    <w:p w14:paraId="6895472A">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本单位年初预算未安排项目支出，无重点项目说明。</w:t>
      </w:r>
    </w:p>
    <w:p w14:paraId="42E764CA">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（四）部门管理转移支付情况</w:t>
      </w:r>
    </w:p>
    <w:p w14:paraId="1633126A">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未安排预算，单位管理转移支付表为空表。</w:t>
      </w:r>
    </w:p>
    <w:p w14:paraId="385A8737">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（五）国有资本经营预算支出情况</w:t>
      </w:r>
    </w:p>
    <w:p w14:paraId="4DDA3EFE">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未安排预算，国有资本经营预算支出情况表为空表。</w:t>
      </w:r>
    </w:p>
    <w:p w14:paraId="4CCB0D39">
      <w:pPr>
        <w:adjustRightInd w:val="0"/>
        <w:snapToGrid w:val="0"/>
        <w:spacing w:line="640" w:lineRule="exact"/>
        <w:ind w:firstLine="640" w:firstLineChars="200"/>
        <w:contextualSpacing/>
        <w:rPr>
          <w:rFonts w:ascii="楷体_GB2312" w:hAnsi="楷体" w:eastAsia="楷体_GB2312" w:cs="宋体"/>
          <w:b/>
          <w:bCs/>
          <w:kern w:val="0"/>
          <w:sz w:val="32"/>
          <w:szCs w:val="32"/>
          <w:lang w:val="en-US" w:eastAsia="zh-CN" w:bidi="ar-SA"/>
        </w:rPr>
      </w:pPr>
      <w:r>
        <w:rPr>
          <w:rFonts w:hint="eastAsia" w:ascii="黑体" w:hAnsi="黑体" w:eastAsia="黑体" w:cs="宋体"/>
          <w:kern w:val="0"/>
          <w:sz w:val="32"/>
          <w:szCs w:val="32"/>
          <w:lang w:val="en-US" w:eastAsia="zh-CN" w:bidi="ar-SA"/>
        </w:rPr>
        <w:t>十、预算绩效管理情况</w:t>
      </w:r>
    </w:p>
    <w:p w14:paraId="0BECB943">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（一）2025年预算绩效管理工作情况。</w:t>
      </w:r>
    </w:p>
    <w:p w14:paraId="4236807C">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15CD3AC2">
      <w:pPr>
        <w:adjustRightInd w:val="0"/>
        <w:snapToGrid w:val="0"/>
        <w:spacing w:line="640" w:lineRule="exact"/>
        <w:ind w:firstLine="643" w:firstLineChars="200"/>
        <w:contextualSpacing/>
        <w:rPr>
          <w:rFonts w:ascii="黑体" w:hAnsi="黑体" w:eastAsia="黑体"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1.绩效目标管理情况。</w:t>
      </w:r>
      <w:r>
        <w:rPr>
          <w:rFonts w:hint="eastAsia" w:ascii="仿宋_GB2312" w:hAnsi="宋体" w:eastAsia="仿宋_GB2312" w:cs="宋体"/>
          <w:kern w:val="0"/>
          <w:sz w:val="32"/>
          <w:szCs w:val="32"/>
          <w:lang w:val="en-US" w:eastAsia="zh-CN" w:bidi="ar-SA"/>
        </w:rPr>
        <w:t>2025年度，按照“谁申请资金，谁设置目标”的原则，纳入部门预算管理的部门/单位整体支出和项目绩效目标1个，按规定随年度预算一并公开项目1个，公开率为100%。</w:t>
      </w:r>
    </w:p>
    <w:p w14:paraId="344BFE46">
      <w:pPr>
        <w:adjustRightInd w:val="0"/>
        <w:snapToGrid w:val="0"/>
        <w:spacing w:line="640" w:lineRule="exact"/>
        <w:ind w:firstLine="643" w:firstLineChars="200"/>
        <w:contextualSpacing/>
        <w:rPr>
          <w:rFonts w:ascii="黑体" w:hAnsi="黑体" w:eastAsia="黑体"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2.绩效运行监控情况。</w:t>
      </w:r>
      <w:r>
        <w:rPr>
          <w:rFonts w:hint="eastAsia" w:ascii="仿宋_GB2312" w:hAnsi="宋体" w:eastAsia="仿宋_GB2312" w:cs="宋体"/>
          <w:kern w:val="0"/>
          <w:sz w:val="32"/>
          <w:szCs w:val="32"/>
          <w:lang w:val="en-US" w:eastAsia="zh-CN" w:bidi="ar-SA"/>
        </w:rPr>
        <w:t>2025年7月，组织开展1-6月绩效运行监控项目8个，占本部门/单位项目的100 %。截至7月底，如期完成预算执行和绩效目标指标值的项目8个，完成率为100 %。“双监控”发现存在的问题和主要原因是：资金支付率低。开展1-9月绩效运行监控项目11个，占本部门（单位）项目的100%。截至10月底，如期完成预算执行和绩效目标指标值的项目11个，完成率为100%。“双监控”发现存在的问题和主要原因是：无。绩效运行监控在部门内部通报整改情况：无。</w:t>
      </w:r>
    </w:p>
    <w:p w14:paraId="37F030EF">
      <w:pPr>
        <w:adjustRightInd w:val="0"/>
        <w:snapToGrid w:val="0"/>
        <w:spacing w:line="640" w:lineRule="exact"/>
        <w:ind w:firstLine="643" w:firstLineChars="200"/>
        <w:contextualSpacing/>
        <w:rPr>
          <w:rFonts w:ascii="黑体" w:hAnsi="黑体" w:eastAsia="黑体"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3.绩效自评开展情况。</w:t>
      </w:r>
      <w:r>
        <w:rPr>
          <w:rFonts w:hint="eastAsia" w:ascii="仿宋_GB2312" w:hAnsi="宋体" w:eastAsia="仿宋_GB2312" w:cs="宋体"/>
          <w:kern w:val="0"/>
          <w:sz w:val="32"/>
          <w:szCs w:val="32"/>
          <w:lang w:val="en-US" w:eastAsia="zh-CN" w:bidi="ar-SA"/>
        </w:rPr>
        <w:t>2025年度，组织开展绩效自评项目共1个，其中，部门（单位）整体支出1个，项目支出0个，转移支付项目0个，绩效自评覆盖率为100%。绩效自评结果随部门决算报送财政和随决算公开情况：及时公开。</w:t>
      </w:r>
    </w:p>
    <w:p w14:paraId="0D838EF1">
      <w:pPr>
        <w:adjustRightInd w:val="0"/>
        <w:snapToGrid w:val="0"/>
        <w:spacing w:line="640" w:lineRule="exact"/>
        <w:ind w:firstLine="643" w:firstLineChars="200"/>
        <w:contextualSpacing/>
        <w:rPr>
          <w:rFonts w:ascii="黑体" w:hAnsi="黑体" w:eastAsia="黑体"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4.绩效结果应用情况。</w:t>
      </w:r>
      <w:r>
        <w:rPr>
          <w:rFonts w:hint="eastAsia" w:ascii="仿宋_GB2312" w:hAnsi="宋体" w:eastAsia="仿宋_GB2312" w:cs="宋体"/>
          <w:kern w:val="0"/>
          <w:sz w:val="32"/>
          <w:szCs w:val="32"/>
          <w:lang w:val="en-US" w:eastAsia="zh-CN" w:bidi="ar-SA"/>
        </w:rPr>
        <w:t>根据2025年度绩效运行监控、绩效自评等情况，当年盘活财政资金0万元，2026年度增加（减少）部门预算项目0个，增长率/压减率0%。同时对政策和项目资金管理作出调整的   0个。</w:t>
      </w:r>
    </w:p>
    <w:p w14:paraId="75A3A179">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（二）2026年绩效目标编制情况</w:t>
      </w:r>
    </w:p>
    <w:p w14:paraId="20FFD91F">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2026年，纳入部门/单位预算绩效目标管理的项目1个。其中，部门整体支出绩效目标围绕部门管理、履职效果、能力建设三个维度，设置二级指标18个、三级指标36个。各项绩效目标内容指向明确、细化量化、合理可行，符合规定的格式要求。</w:t>
      </w:r>
    </w:p>
    <w:p w14:paraId="55D0DC44">
      <w:pPr>
        <w:widowControl/>
        <w:spacing w:line="560" w:lineRule="exact"/>
        <w:ind w:firstLine="640" w:firstLineChars="200"/>
        <w:jc w:val="left"/>
        <w:rPr>
          <w:rFonts w:ascii="仿宋_GB2312" w:hAnsi="仿宋" w:eastAsia="仿宋_GB2312" w:cs="Times New Roman"/>
          <w:kern w:val="2"/>
          <w:sz w:val="32"/>
          <w:szCs w:val="32"/>
          <w:lang w:val="en-US" w:eastAsia="zh-CN" w:bidi="ar-SA"/>
        </w:rPr>
      </w:pPr>
      <w:r>
        <w:rPr>
          <w:rFonts w:hint="eastAsia" w:ascii="仿宋_GB2312" w:hAnsi="宋体" w:eastAsia="仿宋_GB2312" w:cs="宋体"/>
          <w:kern w:val="0"/>
          <w:sz w:val="32"/>
          <w:szCs w:val="32"/>
          <w:lang w:val="en-US" w:eastAsia="zh-CN" w:bidi="ar-SA"/>
        </w:rPr>
        <w:t>2026年度具体绩效目标如下：</w:t>
      </w:r>
    </w:p>
    <w:p w14:paraId="6A481E10">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1. 确保资金按财务制度、年初预算规定拨付</w:t>
      </w:r>
    </w:p>
    <w:p w14:paraId="4C17E3A9">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2. 人员工资、福利及时足额发放，确保学校正常运转</w:t>
      </w:r>
    </w:p>
    <w:p w14:paraId="4C1EBE8B">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3. 通过财务精细化、科学化管理，进一步提高学校教学水平</w:t>
      </w:r>
    </w:p>
    <w:p w14:paraId="6E797192">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核心绩效指标：</w:t>
      </w:r>
    </w:p>
    <w:p w14:paraId="5C781747">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预算执行率：=100%</w:t>
      </w:r>
    </w:p>
    <w:p w14:paraId="28375884">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预算调整率：≤5%</w:t>
      </w:r>
    </w:p>
    <w:p w14:paraId="22636EBA">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'三公'经费控制率：≤100%</w:t>
      </w:r>
    </w:p>
    <w:p w14:paraId="562E493B">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开设班级数量：7个</w:t>
      </w:r>
    </w:p>
    <w:p w14:paraId="73FC6877">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资金保障人数：20人</w:t>
      </w:r>
    </w:p>
    <w:p w14:paraId="38E0B534">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开展校本部教研活动：15次</w:t>
      </w:r>
    </w:p>
    <w:p w14:paraId="5B8AFE8C">
      <w:pPr>
        <w:widowControl/>
        <w:spacing w:line="560" w:lineRule="exact"/>
        <w:ind w:firstLine="640" w:firstLineChars="200"/>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 组织校园文化艺术节活动：1次</w:t>
      </w:r>
    </w:p>
    <w:p w14:paraId="28877E18">
      <w:pPr>
        <w:spacing w:line="600" w:lineRule="exact"/>
        <w:ind w:firstLine="643" w:firstLineChars="200"/>
        <w:rPr>
          <w:rFonts w:ascii="楷体_GB2312" w:hAnsi="楷体" w:eastAsia="楷体_GB2312" w:cs="Times New Roman"/>
          <w:kern w:val="2"/>
          <w:sz w:val="32"/>
          <w:szCs w:val="32"/>
          <w:lang w:val="en-US" w:eastAsia="zh-CN" w:bidi="ar-SA"/>
        </w:rPr>
      </w:pPr>
      <w:r>
        <w:rPr>
          <w:rFonts w:hint="eastAsia" w:ascii="楷体_GB2312" w:hAnsi="楷体" w:eastAsia="楷体_GB2312" w:cs="宋体"/>
          <w:b/>
          <w:bCs/>
          <w:kern w:val="0"/>
          <w:sz w:val="32"/>
          <w:szCs w:val="32"/>
          <w:lang w:val="en-US" w:eastAsia="zh-CN" w:bidi="ar-SA"/>
        </w:rPr>
        <w:t>十一、名词解释</w:t>
      </w:r>
    </w:p>
    <w:p w14:paraId="120ADECF">
      <w:pPr>
        <w:adjustRightInd w:val="0"/>
        <w:snapToGrid w:val="0"/>
        <w:spacing w:line="640" w:lineRule="exact"/>
        <w:ind w:firstLine="643" w:firstLineChars="200"/>
        <w:contextualSpacing/>
        <w:rPr>
          <w:rFonts w:ascii="仿宋_GB2312" w:hAnsi="宋体" w:eastAsia="仿宋_GB2312"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1、财政拨款:</w:t>
      </w:r>
      <w:r>
        <w:rPr>
          <w:rFonts w:hint="eastAsia" w:ascii="仿宋_GB2312" w:hAnsi="宋体" w:eastAsia="仿宋_GB2312" w:cs="宋体"/>
          <w:kern w:val="0"/>
          <w:sz w:val="32"/>
          <w:szCs w:val="32"/>
          <w:lang w:val="en-US" w:eastAsia="zh-CN" w:bidi="ar-SA"/>
        </w:rPr>
        <w:t>指由一般公共预算、政府性基金预算、国有资本经营预算安排的财政拨款数。</w:t>
      </w:r>
    </w:p>
    <w:p w14:paraId="009A191D">
      <w:pPr>
        <w:adjustRightInd w:val="0"/>
        <w:snapToGrid w:val="0"/>
        <w:spacing w:line="640" w:lineRule="exact"/>
        <w:ind w:firstLine="643" w:firstLineChars="200"/>
        <w:contextualSpacing/>
        <w:rPr>
          <w:rFonts w:ascii="仿宋_GB2312" w:hAnsi="宋体" w:eastAsia="仿宋_GB2312"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2、一般公共预算:</w:t>
      </w:r>
      <w:r>
        <w:rPr>
          <w:rFonts w:hint="eastAsia" w:ascii="仿宋_GB2312" w:hAnsi="宋体" w:eastAsia="仿宋_GB2312" w:cs="宋体"/>
          <w:kern w:val="0"/>
          <w:sz w:val="32"/>
          <w:szCs w:val="32"/>
          <w:lang w:val="en-US" w:eastAsia="zh-CN" w:bidi="ar-SA"/>
        </w:rPr>
        <w:t>包括公共财政拨款（补助）资金、专项收入。</w:t>
      </w:r>
    </w:p>
    <w:p w14:paraId="7128870E">
      <w:pPr>
        <w:adjustRightInd w:val="0"/>
        <w:snapToGrid w:val="0"/>
        <w:spacing w:line="640" w:lineRule="exact"/>
        <w:ind w:firstLine="643" w:firstLineChars="200"/>
        <w:contextualSpacing/>
        <w:rPr>
          <w:rFonts w:ascii="仿宋_GB2312" w:hAnsi="宋体" w:eastAsia="仿宋_GB2312"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3、财政专户管理资金:</w:t>
      </w:r>
      <w:r>
        <w:rPr>
          <w:rFonts w:hint="eastAsia" w:ascii="仿宋_GB2312" w:hAnsi="宋体" w:eastAsia="仿宋_GB2312" w:cs="宋体"/>
          <w:kern w:val="0"/>
          <w:sz w:val="32"/>
          <w:szCs w:val="32"/>
          <w:lang w:val="en-US" w:eastAsia="zh-CN" w:bidi="ar-SA"/>
        </w:rPr>
        <w:t>包括专户管理行政事业性收费（主要是教育收费）、其他非税收入。</w:t>
      </w:r>
    </w:p>
    <w:p w14:paraId="7DB134DD">
      <w:pPr>
        <w:adjustRightInd w:val="0"/>
        <w:snapToGrid w:val="0"/>
        <w:spacing w:line="640" w:lineRule="exact"/>
        <w:ind w:firstLine="643" w:firstLineChars="200"/>
        <w:contextualSpacing/>
        <w:rPr>
          <w:rFonts w:ascii="仿宋_GB2312" w:hAnsi="宋体" w:eastAsia="仿宋_GB2312"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4、其他资金:</w:t>
      </w:r>
      <w:r>
        <w:rPr>
          <w:rFonts w:hint="eastAsia" w:ascii="仿宋_GB2312" w:hAnsi="宋体" w:eastAsia="仿宋_GB2312" w:cs="宋体"/>
          <w:kern w:val="0"/>
          <w:sz w:val="32"/>
          <w:szCs w:val="32"/>
          <w:lang w:val="en-US" w:eastAsia="zh-CN" w:bidi="ar-SA"/>
        </w:rPr>
        <w:t>包括事业收入、事业经营收入、其他收入等。</w:t>
      </w:r>
    </w:p>
    <w:p w14:paraId="743E5D24">
      <w:pPr>
        <w:adjustRightInd w:val="0"/>
        <w:snapToGrid w:val="0"/>
        <w:spacing w:line="640" w:lineRule="exact"/>
        <w:ind w:firstLine="643" w:firstLineChars="200"/>
        <w:contextualSpacing/>
        <w:rPr>
          <w:rFonts w:ascii="仿宋_GB2312" w:hAnsi="宋体" w:eastAsia="仿宋_GB2312"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5、基本支出:</w:t>
      </w:r>
      <w:r>
        <w:rPr>
          <w:rFonts w:hint="eastAsia" w:ascii="仿宋_GB2312" w:hAnsi="宋体" w:eastAsia="仿宋_GB2312" w:cs="宋体"/>
          <w:kern w:val="0"/>
          <w:sz w:val="32"/>
          <w:szCs w:val="32"/>
          <w:lang w:val="en-US" w:eastAsia="zh-CN" w:bidi="ar-SA"/>
        </w:rPr>
        <w:t>包括人员经费、公用经费（定额）。其中，人员经费包括工资福利支出、对个人和家庭的补助。</w:t>
      </w:r>
    </w:p>
    <w:p w14:paraId="46283597">
      <w:pPr>
        <w:adjustRightInd w:val="0"/>
        <w:snapToGrid w:val="0"/>
        <w:spacing w:line="640" w:lineRule="exact"/>
        <w:ind w:firstLine="643" w:firstLineChars="200"/>
        <w:contextualSpacing/>
        <w:rPr>
          <w:rFonts w:ascii="仿宋_GB2312" w:hAnsi="宋体" w:eastAsia="仿宋_GB2312"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6、项目支出:</w:t>
      </w:r>
      <w:r>
        <w:rPr>
          <w:rFonts w:hint="eastAsia" w:ascii="仿宋_GB2312" w:hAnsi="宋体" w:eastAsia="仿宋_GB2312" w:cs="宋体"/>
          <w:kern w:val="0"/>
          <w:sz w:val="32"/>
          <w:szCs w:val="32"/>
          <w:lang w:val="en-US" w:eastAsia="zh-CN" w:bidi="ar-SA"/>
        </w:rPr>
        <w:t>部门（单位）支出预算的组成部分，是各部门（单位）为完成其特定的行政任务或事业发展目标，在基本支出预算之外编制的年度项目支出计划。</w:t>
      </w:r>
    </w:p>
    <w:p w14:paraId="2A04782D">
      <w:pPr>
        <w:adjustRightInd w:val="0"/>
        <w:snapToGrid w:val="0"/>
        <w:spacing w:line="640" w:lineRule="exact"/>
        <w:ind w:firstLine="643" w:firstLineChars="200"/>
        <w:contextualSpacing/>
        <w:rPr>
          <w:rFonts w:ascii="仿宋_GB2312" w:hAnsi="宋体" w:eastAsia="仿宋_GB2312"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7、“三公”经费:</w:t>
      </w:r>
      <w:r>
        <w:rPr>
          <w:rFonts w:hint="eastAsia" w:ascii="仿宋_GB2312" w:hAnsi="宋体" w:eastAsia="仿宋_GB2312" w:cs="宋体"/>
          <w:kern w:val="0"/>
          <w:sz w:val="32"/>
          <w:szCs w:val="32"/>
          <w:lang w:val="en-US" w:eastAsia="zh-CN" w:bidi="ar-SA"/>
        </w:rPr>
        <w:t>指因公出国（境）费、公务用车购置及运行维护费和公务接待费。其中，因公出国（境）费反映单位公务出国（境）的国际旅费、国外城市间交通费、住宿费、伙食费、培训费、公杂费</w:t>
      </w:r>
      <w:bookmarkStart w:id="0" w:name="_GoBack"/>
      <w:bookmarkEnd w:id="0"/>
      <w:r>
        <w:rPr>
          <w:rFonts w:hint="eastAsia" w:ascii="仿宋_GB2312" w:hAnsi="宋体" w:eastAsia="仿宋_GB2312" w:cs="宋体"/>
          <w:kern w:val="0"/>
          <w:sz w:val="32"/>
          <w:szCs w:val="32"/>
          <w:lang w:val="en-US" w:eastAsia="zh-CN" w:bidi="ar-SA"/>
        </w:rPr>
        <w:t>等支出；公务用车运行维护费反映单位按规定保留的公务用车租用费、燃料费、维修费、过路过桥费、保险费、安全奖励费用等支出；公务接待费反映单位按规定开支的各类公务接待（含外宾接待）支出。</w:t>
      </w:r>
    </w:p>
    <w:p w14:paraId="3410CEBC">
      <w:pPr>
        <w:adjustRightInd w:val="0"/>
        <w:snapToGrid w:val="0"/>
        <w:spacing w:line="640" w:lineRule="exact"/>
        <w:ind w:firstLine="643" w:firstLineChars="200"/>
        <w:contextualSpacing/>
        <w:rPr>
          <w:rFonts w:ascii="仿宋_GB2312" w:hAnsi="宋体" w:eastAsia="仿宋_GB2312" w:cs="宋体"/>
          <w:kern w:val="0"/>
          <w:sz w:val="32"/>
          <w:szCs w:val="32"/>
          <w:lang w:val="en-US" w:eastAsia="zh-CN" w:bidi="ar-SA"/>
        </w:rPr>
      </w:pPr>
      <w:r>
        <w:rPr>
          <w:rFonts w:hint="eastAsia" w:ascii="仿宋_GB2312" w:hAnsi="CIDFont+F4" w:eastAsia="仿宋_GB2312" w:cs="Times New Roman"/>
          <w:b/>
          <w:color w:val="000000"/>
          <w:kern w:val="2"/>
          <w:sz w:val="32"/>
          <w:szCs w:val="32"/>
          <w:lang w:val="en-US" w:eastAsia="zh-CN" w:bidi="ar-SA"/>
        </w:rPr>
        <w:t>8、机关运行经费:</w:t>
      </w:r>
      <w:r>
        <w:rPr>
          <w:rFonts w:hint="eastAsia" w:ascii="仿宋_GB2312" w:hAnsi="宋体" w:eastAsia="仿宋_GB2312" w:cs="宋体"/>
          <w:kern w:val="0"/>
          <w:sz w:val="32"/>
          <w:szCs w:val="32"/>
          <w:lang w:val="en-US" w:eastAsia="zh-CN" w:bidi="ar-SA"/>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69E9CBDE">
      <w:pPr>
        <w:adjustRightInd w:val="0"/>
        <w:snapToGrid w:val="0"/>
        <w:spacing w:line="640" w:lineRule="exact"/>
        <w:contextualSpacing/>
        <w:jc w:val="center"/>
        <w:rPr>
          <w:rFonts w:hint="eastAsia" w:ascii="仿宋_GB2312" w:hAnsi="CIDFont+F6" w:eastAsia="仿宋_GB2312" w:cs="Times New Roman"/>
          <w:color w:val="000000"/>
          <w:kern w:val="2"/>
          <w:sz w:val="32"/>
          <w:szCs w:val="32"/>
          <w:lang w:val="en-US" w:eastAsia="zh-CN" w:bidi="ar-SA"/>
        </w:rPr>
      </w:pPr>
      <w:r>
        <w:rPr>
          <w:rFonts w:hint="eastAsia" w:ascii="仿宋_GB2312" w:hAnsi="宋体" w:eastAsia="仿宋_GB2312" w:cs="宋体"/>
          <w:kern w:val="0"/>
          <w:sz w:val="32"/>
          <w:szCs w:val="32"/>
          <w:lang w:val="en-US" w:eastAsia="zh-CN" w:bidi="ar-SA"/>
        </w:rPr>
        <w:t xml:space="preserve">     华池县上堡子小学</w:t>
      </w:r>
    </w:p>
    <w:p w14:paraId="2C527312">
      <w:pPr>
        <w:adjustRightInd w:val="0"/>
        <w:snapToGrid w:val="0"/>
        <w:spacing w:line="640" w:lineRule="exact"/>
        <w:contextualSpacing/>
        <w:jc w:val="center"/>
        <w:rPr>
          <w:rFonts w:hint="eastAsia" w:ascii="仿宋_GB2312" w:hAnsi="CIDFont+F6" w:eastAsia="仿宋_GB2312" w:cs="Times New Roman"/>
          <w:color w:val="000000"/>
          <w:kern w:val="2"/>
          <w:sz w:val="32"/>
          <w:szCs w:val="32"/>
          <w:lang w:val="en-US" w:eastAsia="zh-CN" w:bidi="ar-SA"/>
        </w:rPr>
      </w:pPr>
      <w:r>
        <w:rPr>
          <w:rFonts w:hint="eastAsia" w:ascii="仿宋_GB2312" w:hAnsi="宋体" w:eastAsia="仿宋_GB2312" w:cs="宋体"/>
          <w:kern w:val="0"/>
          <w:sz w:val="32"/>
          <w:szCs w:val="32"/>
          <w:lang w:val="en-US" w:eastAsia="zh-CN" w:bidi="ar-SA"/>
        </w:rPr>
        <w:t xml:space="preserve">            2026年3月16日</w:t>
      </w:r>
    </w:p>
    <w:p w14:paraId="7745D017">
      <w:pPr>
        <w:adjustRightInd w:val="0"/>
        <w:snapToGrid w:val="0"/>
        <w:spacing w:line="640" w:lineRule="exact"/>
        <w:contextualSpacing/>
        <w:rPr>
          <w:rFonts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附件：1.华池县上堡子小学2026年单位预算公开表</w:t>
      </w:r>
    </w:p>
    <w:p w14:paraId="7F262CF2">
      <w:pPr>
        <w:tabs>
          <w:tab w:val="left" w:pos="1272"/>
        </w:tabs>
        <w:ind w:firstLine="960" w:firstLineChars="300"/>
      </w:pPr>
      <w:r>
        <w:rPr>
          <w:rFonts w:hint="eastAsia" w:ascii="仿宋_GB2312" w:hAnsi="宋体" w:eastAsia="仿宋_GB2312" w:cs="宋体"/>
          <w:kern w:val="0"/>
          <w:sz w:val="32"/>
          <w:szCs w:val="32"/>
          <w:lang w:val="en-US" w:eastAsia="zh-CN" w:bidi="ar-SA"/>
        </w:rPr>
        <w:t>2.华池县上堡子小学2026年单位整体支出绩效目标及预算项目绩效目标表</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DC2C42-AB57-494A-9952-677608EE077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48BAD96-6D93-4021-BF21-3B4A38A47ABE}"/>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62DD38D2-0965-4CA5-AEAF-B0F8357B074B}"/>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embedRegular r:id="rId4" w:fontKey="{35C52363-B47B-4ADC-8851-36B2E78BD119}"/>
  </w:font>
  <w:font w:name="CIDFont+F4">
    <w:altName w:val="Arial"/>
    <w:panose1 w:val="00000000000000000000"/>
    <w:charset w:val="00"/>
    <w:family w:val="roman"/>
    <w:pitch w:val="default"/>
    <w:sig w:usb0="00000000" w:usb1="00000000" w:usb2="00000000" w:usb3="00000000" w:csb0="00000000" w:csb1="00000000"/>
    <w:embedRegular r:id="rId5" w:fontKey="{713AD284-ECF9-4958-BB8D-8F60113F7621}"/>
  </w:font>
  <w:font w:name="楷体_GB2312">
    <w:panose1 w:val="02010609030101010101"/>
    <w:charset w:val="86"/>
    <w:family w:val="modern"/>
    <w:pitch w:val="default"/>
    <w:sig w:usb0="00000001" w:usb1="080E0000" w:usb2="00000000" w:usb3="00000000" w:csb0="00040000" w:csb1="00000000"/>
    <w:embedRegular r:id="rId6" w:fontKey="{2AD18A78-2E75-4A71-9C72-92C049CB82AE}"/>
  </w:font>
  <w:font w:name="楷体">
    <w:panose1 w:val="02010609060101010101"/>
    <w:charset w:val="86"/>
    <w:family w:val="modern"/>
    <w:pitch w:val="default"/>
    <w:sig w:usb0="800002BF" w:usb1="38CF7CFA" w:usb2="00000016" w:usb3="00000000" w:csb0="00040001" w:csb1="00000000"/>
    <w:embedRegular r:id="rId7" w:fontKey="{86DE59FE-9637-4832-A729-F48C1F644273}"/>
  </w:font>
  <w:font w:name="CIDFont+F6">
    <w:altName w:val="Arial"/>
    <w:panose1 w:val="00000000000000000000"/>
    <w:charset w:val="00"/>
    <w:family w:val="roman"/>
    <w:pitch w:val="default"/>
    <w:sig w:usb0="00000000" w:usb1="00000000" w:usb2="00000000" w:usb3="00000000" w:csb0="00000000" w:csb1="00000000"/>
    <w:embedRegular r:id="rId8" w:fontKey="{13717165-57E6-483F-9D18-6F9037E89D9E}"/>
  </w:font>
  <w:font w:name="方正公文小标宋">
    <w:panose1 w:val="02000500000000000000"/>
    <w:charset w:val="86"/>
    <w:family w:val="auto"/>
    <w:pitch w:val="default"/>
    <w:sig w:usb0="A00002BF" w:usb1="38CF7CFA" w:usb2="00000016" w:usb3="00000000" w:csb0="00040001" w:csb1="00000000"/>
    <w:embedRegular r:id="rId9" w:fontKey="{605C2EB8-38DE-4AD2-9F34-FDE0EE3BB9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810C1F"/>
    <w:rsid w:val="02E03DF9"/>
    <w:rsid w:val="090666F2"/>
    <w:rsid w:val="0A373CCF"/>
    <w:rsid w:val="10F82CE4"/>
    <w:rsid w:val="113741D2"/>
    <w:rsid w:val="18330BA7"/>
    <w:rsid w:val="1D34261E"/>
    <w:rsid w:val="29CE3CF8"/>
    <w:rsid w:val="2B8F6595"/>
    <w:rsid w:val="38DF51C6"/>
    <w:rsid w:val="3F77BA02"/>
    <w:rsid w:val="40731D97"/>
    <w:rsid w:val="42A05423"/>
    <w:rsid w:val="4C433C79"/>
    <w:rsid w:val="527E074E"/>
    <w:rsid w:val="56393C72"/>
    <w:rsid w:val="579503FF"/>
    <w:rsid w:val="60535296"/>
    <w:rsid w:val="647B7A37"/>
    <w:rsid w:val="68A240D7"/>
    <w:rsid w:val="72FD2525"/>
    <w:rsid w:val="751F5DDE"/>
    <w:rsid w:val="76433BA8"/>
    <w:rsid w:val="77E73B62"/>
    <w:rsid w:val="78106856"/>
    <w:rsid w:val="FF7FF91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11</Pages>
  <Words>3854</Words>
  <Characters>4164</Characters>
  <Lines>68</Lines>
  <Paragraphs>19</Paragraphs>
  <TotalTime>65</TotalTime>
  <ScaleCrop>false</ScaleCrop>
  <LinksUpToDate>false</LinksUpToDate>
  <CharactersWithSpaces>4193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2024-01-31T01:03:00Z</dcterms:created>
  <dc:creator>home</dc:creator>
  <cp:lastModifiedBy>张峰</cp:lastModifiedBy>
  <cp:lastPrinted>2026-03-16T01:35:17Z</cp:lastPrinted>
  <dcterms:modified xsi:type="dcterms:W3CDTF">2026-03-16T03:07:06Z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4A07CBADCE1B47E198D7784A718732F2_13</vt:lpwstr>
  </property>
  <property fmtid="{D5CDD505-2E9C-101B-9397-08002B2CF9AE}" pid="4" name="KSOTemplateDocerSaveRecord">
    <vt:lpwstr>eyJoZGlkIjoiZGUzOTRlYjNkMWU0MDE2ZjBiOWNmNjJhZTE0ZDFkMzIiLCJ1c2VySWQiOiIyMDM1OTgzODgifQ==</vt:lpwstr>
  </property>
</Properties>
</file>