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D8B6B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hint="default" w:ascii="Times New Roman" w:hAnsi="Times New Roman" w:cs="Times New Roman"/>
          <w:b/>
          <w:bCs/>
          <w:kern w:val="0"/>
          <w:sz w:val="44"/>
          <w:szCs w:val="44"/>
        </w:rPr>
      </w:pPr>
    </w:p>
    <w:p w14:paraId="0065D36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hint="default" w:ascii="Times New Roman" w:hAnsi="Times New Roman" w:cs="Times New Roman"/>
          <w:b/>
          <w:bCs/>
          <w:kern w:val="0"/>
          <w:sz w:val="44"/>
          <w:szCs w:val="44"/>
        </w:rPr>
      </w:pPr>
    </w:p>
    <w:p w14:paraId="5AF7918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hint="default" w:ascii="Times New Roman" w:hAnsi="Times New Roman" w:cs="Times New Roman"/>
          <w:b/>
          <w:bCs/>
          <w:kern w:val="0"/>
          <w:sz w:val="44"/>
          <w:szCs w:val="44"/>
        </w:rPr>
      </w:pPr>
    </w:p>
    <w:p w14:paraId="1F312F7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right="0"/>
        <w:jc w:val="center"/>
        <w:textAlignment w:val="auto"/>
        <w:outlineLvl w:val="9"/>
        <w:rPr>
          <w:rFonts w:hint="default" w:ascii="Times New Roman" w:hAnsi="Times New Roman" w:cs="Times New Roman"/>
          <w:b/>
          <w:bCs/>
          <w:kern w:val="0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kern w:val="0"/>
          <w:sz w:val="44"/>
          <w:szCs w:val="44"/>
          <w:lang w:eastAsia="zh-CN"/>
        </w:rPr>
        <w:t>中共华池县委组织部</w:t>
      </w:r>
    </w:p>
    <w:p w14:paraId="503BE7B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right="0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kern w:val="0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简体" w:cs="Times New Roman"/>
          <w:kern w:val="0"/>
          <w:sz w:val="44"/>
          <w:szCs w:val="44"/>
          <w:lang w:val="en-US" w:eastAsia="zh-CN"/>
        </w:rPr>
        <w:t>202</w:t>
      </w:r>
      <w:r>
        <w:rPr>
          <w:rFonts w:hint="eastAsia" w:ascii="Times New Roman" w:hAnsi="Times New Roman" w:eastAsia="方正小标宋简体" w:cs="Times New Roman"/>
          <w:kern w:val="0"/>
          <w:sz w:val="44"/>
          <w:szCs w:val="44"/>
          <w:lang w:val="en-US" w:eastAsia="zh-CN"/>
        </w:rPr>
        <w:t>6</w:t>
      </w:r>
      <w:r>
        <w:rPr>
          <w:rFonts w:hint="default" w:ascii="Times New Roman" w:hAnsi="Times New Roman" w:eastAsia="方正小标宋简体" w:cs="Times New Roman"/>
          <w:kern w:val="0"/>
          <w:sz w:val="44"/>
          <w:szCs w:val="44"/>
          <w:lang w:eastAsia="zh-CN"/>
        </w:rPr>
        <w:t>年度</w:t>
      </w:r>
      <w:r>
        <w:rPr>
          <w:rFonts w:hint="eastAsia" w:ascii="Times New Roman" w:hAnsi="Times New Roman" w:eastAsia="方正小标宋简体" w:cs="Times New Roman"/>
          <w:kern w:val="0"/>
          <w:sz w:val="44"/>
          <w:szCs w:val="44"/>
          <w:lang w:val="en-US" w:eastAsia="zh-CN"/>
        </w:rPr>
        <w:t>部门</w:t>
      </w:r>
      <w:r>
        <w:rPr>
          <w:rFonts w:hint="default" w:ascii="Times New Roman" w:hAnsi="Times New Roman" w:eastAsia="方正小标宋简体" w:cs="Times New Roman"/>
          <w:kern w:val="0"/>
          <w:sz w:val="44"/>
          <w:szCs w:val="44"/>
          <w:lang w:eastAsia="zh-CN"/>
        </w:rPr>
        <w:t>预算公开</w:t>
      </w:r>
      <w:r>
        <w:rPr>
          <w:rFonts w:hint="default" w:ascii="Times New Roman" w:hAnsi="Times New Roman" w:eastAsia="方正小标宋简体" w:cs="Times New Roman"/>
          <w:kern w:val="0"/>
          <w:sz w:val="44"/>
          <w:szCs w:val="44"/>
          <w:lang w:val="en-US" w:eastAsia="zh-CN"/>
        </w:rPr>
        <w:t>说明</w:t>
      </w:r>
    </w:p>
    <w:p w14:paraId="2329893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hint="default" w:ascii="Times New Roman" w:hAnsi="Times New Roman" w:cs="Times New Roman"/>
          <w:b/>
          <w:bCs/>
          <w:kern w:val="0"/>
          <w:sz w:val="44"/>
          <w:szCs w:val="44"/>
        </w:rPr>
      </w:pPr>
      <w:r>
        <w:rPr>
          <w:rFonts w:hint="default" w:ascii="Times New Roman" w:hAnsi="Times New Roman" w:cs="Times New Roman"/>
          <w:b/>
          <w:bCs/>
          <w:kern w:val="0"/>
          <w:sz w:val="44"/>
          <w:szCs w:val="44"/>
        </w:rPr>
        <w:t>目  录</w:t>
      </w:r>
    </w:p>
    <w:p w14:paraId="404A490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hint="default" w:ascii="Times New Roman" w:hAnsi="Times New Roman" w:cs="Times New Roman"/>
          <w:b/>
          <w:bCs/>
          <w:kern w:val="0"/>
          <w:sz w:val="44"/>
          <w:szCs w:val="44"/>
        </w:rPr>
      </w:pPr>
    </w:p>
    <w:p w14:paraId="581C728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hint="default" w:ascii="Times New Roman" w:hAnsi="Times New Roman" w:eastAsia="黑体" w:cs="Times New Roman"/>
          <w:color w:val="000000"/>
          <w:sz w:val="18"/>
          <w:szCs w:val="18"/>
        </w:rPr>
      </w:pPr>
    </w:p>
    <w:p w14:paraId="5300202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02" w:firstLineChars="200"/>
        <w:jc w:val="left"/>
        <w:textAlignment w:val="auto"/>
        <w:rPr>
          <w:rFonts w:hint="default" w:ascii="Times New Roman" w:hAnsi="Times New Roman" w:eastAsia="仿宋_GB2312" w:cs="Times New Roman"/>
          <w:b/>
          <w:color w:val="000000"/>
          <w:sz w:val="30"/>
          <w:szCs w:val="30"/>
        </w:rPr>
      </w:pPr>
      <w:r>
        <w:rPr>
          <w:rFonts w:hint="default" w:ascii="Times New Roman" w:hAnsi="Times New Roman" w:eastAsia="仿宋_GB2312" w:cs="Times New Roman"/>
          <w:b/>
          <w:color w:val="000000"/>
          <w:sz w:val="30"/>
          <w:szCs w:val="30"/>
        </w:rPr>
        <w:t>第一部分 部门/单位基本概况</w:t>
      </w:r>
    </w:p>
    <w:p w14:paraId="70C024E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0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000000"/>
          <w:sz w:val="30"/>
          <w:szCs w:val="30"/>
        </w:rPr>
      </w:pPr>
      <w:r>
        <w:rPr>
          <w:rFonts w:hint="default" w:ascii="Times New Roman" w:hAnsi="Times New Roman" w:eastAsia="仿宋_GB2312" w:cs="Times New Roman"/>
          <w:color w:val="000000"/>
          <w:sz w:val="30"/>
          <w:szCs w:val="30"/>
        </w:rPr>
        <w:t>一、部门/单位职责</w:t>
      </w:r>
    </w:p>
    <w:p w14:paraId="4D83AF2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0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000000"/>
          <w:sz w:val="30"/>
          <w:szCs w:val="30"/>
        </w:rPr>
      </w:pPr>
      <w:r>
        <w:rPr>
          <w:rFonts w:hint="default" w:ascii="Times New Roman" w:hAnsi="Times New Roman" w:eastAsia="仿宋_GB2312" w:cs="Times New Roman"/>
          <w:color w:val="000000"/>
          <w:sz w:val="30"/>
          <w:szCs w:val="30"/>
        </w:rPr>
        <w:t>二、机构设置情况</w:t>
      </w:r>
    </w:p>
    <w:p w14:paraId="433351F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02" w:firstLineChars="200"/>
        <w:jc w:val="left"/>
        <w:textAlignment w:val="auto"/>
        <w:rPr>
          <w:rFonts w:hint="default" w:ascii="Times New Roman" w:hAnsi="Times New Roman" w:eastAsia="仿宋_GB2312" w:cs="Times New Roman"/>
          <w:b/>
          <w:color w:val="000000"/>
          <w:sz w:val="30"/>
          <w:szCs w:val="30"/>
        </w:rPr>
      </w:pPr>
      <w:r>
        <w:rPr>
          <w:rFonts w:hint="default" w:ascii="Times New Roman" w:hAnsi="Times New Roman" w:eastAsia="仿宋_GB2312" w:cs="Times New Roman"/>
          <w:b/>
          <w:color w:val="000000"/>
          <w:sz w:val="30"/>
          <w:szCs w:val="30"/>
        </w:rPr>
        <w:t xml:space="preserve">第二部分 </w:t>
      </w:r>
      <w:r>
        <w:rPr>
          <w:rFonts w:hint="default" w:ascii="Times New Roman" w:hAnsi="Times New Roman" w:eastAsia="仿宋_GB2312" w:cs="Times New Roman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Times New Roman" w:hAnsi="Times New Roman" w:eastAsia="仿宋_GB2312" w:cs="Times New Roman"/>
          <w:b/>
          <w:color w:val="000000"/>
          <w:sz w:val="30"/>
          <w:szCs w:val="30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b/>
          <w:color w:val="000000"/>
          <w:sz w:val="30"/>
          <w:szCs w:val="30"/>
        </w:rPr>
        <w:t>年部门/单位预算情况说明</w:t>
      </w:r>
    </w:p>
    <w:p w14:paraId="44EBD67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0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000000"/>
          <w:sz w:val="30"/>
          <w:szCs w:val="30"/>
        </w:rPr>
      </w:pPr>
      <w:r>
        <w:rPr>
          <w:rFonts w:hint="default" w:ascii="Times New Roman" w:hAnsi="Times New Roman" w:eastAsia="仿宋_GB2312" w:cs="Times New Roman"/>
          <w:color w:val="000000"/>
          <w:sz w:val="30"/>
          <w:szCs w:val="30"/>
          <w:lang w:val="en-US" w:eastAsia="zh-CN"/>
        </w:rPr>
        <w:t>三</w:t>
      </w:r>
      <w:r>
        <w:rPr>
          <w:rFonts w:hint="default" w:ascii="Times New Roman" w:hAnsi="Times New Roman" w:eastAsia="仿宋_GB2312" w:cs="Times New Roman"/>
          <w:color w:val="000000"/>
          <w:sz w:val="30"/>
          <w:szCs w:val="30"/>
        </w:rPr>
        <w:t>、收支总体情况</w:t>
      </w:r>
    </w:p>
    <w:p w14:paraId="0BB73FF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0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000000"/>
          <w:sz w:val="30"/>
          <w:szCs w:val="30"/>
        </w:rPr>
      </w:pPr>
      <w:r>
        <w:rPr>
          <w:rFonts w:hint="default" w:ascii="Times New Roman" w:hAnsi="Times New Roman" w:eastAsia="仿宋_GB2312" w:cs="Times New Roman"/>
          <w:color w:val="000000"/>
          <w:sz w:val="30"/>
          <w:szCs w:val="30"/>
          <w:lang w:val="en-US" w:eastAsia="zh-CN"/>
        </w:rPr>
        <w:t>四</w:t>
      </w:r>
      <w:r>
        <w:rPr>
          <w:rFonts w:hint="default" w:ascii="Times New Roman" w:hAnsi="Times New Roman" w:eastAsia="仿宋_GB2312" w:cs="Times New Roman"/>
          <w:color w:val="000000"/>
          <w:sz w:val="30"/>
          <w:szCs w:val="30"/>
        </w:rPr>
        <w:t>、一般公共预算情况</w:t>
      </w:r>
    </w:p>
    <w:p w14:paraId="4A12B8C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0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000000"/>
          <w:sz w:val="30"/>
          <w:szCs w:val="30"/>
        </w:rPr>
      </w:pPr>
      <w:r>
        <w:rPr>
          <w:rFonts w:hint="default" w:ascii="Times New Roman" w:hAnsi="Times New Roman" w:eastAsia="仿宋_GB2312" w:cs="Times New Roman"/>
          <w:color w:val="000000"/>
          <w:sz w:val="30"/>
          <w:szCs w:val="30"/>
          <w:lang w:val="en-US" w:eastAsia="zh-CN"/>
        </w:rPr>
        <w:t>五</w:t>
      </w:r>
      <w:r>
        <w:rPr>
          <w:rFonts w:hint="default" w:ascii="Times New Roman" w:hAnsi="Times New Roman" w:eastAsia="仿宋_GB2312" w:cs="Times New Roman"/>
          <w:color w:val="000000"/>
          <w:sz w:val="30"/>
          <w:szCs w:val="30"/>
        </w:rPr>
        <w:t>、一般公共预算财政拨款“三公”经费、培训费、会议费等情况</w:t>
      </w:r>
    </w:p>
    <w:p w14:paraId="435BC81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0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000000"/>
          <w:sz w:val="30"/>
          <w:szCs w:val="30"/>
        </w:rPr>
      </w:pPr>
      <w:r>
        <w:rPr>
          <w:rFonts w:hint="default" w:ascii="Times New Roman" w:hAnsi="Times New Roman" w:eastAsia="仿宋_GB2312" w:cs="Times New Roman"/>
          <w:color w:val="000000"/>
          <w:sz w:val="30"/>
          <w:szCs w:val="30"/>
          <w:lang w:val="en-US" w:eastAsia="zh-CN"/>
        </w:rPr>
        <w:t>六</w:t>
      </w:r>
      <w:r>
        <w:rPr>
          <w:rFonts w:hint="default" w:ascii="Times New Roman" w:hAnsi="Times New Roman" w:eastAsia="仿宋_GB2312" w:cs="Times New Roman"/>
          <w:color w:val="000000"/>
          <w:sz w:val="30"/>
          <w:szCs w:val="30"/>
        </w:rPr>
        <w:t>、一般公共预算财政拨款机关运行经费情况</w:t>
      </w:r>
    </w:p>
    <w:p w14:paraId="2F88CE3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0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000000"/>
          <w:sz w:val="30"/>
          <w:szCs w:val="30"/>
        </w:rPr>
      </w:pPr>
      <w:r>
        <w:rPr>
          <w:rFonts w:hint="default" w:ascii="Times New Roman" w:hAnsi="Times New Roman" w:eastAsia="仿宋_GB2312" w:cs="Times New Roman"/>
          <w:color w:val="000000"/>
          <w:sz w:val="30"/>
          <w:szCs w:val="30"/>
          <w:lang w:val="en-US" w:eastAsia="zh-CN"/>
        </w:rPr>
        <w:t>七</w:t>
      </w:r>
      <w:r>
        <w:rPr>
          <w:rFonts w:hint="default" w:ascii="Times New Roman" w:hAnsi="Times New Roman" w:eastAsia="仿宋_GB2312" w:cs="Times New Roman"/>
          <w:color w:val="000000"/>
          <w:sz w:val="30"/>
          <w:szCs w:val="30"/>
        </w:rPr>
        <w:t>、政府采购安排情况</w:t>
      </w:r>
    </w:p>
    <w:p w14:paraId="5046C44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0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000000"/>
          <w:sz w:val="30"/>
          <w:szCs w:val="30"/>
        </w:rPr>
      </w:pPr>
      <w:r>
        <w:rPr>
          <w:rFonts w:hint="default" w:ascii="Times New Roman" w:hAnsi="Times New Roman" w:eastAsia="仿宋_GB2312" w:cs="Times New Roman"/>
          <w:color w:val="000000"/>
          <w:sz w:val="30"/>
          <w:szCs w:val="30"/>
          <w:lang w:val="en-US" w:eastAsia="zh-CN"/>
        </w:rPr>
        <w:t>八</w:t>
      </w:r>
      <w:r>
        <w:rPr>
          <w:rFonts w:hint="default" w:ascii="Times New Roman" w:hAnsi="Times New Roman" w:eastAsia="仿宋_GB2312" w:cs="Times New Roman"/>
          <w:color w:val="000000"/>
          <w:sz w:val="30"/>
          <w:szCs w:val="30"/>
        </w:rPr>
        <w:t>、国有资产占用情况</w:t>
      </w:r>
    </w:p>
    <w:p w14:paraId="6D55E2E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0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000000"/>
          <w:sz w:val="30"/>
          <w:szCs w:val="30"/>
        </w:rPr>
      </w:pPr>
      <w:r>
        <w:rPr>
          <w:rFonts w:hint="default" w:ascii="Times New Roman" w:hAnsi="Times New Roman" w:eastAsia="仿宋_GB2312" w:cs="Times New Roman"/>
          <w:color w:val="000000"/>
          <w:sz w:val="30"/>
          <w:szCs w:val="30"/>
          <w:lang w:val="en-US" w:eastAsia="zh-CN"/>
        </w:rPr>
        <w:t>九</w:t>
      </w:r>
      <w:r>
        <w:rPr>
          <w:rFonts w:hint="default" w:ascii="Times New Roman" w:hAnsi="Times New Roman" w:eastAsia="仿宋_GB2312" w:cs="Times New Roman"/>
          <w:color w:val="000000"/>
          <w:sz w:val="30"/>
          <w:szCs w:val="30"/>
        </w:rPr>
        <w:t>、其他重要事项情况说明</w:t>
      </w:r>
    </w:p>
    <w:p w14:paraId="171C491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0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000000"/>
          <w:sz w:val="30"/>
          <w:szCs w:val="30"/>
        </w:rPr>
      </w:pPr>
      <w:r>
        <w:rPr>
          <w:rFonts w:hint="default" w:ascii="Times New Roman" w:hAnsi="Times New Roman" w:eastAsia="仿宋_GB2312" w:cs="Times New Roman"/>
          <w:color w:val="000000"/>
          <w:sz w:val="30"/>
          <w:szCs w:val="30"/>
          <w:lang w:val="en-US" w:eastAsia="zh-CN"/>
        </w:rPr>
        <w:t>十</w:t>
      </w:r>
      <w:r>
        <w:rPr>
          <w:rFonts w:hint="default" w:ascii="Times New Roman" w:hAnsi="Times New Roman" w:eastAsia="仿宋_GB2312" w:cs="Times New Roman"/>
          <w:color w:val="000000"/>
          <w:sz w:val="30"/>
          <w:szCs w:val="30"/>
        </w:rPr>
        <w:t>、预算绩效管理情况</w:t>
      </w:r>
    </w:p>
    <w:p w14:paraId="7042C3D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0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000000"/>
          <w:sz w:val="30"/>
          <w:szCs w:val="30"/>
        </w:rPr>
      </w:pPr>
      <w:r>
        <w:rPr>
          <w:rFonts w:hint="default" w:ascii="Times New Roman" w:hAnsi="Times New Roman" w:eastAsia="仿宋_GB2312" w:cs="Times New Roman"/>
          <w:color w:val="000000"/>
          <w:sz w:val="30"/>
          <w:szCs w:val="30"/>
          <w:lang w:val="en-US" w:eastAsia="zh-CN"/>
        </w:rPr>
        <w:t>十一</w:t>
      </w:r>
      <w:r>
        <w:rPr>
          <w:rFonts w:hint="default" w:ascii="Times New Roman" w:hAnsi="Times New Roman" w:eastAsia="仿宋_GB2312" w:cs="Times New Roman"/>
          <w:color w:val="000000"/>
          <w:sz w:val="30"/>
          <w:szCs w:val="30"/>
        </w:rPr>
        <w:t>、名词解释</w:t>
      </w:r>
    </w:p>
    <w:p w14:paraId="734FD34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02" w:firstLineChars="200"/>
        <w:jc w:val="left"/>
        <w:textAlignment w:val="auto"/>
        <w:rPr>
          <w:rFonts w:hint="default" w:ascii="Times New Roman" w:hAnsi="Times New Roman" w:eastAsia="仿宋_GB2312" w:cs="Times New Roman"/>
          <w:b/>
          <w:color w:val="000000"/>
          <w:sz w:val="30"/>
          <w:szCs w:val="30"/>
        </w:rPr>
      </w:pPr>
      <w:r>
        <w:rPr>
          <w:rFonts w:hint="default" w:ascii="Times New Roman" w:hAnsi="Times New Roman" w:eastAsia="仿宋_GB2312" w:cs="Times New Roman"/>
          <w:b/>
          <w:color w:val="000000"/>
          <w:sz w:val="30"/>
          <w:szCs w:val="30"/>
        </w:rPr>
        <w:t xml:space="preserve">第三部分 </w:t>
      </w:r>
      <w:r>
        <w:rPr>
          <w:rFonts w:hint="default" w:ascii="Times New Roman" w:hAnsi="Times New Roman" w:eastAsia="仿宋_GB2312" w:cs="Times New Roman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Times New Roman" w:hAnsi="Times New Roman" w:eastAsia="仿宋_GB2312" w:cs="Times New Roman"/>
          <w:b/>
          <w:color w:val="000000"/>
          <w:sz w:val="30"/>
          <w:szCs w:val="30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b/>
          <w:color w:val="000000"/>
          <w:sz w:val="30"/>
          <w:szCs w:val="30"/>
        </w:rPr>
        <w:t>年部门（单位）预算公开表</w:t>
      </w:r>
    </w:p>
    <w:p w14:paraId="3FD2078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0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000000"/>
          <w:sz w:val="30"/>
          <w:szCs w:val="30"/>
        </w:rPr>
      </w:pPr>
      <w:r>
        <w:rPr>
          <w:rFonts w:hint="default" w:ascii="Times New Roman" w:hAnsi="Times New Roman" w:eastAsia="仿宋_GB2312" w:cs="Times New Roman"/>
          <w:color w:val="000000"/>
          <w:sz w:val="30"/>
          <w:szCs w:val="30"/>
        </w:rPr>
        <w:t>一、部门/单位收支总体情况表</w:t>
      </w:r>
    </w:p>
    <w:p w14:paraId="72142C8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0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000000"/>
          <w:sz w:val="30"/>
          <w:szCs w:val="30"/>
        </w:rPr>
      </w:pPr>
      <w:r>
        <w:rPr>
          <w:rFonts w:hint="default" w:ascii="Times New Roman" w:hAnsi="Times New Roman" w:eastAsia="仿宋_GB2312" w:cs="Times New Roman"/>
          <w:color w:val="000000"/>
          <w:sz w:val="30"/>
          <w:szCs w:val="30"/>
        </w:rPr>
        <w:t>二、部门/单位收入总体情况表</w:t>
      </w:r>
    </w:p>
    <w:p w14:paraId="45966E8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0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000000"/>
          <w:sz w:val="30"/>
          <w:szCs w:val="30"/>
        </w:rPr>
      </w:pPr>
      <w:r>
        <w:rPr>
          <w:rFonts w:hint="default" w:ascii="Times New Roman" w:hAnsi="Times New Roman" w:eastAsia="仿宋_GB2312" w:cs="Times New Roman"/>
          <w:color w:val="000000"/>
          <w:sz w:val="30"/>
          <w:szCs w:val="30"/>
        </w:rPr>
        <w:t>三、部门/单位支出总体情况表</w:t>
      </w:r>
    </w:p>
    <w:p w14:paraId="675B820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0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000000"/>
          <w:sz w:val="30"/>
          <w:szCs w:val="30"/>
        </w:rPr>
      </w:pPr>
      <w:r>
        <w:rPr>
          <w:rFonts w:hint="default" w:ascii="Times New Roman" w:hAnsi="Times New Roman" w:eastAsia="仿宋_GB2312" w:cs="Times New Roman"/>
          <w:color w:val="000000"/>
          <w:sz w:val="30"/>
          <w:szCs w:val="30"/>
        </w:rPr>
        <w:t>四、财政拨款收支总体情况表</w:t>
      </w:r>
    </w:p>
    <w:p w14:paraId="7622165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0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000000"/>
          <w:sz w:val="30"/>
          <w:szCs w:val="30"/>
        </w:rPr>
      </w:pPr>
      <w:r>
        <w:rPr>
          <w:rFonts w:hint="default" w:ascii="Times New Roman" w:hAnsi="Times New Roman" w:eastAsia="仿宋_GB2312" w:cs="Times New Roman"/>
          <w:color w:val="000000"/>
          <w:sz w:val="30"/>
          <w:szCs w:val="30"/>
        </w:rPr>
        <w:t>五、财政拨款支出表</w:t>
      </w:r>
    </w:p>
    <w:p w14:paraId="6361183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0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000000"/>
          <w:sz w:val="30"/>
          <w:szCs w:val="30"/>
        </w:rPr>
      </w:pPr>
      <w:r>
        <w:rPr>
          <w:rFonts w:hint="default" w:ascii="Times New Roman" w:hAnsi="Times New Roman" w:eastAsia="仿宋_GB2312" w:cs="Times New Roman"/>
          <w:color w:val="000000"/>
          <w:sz w:val="30"/>
          <w:szCs w:val="30"/>
        </w:rPr>
        <w:t>六、一般公共预算支出情况表</w:t>
      </w:r>
    </w:p>
    <w:p w14:paraId="600E529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0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000000"/>
          <w:sz w:val="30"/>
          <w:szCs w:val="30"/>
        </w:rPr>
      </w:pPr>
      <w:r>
        <w:rPr>
          <w:rFonts w:hint="default" w:ascii="Times New Roman" w:hAnsi="Times New Roman" w:eastAsia="仿宋_GB2312" w:cs="Times New Roman"/>
          <w:color w:val="000000"/>
          <w:sz w:val="30"/>
          <w:szCs w:val="30"/>
        </w:rPr>
        <w:t>七、一般公共预算基本支出情况表</w:t>
      </w:r>
    </w:p>
    <w:p w14:paraId="5189B48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0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000000"/>
          <w:spacing w:val="-20"/>
          <w:sz w:val="30"/>
          <w:szCs w:val="30"/>
        </w:rPr>
      </w:pPr>
      <w:r>
        <w:rPr>
          <w:rFonts w:hint="default" w:ascii="Times New Roman" w:hAnsi="Times New Roman" w:eastAsia="仿宋_GB2312" w:cs="Times New Roman"/>
          <w:color w:val="000000"/>
          <w:sz w:val="30"/>
          <w:szCs w:val="30"/>
        </w:rPr>
        <w:t>八、</w:t>
      </w:r>
      <w:r>
        <w:rPr>
          <w:rFonts w:hint="default" w:ascii="Times New Roman" w:hAnsi="Times New Roman" w:eastAsia="仿宋_GB2312" w:cs="Times New Roman"/>
          <w:color w:val="000000"/>
          <w:spacing w:val="-20"/>
          <w:sz w:val="30"/>
          <w:szCs w:val="30"/>
        </w:rPr>
        <w:t>一般公共预算财政拨款“三公”经费、会议费、培训费支出情况表</w:t>
      </w:r>
    </w:p>
    <w:p w14:paraId="4B121EF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0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000000"/>
          <w:sz w:val="30"/>
          <w:szCs w:val="30"/>
        </w:rPr>
      </w:pPr>
      <w:r>
        <w:rPr>
          <w:rFonts w:hint="default" w:ascii="Times New Roman" w:hAnsi="Times New Roman" w:eastAsia="仿宋_GB2312" w:cs="Times New Roman"/>
          <w:color w:val="000000"/>
          <w:sz w:val="30"/>
          <w:szCs w:val="30"/>
        </w:rPr>
        <w:t>九、一般公共预算财政拨款机关运行经费表</w:t>
      </w:r>
    </w:p>
    <w:p w14:paraId="031FDB5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0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000000"/>
          <w:sz w:val="30"/>
          <w:szCs w:val="30"/>
        </w:rPr>
      </w:pPr>
      <w:r>
        <w:rPr>
          <w:rFonts w:hint="default" w:ascii="Times New Roman" w:hAnsi="Times New Roman" w:eastAsia="仿宋_GB2312" w:cs="Times New Roman"/>
          <w:color w:val="000000"/>
          <w:sz w:val="30"/>
          <w:szCs w:val="30"/>
        </w:rPr>
        <w:t>十、政府性基金预算支出情况表</w:t>
      </w:r>
    </w:p>
    <w:p w14:paraId="5FFFCFA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0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000000"/>
          <w:sz w:val="30"/>
          <w:szCs w:val="30"/>
        </w:rPr>
      </w:pPr>
      <w:r>
        <w:rPr>
          <w:rFonts w:hint="default" w:ascii="Times New Roman" w:hAnsi="Times New Roman" w:eastAsia="仿宋_GB2312" w:cs="Times New Roman"/>
          <w:color w:val="000000"/>
          <w:sz w:val="30"/>
          <w:szCs w:val="30"/>
        </w:rPr>
        <w:t>十一、部门管理转移支付表</w:t>
      </w:r>
    </w:p>
    <w:p w14:paraId="505BB7C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0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000000"/>
          <w:sz w:val="30"/>
          <w:szCs w:val="30"/>
        </w:rPr>
      </w:pPr>
      <w:r>
        <w:rPr>
          <w:rFonts w:hint="default" w:ascii="Times New Roman" w:hAnsi="Times New Roman" w:eastAsia="仿宋_GB2312" w:cs="Times New Roman"/>
          <w:color w:val="000000"/>
          <w:sz w:val="30"/>
          <w:szCs w:val="30"/>
        </w:rPr>
        <w:t>十二、国有资本经营预算支出情况表</w:t>
      </w:r>
    </w:p>
    <w:p w14:paraId="4129F3F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0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000000"/>
          <w:sz w:val="30"/>
          <w:szCs w:val="30"/>
        </w:rPr>
      </w:pPr>
      <w:r>
        <w:rPr>
          <w:rFonts w:hint="default" w:ascii="Times New Roman" w:hAnsi="Times New Roman" w:eastAsia="仿宋_GB2312" w:cs="Times New Roman"/>
          <w:color w:val="000000"/>
          <w:sz w:val="30"/>
          <w:szCs w:val="30"/>
        </w:rPr>
        <w:t>十三、部门/单位整体支出绩效目标表和项目支出绩效目标表</w:t>
      </w:r>
    </w:p>
    <w:p w14:paraId="7F85859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hint="default" w:ascii="Times New Roman" w:hAnsi="Times New Roman" w:eastAsia="仿宋_GB2312" w:cs="Times New Roman"/>
          <w:b/>
          <w:bCs/>
          <w:kern w:val="0"/>
          <w:sz w:val="44"/>
          <w:szCs w:val="44"/>
        </w:rPr>
      </w:pPr>
    </w:p>
    <w:p w14:paraId="6DBFCF8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562" w:firstLineChars="200"/>
        <w:textAlignment w:val="auto"/>
        <w:rPr>
          <w:rFonts w:hint="default" w:ascii="Times New Roman" w:hAnsi="Times New Roman" w:eastAsia="仿宋_GB2312" w:cs="Times New Roman"/>
          <w:b/>
          <w:kern w:val="0"/>
          <w:sz w:val="28"/>
          <w:szCs w:val="28"/>
        </w:rPr>
        <w:sectPr>
          <w:footerReference r:id="rId3" w:type="default"/>
          <w:pgSz w:w="11906" w:h="16838"/>
          <w:pgMar w:top="1134" w:right="1134" w:bottom="1440" w:left="1276" w:header="851" w:footer="992" w:gutter="0"/>
          <w:pgNumType w:start="1"/>
          <w:cols w:space="720" w:num="1"/>
          <w:docGrid w:type="lines" w:linePitch="312" w:charSpace="0"/>
        </w:sectPr>
      </w:pPr>
    </w:p>
    <w:p w14:paraId="42E458F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b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kern w:val="0"/>
          <w:sz w:val="32"/>
          <w:szCs w:val="32"/>
        </w:rPr>
        <w:t>前言</w:t>
      </w:r>
    </w:p>
    <w:p w14:paraId="0AD557B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按照《中华人民共和国预算法》《中华人民共和国预算法实施条例》以及财政部《地方预决算公开操作规程》《关于推进部门所属单位预算公开的指导意见》和《中共甘肃省委办公厅 甘肃省人民政府办公厅关于进一步推进预算公开工作的实施方案》要求，现将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eastAsia="zh-CN"/>
        </w:rPr>
        <w:t>202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年部门预算公开如下：</w:t>
      </w:r>
    </w:p>
    <w:p w14:paraId="703F7F9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right="0" w:firstLine="640" w:firstLineChars="200"/>
        <w:textAlignment w:val="auto"/>
        <w:outlineLvl w:val="9"/>
        <w:rPr>
          <w:rFonts w:hint="default" w:ascii="Times New Roman" w:hAnsi="Times New Roman" w:eastAsia="黑体" w:cs="Times New Roman"/>
          <w:kern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kern w:val="0"/>
          <w:sz w:val="32"/>
          <w:szCs w:val="32"/>
        </w:rPr>
        <w:t>一、单位职责</w:t>
      </w:r>
    </w:p>
    <w:p w14:paraId="255DD0A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right="0"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kern w:val="0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eastAsia="zh-CN"/>
        </w:rPr>
        <w:t>根据党的路线、方针、政策和省、市、县委的安排部署，研究制定全县组织干部工作方案、规划，提出具体的实施措施，并督促检查。负责全县各单位领导班子的思想作风和组织建设及基层组织建设。负责全县科级干部的培训、考察、提拔使用和管理工作。负责全县后备干部队伍建设、老干部和知识分子工作。负责党员队伍的教育、管理和发展工作。负责组织史的收集、整理和编篆工作。承担市委组织部和县委交办的其他工作。</w:t>
      </w:r>
    </w:p>
    <w:p w14:paraId="4F4C067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right="0"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kern w:val="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县委老干所职责：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完成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eastAsia="zh-CN"/>
        </w:rPr>
        <w:t>县委、县政府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下达的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eastAsia="zh-CN"/>
        </w:rPr>
        <w:t>各项工作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任务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spacing w:val="-12"/>
          <w:sz w:val="32"/>
          <w:szCs w:val="32"/>
        </w:rPr>
        <w:t>全面落实老干部及遗属各项政治生活待遇</w:t>
      </w:r>
      <w:r>
        <w:rPr>
          <w:rFonts w:hint="eastAsia" w:ascii="仿宋" w:hAnsi="仿宋" w:eastAsia="仿宋" w:cs="仿宋"/>
          <w:spacing w:val="-12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spacing w:val="-12"/>
          <w:sz w:val="32"/>
          <w:szCs w:val="32"/>
        </w:rPr>
        <w:t>做好老干部来信来访查处工作</w:t>
      </w:r>
      <w:r>
        <w:rPr>
          <w:rFonts w:hint="eastAsia" w:ascii="仿宋" w:hAnsi="仿宋" w:eastAsia="仿宋" w:cs="仿宋"/>
          <w:spacing w:val="-12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b w:val="0"/>
          <w:bCs w:val="0"/>
          <w:spacing w:val="-12"/>
          <w:sz w:val="32"/>
          <w:szCs w:val="32"/>
        </w:rPr>
        <w:t>向老干部通报全县经济、社会发展情况</w:t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</w:rPr>
        <w:t>；</w:t>
      </w:r>
      <w:r>
        <w:rPr>
          <w:rFonts w:hint="eastAsia" w:ascii="仿宋" w:hAnsi="仿宋" w:eastAsia="仿宋" w:cs="仿宋"/>
          <w:b w:val="0"/>
          <w:bCs w:val="0"/>
          <w:spacing w:val="-12"/>
          <w:sz w:val="32"/>
          <w:szCs w:val="32"/>
        </w:rPr>
        <w:t>强化老干部理论学习和政治思想工作</w:t>
      </w:r>
      <w:r>
        <w:rPr>
          <w:rFonts w:hint="eastAsia" w:ascii="仿宋" w:hAnsi="仿宋" w:eastAsia="仿宋" w:cs="仿宋"/>
          <w:b w:val="0"/>
          <w:bCs w:val="0"/>
          <w:spacing w:val="-12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b w:val="0"/>
          <w:bCs w:val="0"/>
          <w:spacing w:val="-12"/>
          <w:sz w:val="32"/>
          <w:szCs w:val="32"/>
          <w:lang w:val="en-US" w:eastAsia="zh-CN"/>
        </w:rPr>
        <w:t>慰问老干部及遗属。</w:t>
      </w:r>
    </w:p>
    <w:p w14:paraId="7067A4C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right="0" w:firstLine="640" w:firstLineChars="200"/>
        <w:textAlignment w:val="auto"/>
        <w:outlineLvl w:val="9"/>
        <w:rPr>
          <w:rFonts w:hint="default" w:ascii="Times New Roman" w:hAnsi="Times New Roman" w:eastAsia="黑体" w:cs="Times New Roman"/>
          <w:kern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kern w:val="0"/>
          <w:sz w:val="32"/>
          <w:szCs w:val="32"/>
        </w:rPr>
        <w:t>二、机构设置情况</w:t>
      </w:r>
    </w:p>
    <w:p w14:paraId="3773A67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right="0"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kern w:val="0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eastAsia="zh-CN"/>
        </w:rPr>
        <w:t>县委组织部下设办公室、干部股、组织股、人才教育培训股、公务员股、离退休老干部股等6个股室。</w:t>
      </w:r>
    </w:p>
    <w:p w14:paraId="5002401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right="0"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kern w:val="0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eastAsia="zh-CN"/>
        </w:rPr>
        <w:t>核定行政编制1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eastAsia="zh-CN"/>
        </w:rPr>
        <w:t>名，事业编制1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eastAsia="zh-CN"/>
        </w:rPr>
        <w:t>名，现有职工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  <w:t>21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eastAsia="zh-CN"/>
        </w:rPr>
        <w:t>人,其中正式在职职工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  <w:t>21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eastAsia="zh-CN"/>
        </w:rPr>
        <w:t>人（副处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eastAsia="zh-CN"/>
        </w:rPr>
        <w:t>人，正科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eastAsia="zh-CN"/>
        </w:rPr>
        <w:t>人，副科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eastAsia="zh-CN"/>
        </w:rPr>
        <w:t>人，科员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eastAsia="zh-CN"/>
        </w:rPr>
        <w:t xml:space="preserve">人，办事员 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eastAsia="zh-CN"/>
        </w:rPr>
        <w:t>人，工人 1 人）。</w:t>
      </w:r>
    </w:p>
    <w:p w14:paraId="3791B58C">
      <w:pPr>
        <w:widowControl w:val="0"/>
        <w:wordWrap/>
        <w:adjustRightIn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县委老干部服务管理所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编制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9人，实有人数6人，临聘1人，离休1人，遗属13人。</w:t>
      </w:r>
    </w:p>
    <w:p w14:paraId="154D889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kern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kern w:val="0"/>
          <w:sz w:val="32"/>
          <w:szCs w:val="32"/>
        </w:rPr>
        <w:t>三、单位收支总体情况</w:t>
      </w:r>
    </w:p>
    <w:p w14:paraId="10AF183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按照预算管理有关规定，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eastAsia="zh-CN"/>
        </w:rPr>
        <w:t>202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年部门（单位）收支包括机关预算和直属单位预算在内的汇总情况。</w:t>
      </w:r>
    </w:p>
    <w:p w14:paraId="02D85CD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eastAsia="zh-CN"/>
        </w:rPr>
        <w:t>202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年部门收支总预算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3203.6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万元。按照综合预算的原则，部单位所有收入和支出均纳入部门预算管理。收入包括：一般公共预算拨款收入、政府性基金预算拨款收入、事业收入、事业单位经营收入、其他收入、使用非财政拨款结余、上年结转；支出包括：一般公共服务支出、公共安全支出、教育支出、科学技术支出、社会保障和就业支出、卫生健康支出、交通运输支出、住房保障支出、其他支出。</w:t>
      </w:r>
    </w:p>
    <w:p w14:paraId="78846D7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3" w:firstLineChars="200"/>
        <w:textAlignment w:val="auto"/>
        <w:rPr>
          <w:rFonts w:hint="default" w:ascii="Times New Roman" w:hAnsi="Times New Roman" w:eastAsia="楷体_GB2312" w:cs="Times New Roman"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</w:rPr>
        <w:t>（一）收入预算</w:t>
      </w:r>
    </w:p>
    <w:p w14:paraId="7E3AB6E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202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年收入预算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3203.6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万元（详见单位预算公开表1,2）。包括：</w:t>
      </w:r>
    </w:p>
    <w:p w14:paraId="14E911E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一般公共预算收入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3203.6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万元，占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%；</w:t>
      </w:r>
    </w:p>
    <w:p w14:paraId="6DC3895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政府性基金预算收入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万元，占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%；</w:t>
      </w:r>
    </w:p>
    <w:p w14:paraId="7ABC9C5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上年结转收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万元，占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%；</w:t>
      </w:r>
    </w:p>
    <w:p w14:paraId="745038E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其他收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万元，占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%。</w:t>
      </w:r>
    </w:p>
    <w:p w14:paraId="2217B58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contextualSpacing/>
        <w:textAlignment w:val="auto"/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</w:rPr>
        <w:t>（二）支出预算</w:t>
      </w:r>
    </w:p>
    <w:p w14:paraId="356FC4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202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年支出预算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3203.6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万元（详见单位预算公开表3）。</w:t>
      </w:r>
      <w:r>
        <w:rPr>
          <w:rStyle w:val="20"/>
          <w:rFonts w:hint="default" w:ascii="Times New Roman" w:hAnsi="Times New Roman" w:cs="Times New Roman"/>
        </w:rPr>
        <w:t>其中：基本支出</w:t>
      </w:r>
      <w:r>
        <w:rPr>
          <w:rStyle w:val="21"/>
          <w:rFonts w:hint="eastAsia" w:ascii="Times New Roman" w:hAnsi="Times New Roman" w:eastAsia="仿宋_GB2312" w:cs="Times New Roman"/>
          <w:lang w:val="en-US" w:eastAsia="zh-CN"/>
        </w:rPr>
        <w:t>518.14</w:t>
      </w:r>
      <w:r>
        <w:rPr>
          <w:rStyle w:val="20"/>
          <w:rFonts w:hint="default" w:ascii="Times New Roman" w:hAnsi="Times New Roman" w:cs="Times New Roman"/>
        </w:rPr>
        <w:t>万元， 占</w:t>
      </w:r>
      <w:r>
        <w:rPr>
          <w:rStyle w:val="20"/>
          <w:rFonts w:hint="default" w:ascii="Times New Roman" w:hAnsi="Times New Roman" w:eastAsia="仿宋_GB2312" w:cs="Times New Roman"/>
          <w:lang w:val="en-US" w:eastAsia="zh-CN"/>
        </w:rPr>
        <w:t>1</w:t>
      </w:r>
      <w:r>
        <w:rPr>
          <w:rStyle w:val="20"/>
          <w:rFonts w:hint="eastAsia" w:ascii="Times New Roman" w:hAnsi="Times New Roman" w:eastAsia="仿宋_GB2312" w:cs="Times New Roman"/>
          <w:lang w:val="en-US" w:eastAsia="zh-CN"/>
        </w:rPr>
        <w:t>6.17</w:t>
      </w:r>
      <w:r>
        <w:rPr>
          <w:rStyle w:val="21"/>
          <w:rFonts w:hint="default" w:ascii="Times New Roman" w:hAnsi="Times New Roman" w:eastAsia="仿宋_GB2312" w:cs="Times New Roman"/>
        </w:rPr>
        <w:t xml:space="preserve"> %</w:t>
      </w:r>
      <w:r>
        <w:rPr>
          <w:rStyle w:val="20"/>
          <w:rFonts w:hint="default" w:ascii="Times New Roman" w:hAnsi="Times New Roman" w:cs="Times New Roman"/>
        </w:rPr>
        <w:t>； 项目支出</w:t>
      </w:r>
      <w:r>
        <w:rPr>
          <w:rStyle w:val="20"/>
          <w:rFonts w:hint="default" w:ascii="Times New Roman" w:hAnsi="Times New Roman" w:eastAsia="仿宋_GB2312" w:cs="Times New Roman"/>
          <w:lang w:val="en-US" w:eastAsia="zh-CN"/>
        </w:rPr>
        <w:t>26</w:t>
      </w:r>
      <w:r>
        <w:rPr>
          <w:rStyle w:val="20"/>
          <w:rFonts w:hint="eastAsia" w:ascii="Times New Roman" w:hAnsi="Times New Roman" w:eastAsia="仿宋_GB2312" w:cs="Times New Roman"/>
          <w:lang w:val="en-US" w:eastAsia="zh-CN"/>
        </w:rPr>
        <w:t>85</w:t>
      </w:r>
      <w:r>
        <w:rPr>
          <w:rStyle w:val="20"/>
          <w:rFonts w:hint="default" w:ascii="Times New Roman" w:hAnsi="Times New Roman" w:eastAsia="仿宋_GB2312" w:cs="Times New Roman"/>
          <w:lang w:val="en-US" w:eastAsia="zh-CN"/>
        </w:rPr>
        <w:t>.46</w:t>
      </w:r>
      <w:r>
        <w:rPr>
          <w:rStyle w:val="20"/>
          <w:rFonts w:hint="default" w:ascii="Times New Roman" w:hAnsi="Times New Roman" w:cs="Times New Roman"/>
        </w:rPr>
        <w:t>万元，占</w:t>
      </w:r>
      <w:r>
        <w:rPr>
          <w:rStyle w:val="21"/>
          <w:rFonts w:hint="eastAsia" w:ascii="Times New Roman" w:hAnsi="Times New Roman" w:eastAsia="仿宋_GB2312" w:cs="Times New Roman"/>
          <w:lang w:val="en-US" w:eastAsia="zh-CN"/>
        </w:rPr>
        <w:t>83.83</w:t>
      </w:r>
      <w:r>
        <w:rPr>
          <w:rStyle w:val="21"/>
          <w:rFonts w:hint="default" w:ascii="Times New Roman" w:hAnsi="Times New Roman" w:eastAsia="仿宋_GB2312" w:cs="Times New Roman"/>
        </w:rPr>
        <w:t>%</w:t>
      </w:r>
      <w:r>
        <w:rPr>
          <w:rStyle w:val="20"/>
          <w:rFonts w:hint="default" w:ascii="Times New Roman" w:hAnsi="Times New Roman" w:cs="Times New Roman"/>
        </w:rPr>
        <w:t>； 上年结转</w:t>
      </w:r>
      <w:r>
        <w:rPr>
          <w:rStyle w:val="21"/>
          <w:rFonts w:hint="default" w:ascii="Times New Roman" w:hAnsi="Times New Roman" w:eastAsia="仿宋_GB2312" w:cs="Times New Roman"/>
          <w:lang w:val="en-US" w:eastAsia="zh-CN"/>
        </w:rPr>
        <w:t>0</w:t>
      </w:r>
      <w:r>
        <w:rPr>
          <w:rStyle w:val="20"/>
          <w:rFonts w:hint="default" w:ascii="Times New Roman" w:hAnsi="Times New Roman" w:cs="Times New Roman"/>
        </w:rPr>
        <w:t>万元，占</w:t>
      </w:r>
      <w:r>
        <w:rPr>
          <w:rStyle w:val="21"/>
          <w:rFonts w:hint="default" w:ascii="Times New Roman" w:hAnsi="Times New Roman" w:eastAsia="仿宋_GB2312" w:cs="Times New Roman"/>
          <w:lang w:val="en-US" w:eastAsia="zh-CN"/>
        </w:rPr>
        <w:t>0</w:t>
      </w:r>
      <w:r>
        <w:rPr>
          <w:rStyle w:val="21"/>
          <w:rFonts w:hint="default" w:ascii="Times New Roman" w:hAnsi="Times New Roman" w:eastAsia="仿宋_GB2312" w:cs="Times New Roman"/>
        </w:rPr>
        <w:t>%</w:t>
      </w:r>
      <w:r>
        <w:rPr>
          <w:rStyle w:val="20"/>
          <w:rFonts w:hint="default" w:ascii="Times New Roman" w:hAnsi="Times New Roman" w:cs="Times New Roman"/>
        </w:rPr>
        <w:t>。</w:t>
      </w:r>
    </w:p>
    <w:p w14:paraId="7D7ADD5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textAlignment w:val="auto"/>
        <w:rPr>
          <w:rFonts w:hint="default" w:ascii="Times New Roman" w:hAnsi="Times New Roman" w:eastAsia="黑体" w:cs="Times New Roman"/>
          <w:kern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kern w:val="0"/>
          <w:sz w:val="32"/>
          <w:szCs w:val="32"/>
        </w:rPr>
        <w:t>四、一般公共预算情况</w:t>
      </w:r>
    </w:p>
    <w:p w14:paraId="0F3C656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Style w:val="21"/>
          <w:rFonts w:hint="default" w:ascii="Times New Roman" w:hAnsi="Times New Roman" w:eastAsia="仿宋_GB2312" w:cs="Times New Roman"/>
          <w:lang w:eastAsia="zh-CN"/>
        </w:rPr>
        <w:t>202</w:t>
      </w:r>
      <w:r>
        <w:rPr>
          <w:rStyle w:val="21"/>
          <w:rFonts w:hint="default" w:ascii="Times New Roman" w:hAnsi="Times New Roman" w:eastAsia="仿宋_GB2312" w:cs="Times New Roman"/>
          <w:lang w:val="en-US" w:eastAsia="zh-CN"/>
        </w:rPr>
        <w:t>6</w:t>
      </w:r>
      <w:r>
        <w:rPr>
          <w:rStyle w:val="20"/>
          <w:rFonts w:hint="default" w:ascii="Times New Roman" w:hAnsi="Times New Roman" w:cs="Times New Roman"/>
        </w:rPr>
        <w:t>年一般公共预算当年支出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3203.6</w:t>
      </w:r>
      <w:r>
        <w:rPr>
          <w:rStyle w:val="20"/>
          <w:rFonts w:hint="default" w:ascii="Times New Roman" w:hAnsi="Times New Roman" w:cs="Times New Roman"/>
        </w:rPr>
        <w:t>万元，包括：一般公共服务支出</w:t>
      </w:r>
      <w:r>
        <w:rPr>
          <w:rStyle w:val="21"/>
          <w:rFonts w:hint="default" w:ascii="Times New Roman" w:hAnsi="Times New Roman" w:eastAsia="仿宋_GB2312" w:cs="Times New Roman"/>
          <w:lang w:val="en-US" w:eastAsia="zh-CN"/>
        </w:rPr>
        <w:t>384.44</w:t>
      </w:r>
      <w:r>
        <w:rPr>
          <w:rStyle w:val="20"/>
          <w:rFonts w:hint="default" w:ascii="Times New Roman" w:hAnsi="Times New Roman" w:cs="Times New Roman"/>
        </w:rPr>
        <w:t>万元、社会保障和就业支出</w:t>
      </w:r>
      <w:r>
        <w:rPr>
          <w:rStyle w:val="21"/>
          <w:rFonts w:hint="eastAsia" w:ascii="Times New Roman" w:hAnsi="Times New Roman" w:eastAsia="仿宋_GB2312" w:cs="Times New Roman"/>
          <w:lang w:val="en-US" w:eastAsia="zh-CN"/>
        </w:rPr>
        <w:t>188.01</w:t>
      </w:r>
      <w:r>
        <w:rPr>
          <w:rStyle w:val="20"/>
          <w:rFonts w:hint="default" w:ascii="Times New Roman" w:hAnsi="Times New Roman" w:cs="Times New Roman"/>
        </w:rPr>
        <w:t>万元、</w:t>
      </w:r>
      <w:r>
        <w:rPr>
          <w:rStyle w:val="20"/>
          <w:rFonts w:hint="default" w:ascii="Times New Roman" w:hAnsi="Times New Roman" w:eastAsia="仿宋_GB2312" w:cs="Times New Roman"/>
          <w:lang w:val="en-US" w:eastAsia="zh-CN"/>
        </w:rPr>
        <w:t>卫生健康支出</w:t>
      </w:r>
      <w:r>
        <w:rPr>
          <w:rStyle w:val="20"/>
          <w:rFonts w:hint="eastAsia" w:ascii="Times New Roman" w:hAnsi="Times New Roman" w:eastAsia="仿宋_GB2312" w:cs="Times New Roman"/>
          <w:lang w:val="en-US" w:eastAsia="zh-CN"/>
        </w:rPr>
        <w:t>23.91</w:t>
      </w:r>
      <w:r>
        <w:rPr>
          <w:rStyle w:val="20"/>
          <w:rFonts w:hint="default" w:ascii="Times New Roman" w:hAnsi="Times New Roman" w:eastAsia="仿宋_GB2312" w:cs="Times New Roman"/>
          <w:lang w:val="en-US" w:eastAsia="zh-CN"/>
        </w:rPr>
        <w:t>万元、农林水支出2577.06万元、住房保障支出</w:t>
      </w:r>
      <w:r>
        <w:rPr>
          <w:rStyle w:val="20"/>
          <w:rFonts w:hint="eastAsia" w:ascii="Times New Roman" w:hAnsi="Times New Roman" w:eastAsia="仿宋_GB2312" w:cs="Times New Roman"/>
          <w:lang w:val="en-US" w:eastAsia="zh-CN"/>
        </w:rPr>
        <w:t>30.18</w:t>
      </w:r>
      <w:r>
        <w:rPr>
          <w:rStyle w:val="20"/>
          <w:rFonts w:hint="default" w:ascii="Times New Roman" w:hAnsi="Times New Roman" w:eastAsia="仿宋_GB2312" w:cs="Times New Roman"/>
          <w:lang w:val="en-US" w:eastAsia="zh-CN"/>
        </w:rPr>
        <w:t>万元</w:t>
      </w:r>
      <w:r>
        <w:rPr>
          <w:rStyle w:val="20"/>
          <w:rFonts w:hint="default" w:ascii="Times New Roman" w:hAnsi="Times New Roman" w:cs="Times New Roman"/>
        </w:rPr>
        <w:t>。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具体安排情况如下（详见单位预算公开表4,5,6,7）：</w:t>
      </w:r>
    </w:p>
    <w:p w14:paraId="5972523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3" w:firstLineChars="200"/>
        <w:contextualSpacing/>
        <w:textAlignment w:val="auto"/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</w:rPr>
        <w:t>（一）基本支出</w:t>
      </w:r>
    </w:p>
    <w:p w14:paraId="1AE4153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contextualSpacing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202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年基本支出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518.14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万元，比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202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年预算增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加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27.11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万元，增长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5.52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%，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增长的主要原因是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人员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变化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。</w:t>
      </w:r>
    </w:p>
    <w:p w14:paraId="7088349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其中：人员经费支出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433.99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万元，主要包括：基本工资、津贴补贴、奖金、、机关事业单位基本养老保险缴费、职业年金缴费、职工基本医疗保险缴费、公务员医疗补助缴费、其他社会保障缴费、住房公积金等。</w:t>
      </w:r>
    </w:p>
    <w:p w14:paraId="5167C9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公用经费支出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84.15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万元，主要包括：办公费、印刷费、水费、邮电费、取暖费、会议费、公务接待费、工会经费、福利费、其他交通费用、其他商品和服务支出等。</w:t>
      </w:r>
    </w:p>
    <w:p w14:paraId="47B7981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contextualSpacing/>
        <w:textAlignment w:val="auto"/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</w:rPr>
        <w:t>（二）项目支出</w:t>
      </w:r>
    </w:p>
    <w:p w14:paraId="2DD7CC2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202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年一般公共预算财政拨款项目支出预算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26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85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.46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万元，比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202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年预算增加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46.3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万元，增长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1.77</w:t>
      </w:r>
      <w:r>
        <w:rPr>
          <w:rFonts w:hint="default" w:ascii="Times New Roman" w:hAnsi="Times New Roman" w:eastAsia="仿宋_GB2312" w:cs="Times New Roman"/>
          <w:sz w:val="32"/>
          <w:szCs w:val="32"/>
        </w:rPr>
        <w:t>%，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增长的主要原因是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增加换届工作经费项目。其中：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基本民生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项目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个，主要是项目1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：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村干部报酬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项目2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：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村级办公经费。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刚性支出项目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8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个，主要是项目1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：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组干部报酬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项目2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：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专业化管理的村党组织书记、乡镇下派干部生活补助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项目3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：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离任村干部生活补助，项目4：机关事业单位人员在职学习奖励资金，项目5：村干部体检费，项目6：省市和中央定点帮扶单位挂职干部体检费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，项目7：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离休干部医药费，项目8：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离退休干部公用经费和特需经费。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部门专项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个，主要是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党建党务及换届工作经费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。</w:t>
      </w:r>
    </w:p>
    <w:p w14:paraId="0A65071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textAlignment w:val="auto"/>
        <w:rPr>
          <w:rFonts w:hint="default" w:ascii="Times New Roman" w:hAnsi="Times New Roman" w:eastAsia="黑体" w:cs="Times New Roman"/>
          <w:kern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kern w:val="0"/>
          <w:sz w:val="32"/>
          <w:szCs w:val="32"/>
        </w:rPr>
        <w:t>五、部门（单位）一般公共预算财政拨款“三公”经费、培训费、会议费等情况</w:t>
      </w:r>
    </w:p>
    <w:p w14:paraId="1A1EA64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contextualSpacing/>
        <w:textAlignment w:val="auto"/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</w:rPr>
        <w:t>（一）“三公”经费情况说明</w:t>
      </w:r>
    </w:p>
    <w:p w14:paraId="5792E9C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right="0" w:firstLine="640" w:firstLineChars="200"/>
        <w:contextualSpacing/>
        <w:jc w:val="left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“三公”经费预算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0.4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万元，较202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年预算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无变化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全部为公务接待费</w:t>
      </w:r>
      <w:r>
        <w:rPr>
          <w:rFonts w:hint="default" w:ascii="Times New Roman" w:hAnsi="Times New Roman" w:eastAsia="仿宋_GB2312" w:cs="Times New Roman"/>
          <w:b/>
          <w:kern w:val="0"/>
          <w:sz w:val="32"/>
          <w:szCs w:val="32"/>
          <w:lang w:eastAsia="zh-CN"/>
        </w:rPr>
        <w:t>。</w:t>
      </w:r>
    </w:p>
    <w:p w14:paraId="3C18502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contextualSpacing/>
        <w:textAlignment w:val="auto"/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</w:rPr>
        <w:t>（二）培训费预算情况说明</w:t>
      </w:r>
    </w:p>
    <w:p w14:paraId="692CD17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培训费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万元，较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202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年预算增加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万元，增长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%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。</w:t>
      </w:r>
    </w:p>
    <w:p w14:paraId="27BFF12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contextualSpacing/>
        <w:textAlignment w:val="auto"/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</w:rPr>
        <w:t>（三）会议费预算情况说明</w:t>
      </w:r>
    </w:p>
    <w:p w14:paraId="1A3C893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yellow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会议费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万元，较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202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年预算增加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3万元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增长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%，增长的主要原因是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换届工作需要，调整增加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。</w:t>
      </w:r>
    </w:p>
    <w:p w14:paraId="7D35BB7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textAlignment w:val="auto"/>
        <w:rPr>
          <w:rFonts w:hint="default" w:ascii="Times New Roman" w:hAnsi="Times New Roman" w:eastAsia="黑体" w:cs="Times New Roman"/>
          <w:kern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kern w:val="0"/>
          <w:sz w:val="32"/>
          <w:szCs w:val="32"/>
        </w:rPr>
        <w:t>六、一般公共预算财政拨款机关运行经费情况</w:t>
      </w:r>
    </w:p>
    <w:p w14:paraId="2A2D2CF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yellow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机关运行经费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70.31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万元，较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202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年预算增加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0.38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减少0.53</w:t>
      </w:r>
      <w:r>
        <w:rPr>
          <w:rFonts w:hint="default" w:ascii="Times New Roman" w:hAnsi="Times New Roman" w:eastAsia="仿宋_GB2312" w:cs="Times New Roman"/>
          <w:sz w:val="32"/>
          <w:szCs w:val="32"/>
        </w:rPr>
        <w:t>%，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</w:rPr>
        <w:t>增长的主要原因是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  <w:t>指标调减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</w:rPr>
        <w:t>。</w:t>
      </w:r>
    </w:p>
    <w:p w14:paraId="57B4FFA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textAlignment w:val="auto"/>
        <w:rPr>
          <w:rFonts w:hint="default" w:ascii="Times New Roman" w:hAnsi="Times New Roman" w:eastAsia="黑体" w:cs="Times New Roman"/>
          <w:kern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kern w:val="0"/>
          <w:sz w:val="32"/>
          <w:szCs w:val="32"/>
        </w:rPr>
        <w:t>七、政府采购安排情况</w:t>
      </w:r>
    </w:p>
    <w:p w14:paraId="73FD1C8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20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26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年，单位政府采购预算总额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7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万元，其中：政府采购货物预算 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万元，政府采购工程预算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万元，政府采购服务预算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12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万元。</w:t>
      </w:r>
    </w:p>
    <w:p w14:paraId="51697EF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20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26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年，单位面向中小企业预留政府采购项目预算金额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万元，小微企业预留政府采购项目预算金额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万元。</w:t>
      </w:r>
    </w:p>
    <w:p w14:paraId="6A19352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textAlignment w:val="auto"/>
        <w:rPr>
          <w:rFonts w:hint="default" w:ascii="Times New Roman" w:hAnsi="Times New Roman" w:eastAsia="黑体" w:cs="Times New Roman"/>
          <w:kern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kern w:val="0"/>
          <w:sz w:val="32"/>
          <w:szCs w:val="32"/>
        </w:rPr>
        <w:t>八、国有资产占用情况</w:t>
      </w:r>
    </w:p>
    <w:p w14:paraId="7051FEC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yellow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上年末固定资产金额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原值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为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273.18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万元。其中：其中：办公用房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542.12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平方米，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机关事务局提供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。预算单位共有公务用车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 xml:space="preserve">辆，价值 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 xml:space="preserve">    万元。单价20万元以上的设备价值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 xml:space="preserve"> 万元。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20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26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年拟采购固定资产约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万元。</w:t>
      </w:r>
    </w:p>
    <w:p w14:paraId="4AAB33A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textAlignment w:val="auto"/>
        <w:rPr>
          <w:rFonts w:hint="default" w:ascii="Times New Roman" w:hAnsi="Times New Roman" w:eastAsia="黑体" w:cs="Times New Roman"/>
          <w:kern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kern w:val="0"/>
          <w:sz w:val="32"/>
          <w:szCs w:val="32"/>
        </w:rPr>
        <w:t>九、其他重要事项情况说明</w:t>
      </w:r>
    </w:p>
    <w:p w14:paraId="4B4945E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contextualSpacing/>
        <w:textAlignment w:val="auto"/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</w:rPr>
        <w:t>（一）政府性基金预算支出情况</w:t>
      </w:r>
    </w:p>
    <w:p w14:paraId="3D30898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未安排预算，政府性基金预算支出情况表为空表。</w:t>
      </w:r>
    </w:p>
    <w:p w14:paraId="792B6F0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contextualSpacing/>
        <w:textAlignment w:val="auto"/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</w:rPr>
        <w:t>（二）非税收入情况</w:t>
      </w:r>
    </w:p>
    <w:p w14:paraId="0C54ABC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本单位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202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年无非税收入。</w:t>
      </w:r>
    </w:p>
    <w:p w14:paraId="09CA264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contextualSpacing/>
        <w:textAlignment w:val="auto"/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</w:rPr>
        <w:t>（三）重点项目情况</w:t>
      </w:r>
    </w:p>
    <w:p w14:paraId="4703C47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本单位年初预算未安排项目支出，无重点项目说明。</w:t>
      </w:r>
    </w:p>
    <w:p w14:paraId="51BD7EB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contextualSpacing/>
        <w:textAlignment w:val="auto"/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</w:rPr>
        <w:t>（四）部门管理转移支付情况</w:t>
      </w:r>
    </w:p>
    <w:p w14:paraId="5F6CF6A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未安排预算，部门/单位管理转移支付表为空表。</w:t>
      </w:r>
    </w:p>
    <w:p w14:paraId="5706112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contextualSpacing/>
        <w:textAlignment w:val="auto"/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</w:rPr>
        <w:t>（五）国有资本经营预算支出情况</w:t>
      </w:r>
    </w:p>
    <w:p w14:paraId="1565C8A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未安排预算，国有资本经营预算支出情况表为空表。</w:t>
      </w:r>
    </w:p>
    <w:p w14:paraId="1ED9B13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textAlignment w:val="auto"/>
        <w:rPr>
          <w:rFonts w:hint="default" w:ascii="Times New Roman" w:hAnsi="Times New Roman" w:eastAsia="黑体" w:cs="Times New Roman"/>
          <w:kern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kern w:val="0"/>
          <w:sz w:val="32"/>
          <w:szCs w:val="32"/>
        </w:rPr>
        <w:t>十、预算绩效管理情况</w:t>
      </w:r>
    </w:p>
    <w:p w14:paraId="1C62EBE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contextualSpacing/>
        <w:textAlignment w:val="auto"/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</w:rPr>
        <w:t>（一）</w:t>
      </w:r>
      <w:r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  <w:lang w:eastAsia="zh-CN"/>
        </w:rPr>
        <w:t>202</w:t>
      </w:r>
      <w:r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</w:rPr>
        <w:t>年预算绩效管理工作情况。</w:t>
      </w:r>
    </w:p>
    <w:p w14:paraId="5B5CCF1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按照《中共中央 国务院关于全面实施预算绩效管理的意见》《中共甘肃省委 甘肃省人民政府关于全面实施预算绩效管理的实施意见》等相关要求，我们将绩效理念和方法融入预算编制、执行、决算和监督全过程认真开展各项工作。</w:t>
      </w:r>
    </w:p>
    <w:p w14:paraId="545CA32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contextualSpacing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b/>
          <w:sz w:val="32"/>
          <w:szCs w:val="32"/>
        </w:rPr>
        <w:t>1.绩效目标管理情况。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202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年度，按照“谁申请资金，谁设置目标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”的原则，纳入部门预算管理的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</w:rPr>
        <w:t>单位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整体支出和项目绩效目标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个，按规定随年度预算一并公开项目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个，公开率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 xml:space="preserve"> %。</w:t>
      </w:r>
    </w:p>
    <w:p w14:paraId="56116F8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contextualSpacing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b/>
          <w:sz w:val="32"/>
          <w:szCs w:val="32"/>
          <w:highlight w:val="none"/>
        </w:rPr>
        <w:t>2.绩效运行监控情况。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202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年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7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月，组织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开展1-6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月绩效运行监控项目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13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个，占本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</w:rPr>
        <w:t>单位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项目的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%。截至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7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月底，如期完成预算执行和绩效目“双监控”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未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发现存在的问题。开展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1-9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月绩效运行监控项目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13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个，占本单位项目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%。截至10月底，如期完成预算执行和绩效目标指标值的项目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13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个，完成率为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 xml:space="preserve"> %。</w:t>
      </w:r>
    </w:p>
    <w:p w14:paraId="034CF0D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contextualSpacing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b/>
          <w:sz w:val="32"/>
          <w:szCs w:val="32"/>
          <w:highlight w:val="none"/>
        </w:rPr>
        <w:t>3.绩效自评开展情况。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202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年度，组织开展绩效自评项目共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个，其中，部门（单位）整体支出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个，项目支出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个，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转移支付项目2个，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绩效自评覆盖率为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%。</w:t>
      </w:r>
    </w:p>
    <w:p w14:paraId="1B5CB53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contextualSpacing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b/>
          <w:sz w:val="32"/>
          <w:szCs w:val="32"/>
          <w:highlight w:val="none"/>
        </w:rPr>
        <w:t>4.绩效结果应用情况。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根据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202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年度绩效运行监控、绩效自评等情况，当年盘活财政资金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万元，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202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年度减少部门预算项目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个，压减率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18.2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%。同时对政策和项目资金管理作出调整的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个。</w:t>
      </w:r>
    </w:p>
    <w:p w14:paraId="7067FDF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contextualSpacing/>
        <w:textAlignment w:val="auto"/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</w:rPr>
        <w:t>（二）</w:t>
      </w:r>
      <w:r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  <w:lang w:eastAsia="zh-CN"/>
        </w:rPr>
        <w:t>202</w:t>
      </w:r>
      <w:r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</w:rPr>
        <w:t>年绩效目标编制情况</w:t>
      </w:r>
    </w:p>
    <w:p w14:paraId="5ED3C40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contextualSpacing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202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年，纳入单位预算绩效目标管理的项目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11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个。其中，部门整体支出绩效目标围绕部门管理、履职效果、能力建设三个维度，设置二级指标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16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个、三级指标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31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个；项目支出绩效目标围绕成本指标、产出指标、效益指标、满意度指标四个维度，设置二级指标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个、三级指标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11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个。各项绩效目标内容指向明确、细化量化、合理可行，符合规定的格式要求。</w:t>
      </w:r>
    </w:p>
    <w:p w14:paraId="1B6BE29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contextualSpacing/>
        <w:textAlignment w:val="auto"/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</w:rPr>
        <w:t>十一、名词解释</w:t>
      </w:r>
    </w:p>
    <w:p w14:paraId="476EBD1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contextualSpacing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color w:val="000000"/>
          <w:sz w:val="32"/>
          <w:szCs w:val="32"/>
        </w:rPr>
        <w:t>1、财政拨款: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指由一般公共预算、政府性基金预算、国有资本经营预算安排的财政拨款数。</w:t>
      </w:r>
    </w:p>
    <w:p w14:paraId="4CC6C57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contextualSpacing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color w:val="000000"/>
          <w:sz w:val="32"/>
          <w:szCs w:val="32"/>
        </w:rPr>
        <w:t>2、一般公共预算: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包括公共财政拨款（补助）资金、专项收入。</w:t>
      </w:r>
    </w:p>
    <w:p w14:paraId="7908A71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contextualSpacing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color w:val="000000"/>
          <w:sz w:val="32"/>
          <w:szCs w:val="32"/>
        </w:rPr>
        <w:t>3、财政专户管理资金: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包括专户管理行政事业性收费（主要是教育收费）、其他非税收入。</w:t>
      </w:r>
    </w:p>
    <w:p w14:paraId="4CE172D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contextualSpacing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color w:val="000000"/>
          <w:sz w:val="32"/>
          <w:szCs w:val="32"/>
        </w:rPr>
        <w:t>4、其他资金: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包括事业收入、事业经营收入、其他收入等。</w:t>
      </w:r>
    </w:p>
    <w:p w14:paraId="6D5803A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contextualSpacing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color w:val="000000"/>
          <w:sz w:val="32"/>
          <w:szCs w:val="32"/>
        </w:rPr>
        <w:t>5、基本支出: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包括人员经费、公用经费（定额）。其中，人员经费包括工资福利支出、对个人和家庭的补助。</w:t>
      </w:r>
    </w:p>
    <w:p w14:paraId="696C919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contextualSpacing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color w:val="000000"/>
          <w:sz w:val="32"/>
          <w:szCs w:val="32"/>
        </w:rPr>
        <w:t>6、项目支出: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部门（单位）支出预算的组成部分，是各部门（单位）为完成其特定的行政任务或事业发展目标，在基本支出预算之外编制的年度项目支出计划。</w:t>
      </w:r>
    </w:p>
    <w:p w14:paraId="3E4D9AA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contextualSpacing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color w:val="000000"/>
          <w:sz w:val="32"/>
          <w:szCs w:val="32"/>
        </w:rPr>
        <w:t>7、“三公”经费: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指因公出国（境）费、公务用车购置及运行维护费和公务接待费。其中，因公出国（境）费反映单位公务出国（境）的国际旅费、国外城市间交通费、住宿费、伙食费、培训费、公杂费等支出；公务用车运行维护费反映单位按规定保留的公务用车租用费、燃料费、维修费、过路过桥费、保险费、安全奖励费用等支出；公务接待费反映单位按规定开支的各类公务接待（含外宾接待）支出。</w:t>
      </w:r>
    </w:p>
    <w:p w14:paraId="453FCEB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contextualSpacing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color w:val="000000"/>
          <w:sz w:val="32"/>
          <w:szCs w:val="32"/>
        </w:rPr>
        <w:t>8、机关运行经费: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为保障行政单位（包括实行公务员管理的事业单位）运行用于购买货物和服务的各项资金，包括办公及印刷费、邮电费、差旅费、会议费、福利费、日常维修费、一般设备购置费、办公用房水电费、办公用房取暖费、办公用房物业管理费、公务用车运行维护费以及其他费用。</w:t>
      </w:r>
    </w:p>
    <w:p w14:paraId="0F95091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right="0"/>
        <w:contextualSpacing/>
        <w:jc w:val="center"/>
        <w:textAlignment w:val="auto"/>
        <w:outlineLvl w:val="9"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  <w:t xml:space="preserve">                              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eastAsia="zh-CN"/>
        </w:rPr>
        <w:t>中共华池县委组织部</w:t>
      </w:r>
    </w:p>
    <w:p w14:paraId="104DAE9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right="1120"/>
        <w:contextualSpacing/>
        <w:jc w:val="right"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2026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月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日</w:t>
      </w:r>
    </w:p>
    <w:p w14:paraId="0358EE4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right="0" w:firstLine="960" w:firstLineChars="300"/>
        <w:contextualSpacing/>
        <w:jc w:val="both"/>
        <w:textAlignment w:val="auto"/>
        <w:outlineLvl w:val="9"/>
        <w:rPr>
          <w:rFonts w:hint="default" w:ascii="Times New Roman" w:hAnsi="Times New Roman" w:eastAsia="仿宋_GB2312" w:cs="Times New Roman"/>
          <w:spacing w:val="-20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附件：</w:t>
      </w:r>
      <w:r>
        <w:rPr>
          <w:rFonts w:hint="default" w:ascii="Times New Roman" w:hAnsi="Times New Roman" w:eastAsia="仿宋_GB2312" w:cs="Times New Roman"/>
          <w:spacing w:val="-20"/>
          <w:kern w:val="0"/>
          <w:sz w:val="32"/>
          <w:szCs w:val="32"/>
        </w:rPr>
        <w:t>1.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eastAsia="zh-CN"/>
        </w:rPr>
        <w:t>中共华池县委组织部</w:t>
      </w:r>
      <w:r>
        <w:rPr>
          <w:rFonts w:hint="default" w:ascii="Times New Roman" w:hAnsi="Times New Roman" w:eastAsia="仿宋_GB2312" w:cs="Times New Roman"/>
          <w:spacing w:val="-20"/>
          <w:kern w:val="0"/>
          <w:sz w:val="32"/>
          <w:szCs w:val="32"/>
          <w:lang w:eastAsia="zh-CN"/>
        </w:rPr>
        <w:t>202</w:t>
      </w:r>
      <w:r>
        <w:rPr>
          <w:rFonts w:hint="default" w:ascii="Times New Roman" w:hAnsi="Times New Roman" w:eastAsia="仿宋_GB2312" w:cs="Times New Roman"/>
          <w:spacing w:val="-20"/>
          <w:kern w:val="0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spacing w:val="-20"/>
          <w:kern w:val="0"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单位</w:t>
      </w:r>
      <w:r>
        <w:rPr>
          <w:rFonts w:hint="default" w:ascii="Times New Roman" w:hAnsi="Times New Roman" w:eastAsia="仿宋_GB2312" w:cs="Times New Roman"/>
          <w:spacing w:val="-20"/>
          <w:kern w:val="0"/>
          <w:sz w:val="32"/>
          <w:szCs w:val="32"/>
        </w:rPr>
        <w:t>预算公开表</w:t>
      </w:r>
    </w:p>
    <w:p w14:paraId="48FCD89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right="0"/>
        <w:contextualSpacing/>
        <w:jc w:val="center"/>
        <w:textAlignment w:val="auto"/>
        <w:outlineLvl w:val="9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  <w:t xml:space="preserve">            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2.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eastAsia="zh-CN"/>
        </w:rPr>
        <w:t>中共华池县委组织部202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单位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整体支出绩效目标</w:t>
      </w:r>
    </w:p>
    <w:p w14:paraId="22DB476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right="0" w:firstLine="2560" w:firstLineChars="800"/>
        <w:contextualSpacing/>
        <w:jc w:val="both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及预算项目绩效目标表</w:t>
      </w: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4C854A">
    <w:pPr>
      <w:pStyle w:val="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27</w:t>
    </w:r>
    <w:r>
      <w:fldChar w:fldCharType="end"/>
    </w:r>
  </w:p>
  <w:p w14:paraId="7F222DAC"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jNDcxNWMxNzA4MWQ4MjRlNWExMTQwYmYzY2EyYmIifQ=="/>
  </w:docVars>
  <w:rsids>
    <w:rsidRoot w:val="00FB4362"/>
    <w:rsid w:val="00000C55"/>
    <w:rsid w:val="00001446"/>
    <w:rsid w:val="0001130C"/>
    <w:rsid w:val="00011F27"/>
    <w:rsid w:val="00012457"/>
    <w:rsid w:val="00021BBF"/>
    <w:rsid w:val="00030443"/>
    <w:rsid w:val="00030F4C"/>
    <w:rsid w:val="0003278A"/>
    <w:rsid w:val="000368FE"/>
    <w:rsid w:val="00042A06"/>
    <w:rsid w:val="00043601"/>
    <w:rsid w:val="000442B5"/>
    <w:rsid w:val="0004639D"/>
    <w:rsid w:val="000465E2"/>
    <w:rsid w:val="0005161F"/>
    <w:rsid w:val="000547D1"/>
    <w:rsid w:val="00055759"/>
    <w:rsid w:val="000612EE"/>
    <w:rsid w:val="00061BAF"/>
    <w:rsid w:val="0006337D"/>
    <w:rsid w:val="00074626"/>
    <w:rsid w:val="00076B62"/>
    <w:rsid w:val="00082093"/>
    <w:rsid w:val="000861D5"/>
    <w:rsid w:val="0009273A"/>
    <w:rsid w:val="000A20A7"/>
    <w:rsid w:val="000A655B"/>
    <w:rsid w:val="000B54DD"/>
    <w:rsid w:val="000C2055"/>
    <w:rsid w:val="000C2B7F"/>
    <w:rsid w:val="000C37BE"/>
    <w:rsid w:val="000C4C50"/>
    <w:rsid w:val="000D0130"/>
    <w:rsid w:val="000D2EEE"/>
    <w:rsid w:val="000D2F19"/>
    <w:rsid w:val="000E0CEA"/>
    <w:rsid w:val="000F3CBF"/>
    <w:rsid w:val="000F3F42"/>
    <w:rsid w:val="000F473D"/>
    <w:rsid w:val="001017F3"/>
    <w:rsid w:val="0011297B"/>
    <w:rsid w:val="00123768"/>
    <w:rsid w:val="00126B08"/>
    <w:rsid w:val="001272E5"/>
    <w:rsid w:val="00127D01"/>
    <w:rsid w:val="00130F5F"/>
    <w:rsid w:val="001374F5"/>
    <w:rsid w:val="00152FDC"/>
    <w:rsid w:val="001561FD"/>
    <w:rsid w:val="0015647B"/>
    <w:rsid w:val="00156619"/>
    <w:rsid w:val="00156C8B"/>
    <w:rsid w:val="00160A8C"/>
    <w:rsid w:val="001700B4"/>
    <w:rsid w:val="00171070"/>
    <w:rsid w:val="001A416A"/>
    <w:rsid w:val="001A6118"/>
    <w:rsid w:val="001B0364"/>
    <w:rsid w:val="001B0B8E"/>
    <w:rsid w:val="001B342F"/>
    <w:rsid w:val="001C1259"/>
    <w:rsid w:val="001D1DA7"/>
    <w:rsid w:val="001E17E4"/>
    <w:rsid w:val="001E2410"/>
    <w:rsid w:val="001E347C"/>
    <w:rsid w:val="001E6110"/>
    <w:rsid w:val="001F3C4D"/>
    <w:rsid w:val="002033EA"/>
    <w:rsid w:val="00214046"/>
    <w:rsid w:val="0022561F"/>
    <w:rsid w:val="00232DBE"/>
    <w:rsid w:val="002355E7"/>
    <w:rsid w:val="00235F73"/>
    <w:rsid w:val="0023681E"/>
    <w:rsid w:val="00241FEC"/>
    <w:rsid w:val="00243562"/>
    <w:rsid w:val="0025164A"/>
    <w:rsid w:val="00265C3D"/>
    <w:rsid w:val="00266C2E"/>
    <w:rsid w:val="00270DF8"/>
    <w:rsid w:val="002754B3"/>
    <w:rsid w:val="0028392B"/>
    <w:rsid w:val="002934F2"/>
    <w:rsid w:val="002A3A19"/>
    <w:rsid w:val="002A3ED4"/>
    <w:rsid w:val="002A7274"/>
    <w:rsid w:val="002B2833"/>
    <w:rsid w:val="002B7BA1"/>
    <w:rsid w:val="002C01BB"/>
    <w:rsid w:val="002C3FA4"/>
    <w:rsid w:val="002E2161"/>
    <w:rsid w:val="002E30F2"/>
    <w:rsid w:val="002E4E72"/>
    <w:rsid w:val="002F0CE0"/>
    <w:rsid w:val="002F4ED9"/>
    <w:rsid w:val="002F75FE"/>
    <w:rsid w:val="002F7FA5"/>
    <w:rsid w:val="003017F4"/>
    <w:rsid w:val="00301AAB"/>
    <w:rsid w:val="00306B68"/>
    <w:rsid w:val="003129FE"/>
    <w:rsid w:val="003322AC"/>
    <w:rsid w:val="00335342"/>
    <w:rsid w:val="00343A8E"/>
    <w:rsid w:val="00345713"/>
    <w:rsid w:val="003566B9"/>
    <w:rsid w:val="00356C98"/>
    <w:rsid w:val="0036367B"/>
    <w:rsid w:val="0036496C"/>
    <w:rsid w:val="00365414"/>
    <w:rsid w:val="00372734"/>
    <w:rsid w:val="00372A33"/>
    <w:rsid w:val="0037374A"/>
    <w:rsid w:val="00377A88"/>
    <w:rsid w:val="00392E2B"/>
    <w:rsid w:val="003A396F"/>
    <w:rsid w:val="003A68FD"/>
    <w:rsid w:val="003A7A18"/>
    <w:rsid w:val="003B3187"/>
    <w:rsid w:val="003B327A"/>
    <w:rsid w:val="003B4612"/>
    <w:rsid w:val="003B76D2"/>
    <w:rsid w:val="003D6D41"/>
    <w:rsid w:val="003E3B0A"/>
    <w:rsid w:val="0040581D"/>
    <w:rsid w:val="00417BF3"/>
    <w:rsid w:val="00425D21"/>
    <w:rsid w:val="00426463"/>
    <w:rsid w:val="00427875"/>
    <w:rsid w:val="004317A0"/>
    <w:rsid w:val="0043556D"/>
    <w:rsid w:val="0043739B"/>
    <w:rsid w:val="00441579"/>
    <w:rsid w:val="004418B5"/>
    <w:rsid w:val="00445789"/>
    <w:rsid w:val="00463FB8"/>
    <w:rsid w:val="00480A2F"/>
    <w:rsid w:val="00480B47"/>
    <w:rsid w:val="00481F19"/>
    <w:rsid w:val="00487BC0"/>
    <w:rsid w:val="00490FF8"/>
    <w:rsid w:val="004A1851"/>
    <w:rsid w:val="004B337A"/>
    <w:rsid w:val="004B5538"/>
    <w:rsid w:val="004C3127"/>
    <w:rsid w:val="004D27C3"/>
    <w:rsid w:val="004D44D2"/>
    <w:rsid w:val="004D491E"/>
    <w:rsid w:val="004E3E51"/>
    <w:rsid w:val="004E625A"/>
    <w:rsid w:val="004F73BD"/>
    <w:rsid w:val="00502474"/>
    <w:rsid w:val="00515110"/>
    <w:rsid w:val="00523062"/>
    <w:rsid w:val="00532434"/>
    <w:rsid w:val="00537019"/>
    <w:rsid w:val="0054271B"/>
    <w:rsid w:val="00545281"/>
    <w:rsid w:val="00551A39"/>
    <w:rsid w:val="00566585"/>
    <w:rsid w:val="00580A2F"/>
    <w:rsid w:val="005A2CB7"/>
    <w:rsid w:val="005B15C7"/>
    <w:rsid w:val="005B51EA"/>
    <w:rsid w:val="005C6B92"/>
    <w:rsid w:val="005F4CC9"/>
    <w:rsid w:val="0060056E"/>
    <w:rsid w:val="006039C9"/>
    <w:rsid w:val="00605602"/>
    <w:rsid w:val="00605D22"/>
    <w:rsid w:val="00620A03"/>
    <w:rsid w:val="00621126"/>
    <w:rsid w:val="0062145A"/>
    <w:rsid w:val="00633C60"/>
    <w:rsid w:val="00645C9F"/>
    <w:rsid w:val="00650775"/>
    <w:rsid w:val="0065388D"/>
    <w:rsid w:val="00655506"/>
    <w:rsid w:val="00674396"/>
    <w:rsid w:val="006849AD"/>
    <w:rsid w:val="006853A7"/>
    <w:rsid w:val="0069507F"/>
    <w:rsid w:val="006955DD"/>
    <w:rsid w:val="00697A98"/>
    <w:rsid w:val="006A0492"/>
    <w:rsid w:val="006A3DED"/>
    <w:rsid w:val="006A6E23"/>
    <w:rsid w:val="006B05FF"/>
    <w:rsid w:val="006C4D2E"/>
    <w:rsid w:val="006D3D60"/>
    <w:rsid w:val="006E1F9C"/>
    <w:rsid w:val="006E4A2C"/>
    <w:rsid w:val="006E721A"/>
    <w:rsid w:val="006F0E11"/>
    <w:rsid w:val="006F40C8"/>
    <w:rsid w:val="00700872"/>
    <w:rsid w:val="00706BB4"/>
    <w:rsid w:val="00714029"/>
    <w:rsid w:val="007203B6"/>
    <w:rsid w:val="007222C1"/>
    <w:rsid w:val="00725205"/>
    <w:rsid w:val="0074091B"/>
    <w:rsid w:val="00740927"/>
    <w:rsid w:val="00744302"/>
    <w:rsid w:val="00747C60"/>
    <w:rsid w:val="007732EA"/>
    <w:rsid w:val="00777EA3"/>
    <w:rsid w:val="007933F9"/>
    <w:rsid w:val="00793C7B"/>
    <w:rsid w:val="007954B6"/>
    <w:rsid w:val="007A5E22"/>
    <w:rsid w:val="007B3768"/>
    <w:rsid w:val="007B5395"/>
    <w:rsid w:val="007C38FB"/>
    <w:rsid w:val="007C6434"/>
    <w:rsid w:val="007D4E4C"/>
    <w:rsid w:val="007D5F13"/>
    <w:rsid w:val="007D69F8"/>
    <w:rsid w:val="007E4819"/>
    <w:rsid w:val="007E4E03"/>
    <w:rsid w:val="007E7289"/>
    <w:rsid w:val="00805F3F"/>
    <w:rsid w:val="00817A5D"/>
    <w:rsid w:val="00821209"/>
    <w:rsid w:val="00821491"/>
    <w:rsid w:val="00831411"/>
    <w:rsid w:val="00842536"/>
    <w:rsid w:val="00843692"/>
    <w:rsid w:val="0085135B"/>
    <w:rsid w:val="0085287C"/>
    <w:rsid w:val="008559B6"/>
    <w:rsid w:val="008559FD"/>
    <w:rsid w:val="00855E65"/>
    <w:rsid w:val="0085612E"/>
    <w:rsid w:val="00880868"/>
    <w:rsid w:val="00880D30"/>
    <w:rsid w:val="008811AD"/>
    <w:rsid w:val="008812FA"/>
    <w:rsid w:val="008B222B"/>
    <w:rsid w:val="008C138F"/>
    <w:rsid w:val="008C204C"/>
    <w:rsid w:val="008C2625"/>
    <w:rsid w:val="008C4FE2"/>
    <w:rsid w:val="008D4D6A"/>
    <w:rsid w:val="008F7014"/>
    <w:rsid w:val="009049E9"/>
    <w:rsid w:val="00907F9B"/>
    <w:rsid w:val="00911503"/>
    <w:rsid w:val="00917C2D"/>
    <w:rsid w:val="009209B6"/>
    <w:rsid w:val="00923CB4"/>
    <w:rsid w:val="009335E0"/>
    <w:rsid w:val="00941732"/>
    <w:rsid w:val="009510F3"/>
    <w:rsid w:val="00954018"/>
    <w:rsid w:val="00955590"/>
    <w:rsid w:val="00970435"/>
    <w:rsid w:val="009704EC"/>
    <w:rsid w:val="00971619"/>
    <w:rsid w:val="00982EAB"/>
    <w:rsid w:val="0098505E"/>
    <w:rsid w:val="00991480"/>
    <w:rsid w:val="009945A7"/>
    <w:rsid w:val="00995E63"/>
    <w:rsid w:val="0099643D"/>
    <w:rsid w:val="009969DC"/>
    <w:rsid w:val="00996BA5"/>
    <w:rsid w:val="009A0F79"/>
    <w:rsid w:val="009A3C75"/>
    <w:rsid w:val="009B03F2"/>
    <w:rsid w:val="009C4EE2"/>
    <w:rsid w:val="009D46B1"/>
    <w:rsid w:val="009E7F6E"/>
    <w:rsid w:val="009F2B6A"/>
    <w:rsid w:val="009F5541"/>
    <w:rsid w:val="00A01204"/>
    <w:rsid w:val="00A022BA"/>
    <w:rsid w:val="00A256AC"/>
    <w:rsid w:val="00A32BE3"/>
    <w:rsid w:val="00A4207A"/>
    <w:rsid w:val="00A5653E"/>
    <w:rsid w:val="00A63533"/>
    <w:rsid w:val="00A723C4"/>
    <w:rsid w:val="00A72D2B"/>
    <w:rsid w:val="00A820E9"/>
    <w:rsid w:val="00A82942"/>
    <w:rsid w:val="00A83E24"/>
    <w:rsid w:val="00AA20F8"/>
    <w:rsid w:val="00AA327B"/>
    <w:rsid w:val="00AA55AF"/>
    <w:rsid w:val="00AB19A5"/>
    <w:rsid w:val="00AC2FD6"/>
    <w:rsid w:val="00AC78FC"/>
    <w:rsid w:val="00AD4CFE"/>
    <w:rsid w:val="00AE79BA"/>
    <w:rsid w:val="00AF350E"/>
    <w:rsid w:val="00AF3D8F"/>
    <w:rsid w:val="00AF5273"/>
    <w:rsid w:val="00AF5D3D"/>
    <w:rsid w:val="00B0671C"/>
    <w:rsid w:val="00B13495"/>
    <w:rsid w:val="00B262DD"/>
    <w:rsid w:val="00B278DE"/>
    <w:rsid w:val="00B30287"/>
    <w:rsid w:val="00B30EBD"/>
    <w:rsid w:val="00B351C3"/>
    <w:rsid w:val="00B36AC9"/>
    <w:rsid w:val="00B36E7A"/>
    <w:rsid w:val="00B542CD"/>
    <w:rsid w:val="00B6465B"/>
    <w:rsid w:val="00B772D7"/>
    <w:rsid w:val="00B85451"/>
    <w:rsid w:val="00B86006"/>
    <w:rsid w:val="00B86D86"/>
    <w:rsid w:val="00BA2A96"/>
    <w:rsid w:val="00BA5FE5"/>
    <w:rsid w:val="00BC1FD9"/>
    <w:rsid w:val="00BC30FF"/>
    <w:rsid w:val="00BC500D"/>
    <w:rsid w:val="00BD7FD7"/>
    <w:rsid w:val="00BF1606"/>
    <w:rsid w:val="00BF1647"/>
    <w:rsid w:val="00BF5A25"/>
    <w:rsid w:val="00C06428"/>
    <w:rsid w:val="00C11347"/>
    <w:rsid w:val="00C35018"/>
    <w:rsid w:val="00C40A34"/>
    <w:rsid w:val="00C4484E"/>
    <w:rsid w:val="00C46F7C"/>
    <w:rsid w:val="00C519B5"/>
    <w:rsid w:val="00C55EDB"/>
    <w:rsid w:val="00C573E9"/>
    <w:rsid w:val="00C729DA"/>
    <w:rsid w:val="00C764B7"/>
    <w:rsid w:val="00C90B56"/>
    <w:rsid w:val="00CA3F25"/>
    <w:rsid w:val="00CB5B9D"/>
    <w:rsid w:val="00CB6428"/>
    <w:rsid w:val="00CC01A5"/>
    <w:rsid w:val="00CC2134"/>
    <w:rsid w:val="00CD255A"/>
    <w:rsid w:val="00D126EC"/>
    <w:rsid w:val="00D14955"/>
    <w:rsid w:val="00D24CD6"/>
    <w:rsid w:val="00D24FA6"/>
    <w:rsid w:val="00D544D2"/>
    <w:rsid w:val="00D660F8"/>
    <w:rsid w:val="00D744C5"/>
    <w:rsid w:val="00D827AF"/>
    <w:rsid w:val="00D8451F"/>
    <w:rsid w:val="00D8474D"/>
    <w:rsid w:val="00D84D5B"/>
    <w:rsid w:val="00D86771"/>
    <w:rsid w:val="00D90C73"/>
    <w:rsid w:val="00D90F17"/>
    <w:rsid w:val="00D9480E"/>
    <w:rsid w:val="00D94FFD"/>
    <w:rsid w:val="00DA7038"/>
    <w:rsid w:val="00DB4AF2"/>
    <w:rsid w:val="00DB572A"/>
    <w:rsid w:val="00DC14B3"/>
    <w:rsid w:val="00DC399C"/>
    <w:rsid w:val="00DC7D6D"/>
    <w:rsid w:val="00DD2999"/>
    <w:rsid w:val="00DD2B43"/>
    <w:rsid w:val="00DD2CF8"/>
    <w:rsid w:val="00DD5C58"/>
    <w:rsid w:val="00DE240B"/>
    <w:rsid w:val="00DE529C"/>
    <w:rsid w:val="00DE6D9E"/>
    <w:rsid w:val="00DF3482"/>
    <w:rsid w:val="00DF450F"/>
    <w:rsid w:val="00E04A58"/>
    <w:rsid w:val="00E07425"/>
    <w:rsid w:val="00E07A05"/>
    <w:rsid w:val="00E16025"/>
    <w:rsid w:val="00E167FD"/>
    <w:rsid w:val="00E16F50"/>
    <w:rsid w:val="00E24179"/>
    <w:rsid w:val="00E31783"/>
    <w:rsid w:val="00E36636"/>
    <w:rsid w:val="00E43A34"/>
    <w:rsid w:val="00E44D37"/>
    <w:rsid w:val="00E52850"/>
    <w:rsid w:val="00E609A5"/>
    <w:rsid w:val="00E61928"/>
    <w:rsid w:val="00E656D2"/>
    <w:rsid w:val="00E7276C"/>
    <w:rsid w:val="00E84382"/>
    <w:rsid w:val="00E9180B"/>
    <w:rsid w:val="00EA0646"/>
    <w:rsid w:val="00EA2BA4"/>
    <w:rsid w:val="00EA3103"/>
    <w:rsid w:val="00EB15C1"/>
    <w:rsid w:val="00EC325A"/>
    <w:rsid w:val="00EC3A8E"/>
    <w:rsid w:val="00EC57F0"/>
    <w:rsid w:val="00ED68AF"/>
    <w:rsid w:val="00EF2E7C"/>
    <w:rsid w:val="00F01A6E"/>
    <w:rsid w:val="00F11811"/>
    <w:rsid w:val="00F20178"/>
    <w:rsid w:val="00F23C6C"/>
    <w:rsid w:val="00F24BC8"/>
    <w:rsid w:val="00F25045"/>
    <w:rsid w:val="00F30F3E"/>
    <w:rsid w:val="00F32002"/>
    <w:rsid w:val="00F4605D"/>
    <w:rsid w:val="00F51EF5"/>
    <w:rsid w:val="00F74928"/>
    <w:rsid w:val="00F8197E"/>
    <w:rsid w:val="00F833B1"/>
    <w:rsid w:val="00F87D90"/>
    <w:rsid w:val="00F90495"/>
    <w:rsid w:val="00FA4179"/>
    <w:rsid w:val="00FB4362"/>
    <w:rsid w:val="00FB53A1"/>
    <w:rsid w:val="00FD30CF"/>
    <w:rsid w:val="00FE0E46"/>
    <w:rsid w:val="00FF0AEC"/>
    <w:rsid w:val="00FF1DF4"/>
    <w:rsid w:val="00FF4165"/>
    <w:rsid w:val="02E03DF9"/>
    <w:rsid w:val="106A62D2"/>
    <w:rsid w:val="113741D2"/>
    <w:rsid w:val="18330BA7"/>
    <w:rsid w:val="1D34261E"/>
    <w:rsid w:val="1EB40435"/>
    <w:rsid w:val="2EF97D09"/>
    <w:rsid w:val="41F26CAC"/>
    <w:rsid w:val="42A05423"/>
    <w:rsid w:val="4C433C79"/>
    <w:rsid w:val="527E074E"/>
    <w:rsid w:val="54C44D08"/>
    <w:rsid w:val="56393C72"/>
    <w:rsid w:val="579503FF"/>
    <w:rsid w:val="60535296"/>
    <w:rsid w:val="6B6317EA"/>
    <w:rsid w:val="6E14501E"/>
    <w:rsid w:val="72FD2525"/>
    <w:rsid w:val="73E7745D"/>
    <w:rsid w:val="78106856"/>
    <w:rsid w:val="FF7FF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8"/>
    <w:autoRedefine/>
    <w:qFormat/>
    <w:uiPriority w:val="0"/>
    <w:pPr>
      <w:jc w:val="left"/>
    </w:pPr>
  </w:style>
  <w:style w:type="paragraph" w:styleId="4">
    <w:name w:val="Balloon Text"/>
    <w:basedOn w:val="1"/>
    <w:link w:val="15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3"/>
    <w:next w:val="3"/>
    <w:link w:val="19"/>
    <w:autoRedefine/>
    <w:qFormat/>
    <w:uiPriority w:val="0"/>
    <w:rPr>
      <w:b/>
      <w:bCs/>
    </w:rPr>
  </w:style>
  <w:style w:type="character" w:styleId="10">
    <w:name w:val="line number"/>
    <w:autoRedefine/>
    <w:qFormat/>
    <w:uiPriority w:val="0"/>
  </w:style>
  <w:style w:type="character" w:styleId="11">
    <w:name w:val="annotation reference"/>
    <w:autoRedefine/>
    <w:qFormat/>
    <w:uiPriority w:val="0"/>
    <w:rPr>
      <w:sz w:val="21"/>
      <w:szCs w:val="21"/>
    </w:rPr>
  </w:style>
  <w:style w:type="character" w:customStyle="1" w:styleId="12">
    <w:name w:val="页脚 Char"/>
    <w:link w:val="5"/>
    <w:qFormat/>
    <w:uiPriority w:val="0"/>
    <w:rPr>
      <w:sz w:val="18"/>
      <w:szCs w:val="18"/>
    </w:rPr>
  </w:style>
  <w:style w:type="character" w:customStyle="1" w:styleId="13">
    <w:name w:val="页眉 Char"/>
    <w:link w:val="6"/>
    <w:autoRedefine/>
    <w:qFormat/>
    <w:uiPriority w:val="0"/>
    <w:rPr>
      <w:sz w:val="18"/>
      <w:szCs w:val="18"/>
    </w:rPr>
  </w:style>
  <w:style w:type="paragraph" w:styleId="14">
    <w:name w:val="List Paragraph"/>
    <w:basedOn w:val="1"/>
    <w:qFormat/>
    <w:uiPriority w:val="0"/>
    <w:pPr>
      <w:ind w:firstLine="420" w:firstLineChars="200"/>
    </w:pPr>
  </w:style>
  <w:style w:type="character" w:customStyle="1" w:styleId="15">
    <w:name w:val="批注框文本 Char"/>
    <w:link w:val="4"/>
    <w:qFormat/>
    <w:uiPriority w:val="0"/>
    <w:rPr>
      <w:kern w:val="2"/>
      <w:sz w:val="18"/>
      <w:szCs w:val="18"/>
    </w:rPr>
  </w:style>
  <w:style w:type="character" w:customStyle="1" w:styleId="16">
    <w:name w:val="标题 1 Char"/>
    <w:link w:val="2"/>
    <w:autoRedefine/>
    <w:qFormat/>
    <w:uiPriority w:val="0"/>
    <w:rPr>
      <w:rFonts w:ascii="Times New Roman" w:hAnsi="Times New Roman"/>
      <w:b/>
      <w:bCs/>
      <w:kern w:val="44"/>
      <w:sz w:val="44"/>
      <w:szCs w:val="44"/>
    </w:rPr>
  </w:style>
  <w:style w:type="paragraph" w:customStyle="1" w:styleId="17">
    <w:name w:val="TOC Heading"/>
    <w:basedOn w:val="2"/>
    <w:next w:val="1"/>
    <w:qFormat/>
    <w:uiPriority w:val="0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8">
    <w:name w:val="批注文字 Char"/>
    <w:link w:val="3"/>
    <w:qFormat/>
    <w:uiPriority w:val="0"/>
    <w:rPr>
      <w:kern w:val="2"/>
      <w:sz w:val="21"/>
      <w:szCs w:val="22"/>
    </w:rPr>
  </w:style>
  <w:style w:type="character" w:customStyle="1" w:styleId="19">
    <w:name w:val="批注主题 Char"/>
    <w:link w:val="7"/>
    <w:qFormat/>
    <w:uiPriority w:val="0"/>
    <w:rPr>
      <w:b/>
      <w:bCs/>
      <w:kern w:val="2"/>
      <w:sz w:val="21"/>
      <w:szCs w:val="22"/>
    </w:rPr>
  </w:style>
  <w:style w:type="character" w:customStyle="1" w:styleId="20">
    <w:name w:val="fontstyle0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1">
    <w:name w:val="fontstyle2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2">
    <w:name w:val="fontstyle1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3">
    <w:name w:val="fontstyle3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beijing</Company>
  <Pages>9</Pages>
  <Words>3866</Words>
  <Characters>4153</Characters>
  <Lines>68</Lines>
  <Paragraphs>19</Paragraphs>
  <TotalTime>0</TotalTime>
  <ScaleCrop>false</ScaleCrop>
  <LinksUpToDate>false</LinksUpToDate>
  <CharactersWithSpaces>4223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2024-01-30T17:03:00Z</dcterms:created>
  <dc:creator>home</dc:creator>
  <cp:lastModifiedBy>乞力马扎罗</cp:lastModifiedBy>
  <cp:lastPrinted>2026-03-13T07:21:00Z</cp:lastPrinted>
  <dcterms:modified xsi:type="dcterms:W3CDTF">2026-03-13T09:45:15Z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5C0A80BC312C47B79584276A90BB9C39_13</vt:lpwstr>
  </property>
  <property fmtid="{D5CDD505-2E9C-101B-9397-08002B2CF9AE}" pid="4" name="KSOTemplateDocerSaveRecord">
    <vt:lpwstr>eyJoZGlkIjoiNWI0YzM5YzYwYjY3YTk5ZWFkNzJiNWJjMTBhNjAyOWMiLCJ1c2VySWQiOiI2MzM2NTI0MTQifQ==</vt:lpwstr>
  </property>
</Properties>
</file>