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B84B245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华池县机关事务管理局</w:t>
      </w: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一、部门/单位职责</w:t>
      </w:r>
    </w:p>
    <w:p w14:paraId="70BD10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我单位主要负责贯彻执行国家、省、市有关机关事务管理的政策规定，拟定全县机关事务工作规划、规章制度及公务用车管理办法、实施细则，并组织实施；负责本县集中办公区房产的使用、分配和管理；负责全县公务用车平台建管、车辆调度管理、机关后勤服务保障、公共机构节能等工作；承办县委、县政府和上级业务部门交办的其他事项。</w:t>
      </w:r>
    </w:p>
    <w:p w14:paraId="720E48B4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775D6B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黑体" w:hAnsi="黑体" w:eastAsia="仿宋_GB2312" w:cs="黑体"/>
          <w:b/>
          <w:bCs/>
          <w:color w:val="auto"/>
          <w:sz w:val="36"/>
          <w:szCs w:val="36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26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年度，我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单位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共有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编制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7名</w:t>
      </w:r>
      <w:r>
        <w:rPr>
          <w:rFonts w:hint="default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其中：事业编制6名，工勤编制1名，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财政供养总人数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。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 w14:paraId="10AF183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02D85CD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650.72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14E911E5">
      <w:pPr>
        <w:widowControl/>
        <w:spacing w:line="560" w:lineRule="exact"/>
        <w:ind w:firstLine="640" w:firstLineChars="200"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650.72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650.72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100.00</w:t>
      </w:r>
      <w:r>
        <w:rPr>
          <w:rFonts w:hint="eastAsia" w:ascii="仿宋_GB2312" w:hAnsi="仿宋" w:eastAsia="仿宋_GB2312"/>
          <w:sz w:val="32"/>
          <w:szCs w:val="32"/>
        </w:rPr>
        <w:t>%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650.72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0"/>
          <w:rFonts w:hint="default" w:hAnsi="仿宋"/>
        </w:rPr>
        <w:t>其中：基本支出</w:t>
      </w:r>
      <w:r>
        <w:rPr>
          <w:rStyle w:val="20"/>
          <w:rFonts w:hint="eastAsia" w:hAnsi="仿宋" w:eastAsia="仿宋_GB2312"/>
          <w:lang w:val="en-US" w:eastAsia="zh-CN"/>
        </w:rPr>
        <w:t>485.80</w:t>
      </w:r>
      <w:r>
        <w:rPr>
          <w:rStyle w:val="20"/>
          <w:rFonts w:hint="default" w:hAnsi="仿宋"/>
        </w:rPr>
        <w:t>万元</w:t>
      </w:r>
      <w:r>
        <w:rPr>
          <w:rStyle w:val="20"/>
          <w:rFonts w:hint="eastAsia" w:hAnsi="仿宋" w:eastAsia="仿宋_GB2312"/>
          <w:lang w:eastAsia="zh-CN"/>
        </w:rPr>
        <w:t>，</w:t>
      </w:r>
      <w:r>
        <w:rPr>
          <w:rStyle w:val="20"/>
          <w:rFonts w:hint="default" w:hAnsi="仿宋"/>
        </w:rPr>
        <w:t>占</w:t>
      </w:r>
      <w:r>
        <w:rPr>
          <w:rStyle w:val="20"/>
          <w:rFonts w:hint="eastAsia" w:hAnsi="仿宋" w:eastAsia="仿宋_GB2312"/>
          <w:lang w:val="en-US" w:eastAsia="zh-CN"/>
        </w:rPr>
        <w:t>74.66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1"/>
          <w:rFonts w:hint="eastAsia" w:ascii="仿宋_GB2312" w:hAnsi="仿宋" w:eastAsia="仿宋_GB2312"/>
          <w:lang w:eastAsia="zh-CN"/>
        </w:rPr>
        <w:t>；</w:t>
      </w:r>
      <w:r>
        <w:rPr>
          <w:rStyle w:val="20"/>
          <w:rFonts w:hint="default" w:hAnsi="仿宋"/>
        </w:rPr>
        <w:t>项目支出</w:t>
      </w:r>
      <w:r>
        <w:rPr>
          <w:rStyle w:val="20"/>
          <w:rFonts w:hint="eastAsia" w:hAnsi="仿宋" w:eastAsia="仿宋_GB2312"/>
          <w:lang w:val="en-US" w:eastAsia="zh-CN"/>
        </w:rPr>
        <w:t>164.92</w:t>
      </w:r>
      <w:r>
        <w:rPr>
          <w:rStyle w:val="20"/>
          <w:rFonts w:hint="default" w:hAnsi="仿宋"/>
        </w:rPr>
        <w:t>万元，占</w:t>
      </w:r>
      <w:r>
        <w:rPr>
          <w:rStyle w:val="20"/>
          <w:rFonts w:hint="eastAsia" w:hAnsi="仿宋" w:eastAsia="仿宋_GB2312"/>
          <w:lang w:val="en-US" w:eastAsia="zh-CN"/>
        </w:rPr>
        <w:t>25.34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1"/>
          <w:rFonts w:hint="eastAsia" w:ascii="仿宋_GB2312" w:hAnsi="仿宋" w:eastAsia="仿宋_GB2312"/>
          <w:lang w:eastAsia="zh-CN"/>
        </w:rPr>
        <w:t>。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1"/>
          <w:rFonts w:hint="eastAsia" w:ascii="仿宋_GB2312" w:hAnsi="仿宋" w:eastAsia="仿宋_GB2312"/>
          <w:lang w:eastAsia="zh-CN"/>
        </w:rPr>
        <w:t>202</w:t>
      </w:r>
      <w:r>
        <w:rPr>
          <w:rStyle w:val="21"/>
          <w:rFonts w:hint="default" w:ascii="仿宋_GB2312" w:hAnsi="仿宋" w:eastAsia="仿宋_GB2312"/>
          <w:lang w:val="en-US" w:eastAsia="zh-CN"/>
        </w:rPr>
        <w:t>6</w:t>
      </w:r>
      <w:r>
        <w:rPr>
          <w:rStyle w:val="20"/>
          <w:rFonts w:hint="default" w:hAnsi="仿宋"/>
        </w:rPr>
        <w:t>年一般公共预算当年支出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650.72</w:t>
      </w:r>
      <w:r>
        <w:rPr>
          <w:rStyle w:val="20"/>
          <w:rFonts w:hint="default" w:hAnsi="仿宋"/>
        </w:rPr>
        <w:t>万元，包括：一般公共服务支出</w:t>
      </w:r>
      <w:r>
        <w:rPr>
          <w:rStyle w:val="20"/>
          <w:rFonts w:hint="eastAsia" w:hAnsi="仿宋" w:eastAsia="仿宋_GB2312"/>
          <w:lang w:val="en-US" w:eastAsia="zh-CN"/>
        </w:rPr>
        <w:t>579.38</w:t>
      </w:r>
      <w:r>
        <w:rPr>
          <w:rStyle w:val="20"/>
          <w:rFonts w:hint="default" w:hAnsi="仿宋"/>
        </w:rPr>
        <w:t>万元、社会保障和就业支出</w:t>
      </w:r>
      <w:r>
        <w:rPr>
          <w:rStyle w:val="20"/>
          <w:rFonts w:hint="eastAsia" w:hAnsi="仿宋" w:eastAsia="仿宋_GB2312"/>
          <w:lang w:val="en-US" w:eastAsia="zh-CN"/>
        </w:rPr>
        <w:t>37.47</w:t>
      </w:r>
      <w:r>
        <w:rPr>
          <w:rStyle w:val="21"/>
          <w:rFonts w:hint="eastAsia" w:ascii="仿宋_GB2312" w:hAnsi="仿宋" w:eastAsia="仿宋_GB2312"/>
        </w:rPr>
        <w:t xml:space="preserve"> </w:t>
      </w:r>
      <w:r>
        <w:rPr>
          <w:rStyle w:val="20"/>
          <w:rFonts w:hint="default" w:hAnsi="仿宋"/>
        </w:rPr>
        <w:t>万元</w:t>
      </w:r>
      <w:r>
        <w:rPr>
          <w:rStyle w:val="20"/>
          <w:rFonts w:hint="eastAsia" w:hAnsi="仿宋" w:eastAsia="仿宋_GB2312"/>
          <w:lang w:eastAsia="zh-CN"/>
        </w:rPr>
        <w:t>、</w:t>
      </w:r>
      <w:r>
        <w:rPr>
          <w:rStyle w:val="20"/>
          <w:rFonts w:hint="default" w:hAnsi="仿宋"/>
        </w:rPr>
        <w:t>卫生健康支出</w:t>
      </w:r>
      <w:r>
        <w:rPr>
          <w:rStyle w:val="20"/>
          <w:rFonts w:hint="eastAsia" w:hAnsi="仿宋" w:eastAsia="仿宋_GB2312"/>
          <w:lang w:val="en-US" w:eastAsia="zh-CN"/>
        </w:rPr>
        <w:t>13.65</w:t>
      </w:r>
      <w:r>
        <w:rPr>
          <w:rStyle w:val="20"/>
          <w:rFonts w:hint="default" w:hAnsi="仿宋"/>
        </w:rPr>
        <w:t>万元</w:t>
      </w:r>
      <w:r>
        <w:rPr>
          <w:rStyle w:val="20"/>
          <w:rFonts w:hint="eastAsia" w:hAnsi="仿宋" w:eastAsia="仿宋_GB2312"/>
          <w:lang w:eastAsia="zh-CN"/>
        </w:rPr>
        <w:t>、住房保障支出</w:t>
      </w:r>
      <w:r>
        <w:rPr>
          <w:rStyle w:val="20"/>
          <w:rFonts w:hint="eastAsia" w:hAnsi="仿宋" w:eastAsia="仿宋_GB2312"/>
          <w:lang w:val="en-US" w:eastAsia="zh-CN"/>
        </w:rPr>
        <w:t>20.22万元</w:t>
      </w:r>
      <w:r>
        <w:rPr>
          <w:rStyle w:val="20"/>
          <w:rFonts w:hint="default" w:hAnsi="仿宋"/>
        </w:rPr>
        <w:t>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widowControl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485.80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138.40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39.84</w:t>
      </w:r>
      <w:r>
        <w:rPr>
          <w:rFonts w:hint="eastAsia" w:ascii="仿宋_GB2312" w:hAnsi="仿宋" w:eastAsia="仿宋_GB2312"/>
          <w:sz w:val="32"/>
          <w:szCs w:val="32"/>
        </w:rPr>
        <w:t>%，增长的主要原因是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有人员调入，人员经费增加。</w:t>
      </w:r>
    </w:p>
    <w:p w14:paraId="7088349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268.17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万元，主要包括：基本工资、津贴补贴、奖金、绩效工资、机关事业单位基本养老保险缴费、职业年金缴费、职工基本医疗保险缴费、公务员医疗补助缴费、其他社会保障缴费、住房公积金。</w:t>
      </w:r>
    </w:p>
    <w:p w14:paraId="5167C9C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217.63</w:t>
      </w:r>
      <w:r>
        <w:rPr>
          <w:rFonts w:hint="eastAsia" w:ascii="仿宋_GB2312" w:hAnsi="仿宋" w:eastAsia="仿宋_GB2312"/>
          <w:sz w:val="32"/>
          <w:szCs w:val="32"/>
        </w:rPr>
        <w:t>万元，主要包括：办公费、印刷费、水费、邮电费、取暖费、差旅费、工会经费、福利费、公务用车运行维护费、其他商品和服务支出。</w:t>
      </w: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3597376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164.92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40.27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32.31</w:t>
      </w:r>
      <w:r>
        <w:rPr>
          <w:rFonts w:hint="eastAsia" w:ascii="仿宋_GB2312" w:hAnsi="仿宋" w:eastAsia="仿宋_GB2312"/>
          <w:sz w:val="32"/>
          <w:szCs w:val="32"/>
        </w:rPr>
        <w:t>%，增长主要原因是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车辆购置费增加。</w:t>
      </w:r>
    </w:p>
    <w:p w14:paraId="0293B3A0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部门专项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 xml:space="preserve"> 个，主要是项目1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国有资产管理工作经费；</w:t>
      </w:r>
      <w:r>
        <w:rPr>
          <w:rFonts w:hint="eastAsia" w:ascii="仿宋_GB2312" w:hAnsi="仿宋" w:eastAsia="仿宋_GB2312"/>
          <w:sz w:val="32"/>
          <w:szCs w:val="32"/>
        </w:rPr>
        <w:t>项目2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公务用车调度管理系统项目技术维护费；</w:t>
      </w:r>
      <w:r>
        <w:rPr>
          <w:rFonts w:hint="eastAsia" w:ascii="仿宋_GB2312" w:hAnsi="仿宋" w:eastAsia="仿宋_GB2312"/>
          <w:sz w:val="32"/>
          <w:szCs w:val="32"/>
        </w:rPr>
        <w:t>项目3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公车平台费用核算车辆派遣管理工作经费；项目4：车辆购置费；项目5：司勤人员工作经费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CA5B85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7C9C6AA7">
      <w:pPr>
        <w:widowControl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一般公共服务支出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（类）政府办公厅（室）及相关机构事务（款） 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事业运行</w:t>
      </w:r>
      <w:r>
        <w:rPr>
          <w:rFonts w:hint="eastAsia" w:ascii="仿宋_GB2312" w:eastAsia="仿宋_GB2312"/>
          <w:color w:val="000000"/>
          <w:sz w:val="32"/>
          <w:szCs w:val="32"/>
        </w:rPr>
        <w:t>（项）年预算数为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579.38</w:t>
      </w:r>
      <w:r>
        <w:rPr>
          <w:rFonts w:hint="eastAsia" w:ascii="仿宋_GB2312" w:eastAsia="仿宋_GB2312"/>
          <w:color w:val="000000"/>
          <w:sz w:val="32"/>
          <w:szCs w:val="32"/>
        </w:rPr>
        <w:t>万元，比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年预算增加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144.46</w:t>
      </w:r>
      <w:r>
        <w:rPr>
          <w:rFonts w:hint="eastAsia" w:ascii="仿宋_GB2312" w:eastAsia="仿宋_GB2312"/>
          <w:color w:val="000000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</w:rPr>
        <w:t>主要原因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是有人员调入，人员经费增加。</w:t>
      </w:r>
    </w:p>
    <w:p w14:paraId="3D5C3F5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2.社会保障和就业支出（类）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行政事业单位养老支出、其他社会保障和就业支出</w:t>
      </w:r>
      <w:r>
        <w:rPr>
          <w:rFonts w:hint="eastAsia" w:ascii="仿宋_GB2312" w:eastAsia="仿宋_GB2312"/>
          <w:color w:val="000000"/>
          <w:sz w:val="32"/>
          <w:szCs w:val="32"/>
        </w:rPr>
        <w:t>（款）机关事业单位基本养老保险缴费支出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、机关事业单位职业年金缴费支出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及</w:t>
      </w:r>
      <w:r>
        <w:rPr>
          <w:rFonts w:hint="eastAsia" w:ascii="仿宋_GB2312" w:eastAsia="仿宋_GB2312"/>
          <w:color w:val="000000"/>
          <w:sz w:val="32"/>
          <w:szCs w:val="32"/>
        </w:rPr>
        <w:t>其他社会保障和就业支出（项）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37.47</w:t>
      </w:r>
      <w:r>
        <w:rPr>
          <w:rFonts w:hint="eastAsia" w:ascii="仿宋_GB2312" w:eastAsia="仿宋_GB2312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</w:rPr>
        <w:t>比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年预算增加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15.84</w:t>
      </w:r>
      <w:r>
        <w:rPr>
          <w:rFonts w:hint="eastAsia" w:ascii="仿宋_GB2312" w:eastAsia="仿宋_GB2312"/>
          <w:color w:val="000000"/>
          <w:sz w:val="32"/>
          <w:szCs w:val="32"/>
        </w:rPr>
        <w:t>万元，主要原因是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人员增加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 w14:paraId="79CFA1D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3.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卫生健康支出</w:t>
      </w:r>
      <w:r>
        <w:rPr>
          <w:rFonts w:hint="eastAsia" w:ascii="仿宋_GB2312" w:eastAsia="仿宋_GB2312"/>
          <w:color w:val="000000"/>
          <w:sz w:val="32"/>
          <w:szCs w:val="32"/>
        </w:rPr>
        <w:t>（类）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行政事业单位医疗</w:t>
      </w:r>
      <w:r>
        <w:rPr>
          <w:rFonts w:hint="eastAsia" w:ascii="仿宋_GB2312" w:eastAsia="仿宋_GB2312"/>
          <w:color w:val="000000"/>
          <w:sz w:val="32"/>
          <w:szCs w:val="32"/>
        </w:rPr>
        <w:t>（款）事业单位医疗（项）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13.65</w:t>
      </w:r>
      <w:r>
        <w:rPr>
          <w:rFonts w:hint="eastAsia" w:ascii="仿宋_GB2312" w:eastAsia="仿宋_GB2312"/>
          <w:color w:val="000000"/>
          <w:sz w:val="32"/>
          <w:szCs w:val="32"/>
        </w:rPr>
        <w:t>万元，比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增加7.54</w:t>
      </w:r>
      <w:r>
        <w:rPr>
          <w:rFonts w:hint="eastAsia" w:ascii="仿宋_GB2312" w:eastAsia="仿宋_GB2312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</w:rPr>
        <w:t>主要原因是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人员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增加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 w14:paraId="2DF486B3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  <w:t>住房保障支出</w:t>
      </w:r>
      <w:r>
        <w:rPr>
          <w:rFonts w:hint="eastAsia" w:ascii="仿宋_GB2312" w:eastAsia="仿宋_GB2312"/>
          <w:color w:val="000000"/>
          <w:sz w:val="32"/>
          <w:szCs w:val="32"/>
        </w:rPr>
        <w:t>（类）住房改革支出（款）住房公积金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color w:val="000000"/>
          <w:sz w:val="32"/>
          <w:szCs w:val="32"/>
        </w:rPr>
        <w:t>项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）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20.22</w:t>
      </w:r>
      <w:r>
        <w:rPr>
          <w:rFonts w:hint="eastAsia" w:ascii="仿宋_GB2312" w:eastAsia="仿宋_GB2312"/>
          <w:color w:val="000000"/>
          <w:sz w:val="32"/>
          <w:szCs w:val="32"/>
        </w:rPr>
        <w:t>万元，比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增加10.83</w:t>
      </w:r>
      <w:r>
        <w:rPr>
          <w:rFonts w:hint="eastAsia" w:ascii="仿宋_GB2312" w:eastAsia="仿宋_GB2312"/>
          <w:color w:val="000000"/>
          <w:sz w:val="32"/>
          <w:szCs w:val="32"/>
        </w:rPr>
        <w:t>万元， 主要原因是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人员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增加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 w14:paraId="0A65071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1A1EA64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6B52960A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286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CC67525">
      <w:pPr>
        <w:widowControl/>
        <w:adjustRightInd w:val="0"/>
        <w:snapToGrid w:val="0"/>
        <w:spacing w:line="640" w:lineRule="exact"/>
        <w:ind w:firstLine="960" w:firstLineChars="3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公务用车购置及运行维护费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286</w:t>
      </w:r>
      <w:r>
        <w:rPr>
          <w:rFonts w:hint="eastAsia" w:ascii="仿宋_GB2312" w:hAnsi="仿宋" w:eastAsia="仿宋_GB2312"/>
          <w:sz w:val="32"/>
          <w:szCs w:val="32"/>
        </w:rPr>
        <w:t xml:space="preserve">万元（其中：公务用车购置  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万元，公务用车运行维护费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186</w:t>
      </w:r>
      <w:r>
        <w:rPr>
          <w:rFonts w:hint="eastAsia" w:ascii="仿宋_GB2312" w:hAnsi="仿宋" w:eastAsia="仿宋_GB2312"/>
          <w:sz w:val="32"/>
          <w:szCs w:val="32"/>
        </w:rPr>
        <w:t>万元），较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50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21.19</w:t>
      </w:r>
      <w:r>
        <w:rPr>
          <w:rFonts w:hint="eastAsia" w:ascii="仿宋_GB2312" w:hAnsi="仿宋" w:eastAsia="仿宋_GB2312"/>
          <w:sz w:val="32"/>
          <w:szCs w:val="32"/>
        </w:rPr>
        <w:t>%，增长的主要原因是公务用车购置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增加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3C18502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404B71F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本单位无培训费预算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7BFF12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17941CD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本单位无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会议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费预算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7D35BB7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2A2D2C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本单位为事业单位，无一般公共预算财政拨款机关运行经费。</w:t>
      </w:r>
    </w:p>
    <w:p w14:paraId="57B4FFA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73FD1C8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年，部门（单位）政府采购预算总额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292.83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101.83</w:t>
      </w:r>
      <w:r>
        <w:rPr>
          <w:rFonts w:hint="eastAsia" w:ascii="仿宋_GB2312" w:hAnsi="仿宋" w:eastAsia="仿宋_GB2312"/>
          <w:sz w:val="32"/>
          <w:szCs w:val="32"/>
        </w:rPr>
        <w:t>万元，政府采购服务预算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191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A19352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7051FEC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3561.16</w:t>
      </w:r>
      <w:r>
        <w:rPr>
          <w:rFonts w:hint="eastAsia" w:ascii="仿宋_GB2312" w:hAnsi="仿宋" w:eastAsia="仿宋_GB2312"/>
          <w:sz w:val="32"/>
          <w:szCs w:val="32"/>
        </w:rPr>
        <w:t>万元。其中：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420</w:t>
      </w:r>
      <w:r>
        <w:rPr>
          <w:rFonts w:hint="eastAsia" w:ascii="仿宋_GB2312" w:hAnsi="仿宋" w:eastAsia="仿宋_GB2312"/>
          <w:sz w:val="32"/>
          <w:szCs w:val="32"/>
        </w:rPr>
        <w:t xml:space="preserve"> 平方米，价值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22.21</w:t>
      </w:r>
      <w:r>
        <w:rPr>
          <w:rFonts w:hint="eastAsia" w:ascii="仿宋_GB2312" w:hAnsi="仿宋" w:eastAsia="仿宋_GB2312"/>
          <w:sz w:val="32"/>
          <w:szCs w:val="32"/>
        </w:rPr>
        <w:t>万元。预算部门（单位）共有公务用车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" w:eastAsia="仿宋_GB2312"/>
          <w:sz w:val="32"/>
          <w:szCs w:val="32"/>
        </w:rPr>
        <w:t>辆，价值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738.01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年拟采购固定资产约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4AAB33A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0FDF7644">
      <w:pPr>
        <w:adjustRightInd w:val="0"/>
        <w:snapToGrid w:val="0"/>
        <w:spacing w:line="640" w:lineRule="exact"/>
        <w:ind w:firstLine="960" w:firstLineChars="300"/>
        <w:contextualSpacing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未安排预算，政府性基金预算支出情况表为空表。</w:t>
      </w:r>
    </w:p>
    <w:p w14:paraId="792B6F0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0C54ABC8">
      <w:pPr>
        <w:widowControl/>
        <w:adjustRightInd w:val="0"/>
        <w:snapToGrid w:val="0"/>
        <w:spacing w:line="640" w:lineRule="exact"/>
        <w:ind w:firstLine="960" w:firstLineChars="3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9CA264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4703C47F">
      <w:pPr>
        <w:widowControl/>
        <w:adjustRightInd w:val="0"/>
        <w:snapToGrid w:val="0"/>
        <w:spacing w:line="640" w:lineRule="exact"/>
        <w:ind w:firstLine="960" w:firstLineChars="3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本单位年初预算未安排项目支出，无重点项目说明。</w:t>
      </w:r>
    </w:p>
    <w:p w14:paraId="51BD7EB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5F6CF6AA">
      <w:pPr>
        <w:widowControl/>
        <w:adjustRightInd w:val="0"/>
        <w:snapToGrid w:val="0"/>
        <w:spacing w:line="640" w:lineRule="exact"/>
        <w:ind w:firstLine="960" w:firstLineChars="3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未安排预算，部门/单位管理转移支付表为空表。</w:t>
      </w:r>
      <w:bookmarkStart w:id="0" w:name="_GoBack"/>
      <w:bookmarkEnd w:id="0"/>
    </w:p>
    <w:p w14:paraId="5706112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1565C8AE">
      <w:pPr>
        <w:widowControl/>
        <w:adjustRightInd w:val="0"/>
        <w:snapToGrid w:val="0"/>
        <w:spacing w:line="640" w:lineRule="exact"/>
        <w:ind w:firstLine="960" w:firstLineChars="3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1ED9B13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宋体"/>
          <w:kern w:val="0"/>
          <w:sz w:val="32"/>
          <w:szCs w:val="32"/>
          <w:highlight w:val="none"/>
        </w:rPr>
        <w:t>十、预算绩效管理情况</w:t>
      </w:r>
    </w:p>
    <w:p w14:paraId="1C62EBE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 xml:space="preserve">整体支出和项目绩效目标 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 xml:space="preserve">个，按规定随年度预算一并公开项目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100.00</w:t>
      </w:r>
      <w:r>
        <w:rPr>
          <w:rFonts w:hint="eastAsia" w:ascii="仿宋_GB2312" w:hAnsi="仿宋" w:eastAsia="仿宋_GB2312"/>
          <w:sz w:val="32"/>
          <w:szCs w:val="32"/>
        </w:rPr>
        <w:t xml:space="preserve"> %。</w:t>
      </w:r>
    </w:p>
    <w:p w14:paraId="142FD6F4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月，组织开展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1-6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100.00</w:t>
      </w:r>
      <w:r>
        <w:rPr>
          <w:rFonts w:hint="eastAsia" w:ascii="仿宋_GB2312" w:hAnsi="仿宋" w:eastAsia="仿宋_GB2312"/>
          <w:sz w:val="32"/>
          <w:szCs w:val="32"/>
        </w:rPr>
        <w:t xml:space="preserve"> %。截至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100.00</w:t>
      </w:r>
      <w:r>
        <w:rPr>
          <w:rFonts w:hint="eastAsia" w:ascii="仿宋_GB2312" w:hAnsi="仿宋" w:eastAsia="仿宋_GB2312"/>
          <w:sz w:val="32"/>
          <w:szCs w:val="32"/>
        </w:rPr>
        <w:t>%。开展1-9月绩效运行监控项目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 xml:space="preserve">个，占本部门（单位）项目的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100.00</w:t>
      </w:r>
      <w:r>
        <w:rPr>
          <w:rFonts w:hint="eastAsia" w:ascii="仿宋_GB2312" w:hAnsi="仿宋" w:eastAsia="仿宋_GB2312"/>
          <w:sz w:val="32"/>
          <w:szCs w:val="32"/>
        </w:rPr>
        <w:t xml:space="preserve"> 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 xml:space="preserve"> 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</w:t>
      </w:r>
    </w:p>
    <w:p w14:paraId="5A9F2B0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 xml:space="preserve">   个，其中，部门（单位）整体支出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个，项目支出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 xml:space="preserve"> 个，绩效自评覆盖率为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100.00</w:t>
      </w:r>
      <w:r>
        <w:rPr>
          <w:rFonts w:hint="eastAsia" w:ascii="仿宋_GB2312" w:hAnsi="仿宋" w:eastAsia="仿宋_GB2312"/>
          <w:sz w:val="32"/>
          <w:szCs w:val="32"/>
        </w:rPr>
        <w:t xml:space="preserve"> %。绩效自评结果随部门决算报送财政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和</w:t>
      </w:r>
      <w:r>
        <w:rPr>
          <w:rFonts w:hint="eastAsia" w:ascii="仿宋_GB2312" w:hAnsi="仿宋" w:eastAsia="仿宋_GB2312"/>
          <w:sz w:val="32"/>
          <w:szCs w:val="32"/>
        </w:rPr>
        <w:t>随决算公开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情况：自评结果达到设定的绩效目标，取得良好的社会效益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1B5CB531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年度部门预算项目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无变化。</w:t>
      </w:r>
    </w:p>
    <w:p w14:paraId="7067FDF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5ED3C40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年，纳入部门/单位预算绩效目标管理的项目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17</w:t>
      </w:r>
      <w:r>
        <w:rPr>
          <w:rFonts w:hint="eastAsia" w:ascii="仿宋_GB2312" w:hAnsi="仿宋" w:eastAsia="仿宋_GB2312"/>
          <w:sz w:val="32"/>
          <w:szCs w:val="32"/>
        </w:rPr>
        <w:t xml:space="preserve"> 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33</w:t>
      </w:r>
      <w:r>
        <w:rPr>
          <w:rFonts w:hint="eastAsia" w:ascii="仿宋_GB2312" w:hAnsi="仿宋" w:eastAsia="仿宋_GB2312"/>
          <w:sz w:val="32"/>
          <w:szCs w:val="32"/>
        </w:rPr>
        <w:t>个；项目支出绩效目标围绕成本指标、产出指标、效益指标、满意度指标四个维度，设置二级指标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35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56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 w14:paraId="1B6BE29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CA7FF0F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49B31ED0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……</w:t>
      </w:r>
    </w:p>
    <w:p w14:paraId="460CD359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18C50624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453FCEBD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7BF108C1">
      <w:pPr>
        <w:adjustRightInd w:val="0"/>
        <w:snapToGrid w:val="0"/>
        <w:spacing w:line="640" w:lineRule="exact"/>
        <w:ind w:right="960"/>
        <w:contextualSpacing/>
        <w:jc w:val="right"/>
        <w:rPr>
          <w:rFonts w:hint="default" w:ascii="仿宋_GB2312" w:hAnsi="CIDFont+F6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华池县机关事务管理局</w:t>
      </w:r>
    </w:p>
    <w:p w14:paraId="77E85168">
      <w:pPr>
        <w:adjustRightInd w:val="0"/>
        <w:snapToGrid w:val="0"/>
        <w:spacing w:line="640" w:lineRule="exact"/>
        <w:ind w:right="1120"/>
        <w:contextualSpacing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                                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12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104DAE91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0358EE45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华池县机关事务管理局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4E90257E"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华池县机关事务管理局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22DB4760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77503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5234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C83E19"/>
    <w:rsid w:val="02E03DF9"/>
    <w:rsid w:val="04C904B8"/>
    <w:rsid w:val="056A52E7"/>
    <w:rsid w:val="056F1060"/>
    <w:rsid w:val="058640DA"/>
    <w:rsid w:val="067D155B"/>
    <w:rsid w:val="08940DDD"/>
    <w:rsid w:val="08A059D4"/>
    <w:rsid w:val="08E92ED7"/>
    <w:rsid w:val="099B68C7"/>
    <w:rsid w:val="0B3A2110"/>
    <w:rsid w:val="0B3C7DA8"/>
    <w:rsid w:val="0BEA58E4"/>
    <w:rsid w:val="0BFC73C5"/>
    <w:rsid w:val="0C000C64"/>
    <w:rsid w:val="0DB717F6"/>
    <w:rsid w:val="0EE11AC7"/>
    <w:rsid w:val="10DB3A4D"/>
    <w:rsid w:val="113741D2"/>
    <w:rsid w:val="12553DEF"/>
    <w:rsid w:val="14CD3AA8"/>
    <w:rsid w:val="151237B6"/>
    <w:rsid w:val="16812E4E"/>
    <w:rsid w:val="1798522F"/>
    <w:rsid w:val="17F84EE5"/>
    <w:rsid w:val="18330BA7"/>
    <w:rsid w:val="186D2EF2"/>
    <w:rsid w:val="18836597"/>
    <w:rsid w:val="19526877"/>
    <w:rsid w:val="1979601D"/>
    <w:rsid w:val="1AA93880"/>
    <w:rsid w:val="1ACD2659"/>
    <w:rsid w:val="1B860A5A"/>
    <w:rsid w:val="1B9904F0"/>
    <w:rsid w:val="1D06312A"/>
    <w:rsid w:val="1D34261E"/>
    <w:rsid w:val="1D476951"/>
    <w:rsid w:val="1D6D5E19"/>
    <w:rsid w:val="1E154315"/>
    <w:rsid w:val="1FF95C9E"/>
    <w:rsid w:val="203942EC"/>
    <w:rsid w:val="204D5FEA"/>
    <w:rsid w:val="213B4094"/>
    <w:rsid w:val="21B7196D"/>
    <w:rsid w:val="228A70F6"/>
    <w:rsid w:val="22AA649B"/>
    <w:rsid w:val="230D5982"/>
    <w:rsid w:val="23931F66"/>
    <w:rsid w:val="2497134E"/>
    <w:rsid w:val="264E03C6"/>
    <w:rsid w:val="266F5F9B"/>
    <w:rsid w:val="27427F2B"/>
    <w:rsid w:val="27A42993"/>
    <w:rsid w:val="28513371"/>
    <w:rsid w:val="28706D19"/>
    <w:rsid w:val="2A5C7555"/>
    <w:rsid w:val="2A614B6C"/>
    <w:rsid w:val="2B7B1C5D"/>
    <w:rsid w:val="2BCE6231"/>
    <w:rsid w:val="2CA945A8"/>
    <w:rsid w:val="2D406CBA"/>
    <w:rsid w:val="2DB43204"/>
    <w:rsid w:val="2E3D144C"/>
    <w:rsid w:val="2F837332"/>
    <w:rsid w:val="30395C43"/>
    <w:rsid w:val="306E7FE2"/>
    <w:rsid w:val="3172765E"/>
    <w:rsid w:val="3183186B"/>
    <w:rsid w:val="31B9703B"/>
    <w:rsid w:val="332826CA"/>
    <w:rsid w:val="334B63B9"/>
    <w:rsid w:val="357C6CFE"/>
    <w:rsid w:val="360867E3"/>
    <w:rsid w:val="366854D4"/>
    <w:rsid w:val="37022309"/>
    <w:rsid w:val="378C4F44"/>
    <w:rsid w:val="38DB01DF"/>
    <w:rsid w:val="3905525C"/>
    <w:rsid w:val="391F4D04"/>
    <w:rsid w:val="3AD924FC"/>
    <w:rsid w:val="3BF375EE"/>
    <w:rsid w:val="3C3814A4"/>
    <w:rsid w:val="3D9F50BB"/>
    <w:rsid w:val="3DAC3EF8"/>
    <w:rsid w:val="3E2972F7"/>
    <w:rsid w:val="3E2E0DB1"/>
    <w:rsid w:val="3E3514CB"/>
    <w:rsid w:val="408847A8"/>
    <w:rsid w:val="409A272E"/>
    <w:rsid w:val="40CD1A88"/>
    <w:rsid w:val="4254758D"/>
    <w:rsid w:val="42A05423"/>
    <w:rsid w:val="43D9356D"/>
    <w:rsid w:val="454276F4"/>
    <w:rsid w:val="455A248C"/>
    <w:rsid w:val="45FD79E7"/>
    <w:rsid w:val="460272CE"/>
    <w:rsid w:val="482079BC"/>
    <w:rsid w:val="48BB1493"/>
    <w:rsid w:val="4A703634"/>
    <w:rsid w:val="4B1650A7"/>
    <w:rsid w:val="4BE339B3"/>
    <w:rsid w:val="4C433C79"/>
    <w:rsid w:val="4D3017F6"/>
    <w:rsid w:val="505505EB"/>
    <w:rsid w:val="50B52C6C"/>
    <w:rsid w:val="521265C8"/>
    <w:rsid w:val="5246001F"/>
    <w:rsid w:val="525D4D0E"/>
    <w:rsid w:val="527E074E"/>
    <w:rsid w:val="54962859"/>
    <w:rsid w:val="55985036"/>
    <w:rsid w:val="55AC0AE1"/>
    <w:rsid w:val="56393C72"/>
    <w:rsid w:val="56494582"/>
    <w:rsid w:val="57312761"/>
    <w:rsid w:val="573B0F97"/>
    <w:rsid w:val="574F7976"/>
    <w:rsid w:val="579503FF"/>
    <w:rsid w:val="57C23BB5"/>
    <w:rsid w:val="57DD12DC"/>
    <w:rsid w:val="580C5867"/>
    <w:rsid w:val="5875165E"/>
    <w:rsid w:val="5B4D0671"/>
    <w:rsid w:val="5BD40D92"/>
    <w:rsid w:val="5BF70F8E"/>
    <w:rsid w:val="5BFE7BBD"/>
    <w:rsid w:val="5D5757D7"/>
    <w:rsid w:val="5E4E4E2C"/>
    <w:rsid w:val="5F0D574E"/>
    <w:rsid w:val="5F5F701C"/>
    <w:rsid w:val="5FC8476A"/>
    <w:rsid w:val="60535296"/>
    <w:rsid w:val="606D70BF"/>
    <w:rsid w:val="60F82E2D"/>
    <w:rsid w:val="6110461A"/>
    <w:rsid w:val="62436329"/>
    <w:rsid w:val="63E853DA"/>
    <w:rsid w:val="64EC4A56"/>
    <w:rsid w:val="65530F79"/>
    <w:rsid w:val="664D59C9"/>
    <w:rsid w:val="66560D21"/>
    <w:rsid w:val="6796339F"/>
    <w:rsid w:val="6817628E"/>
    <w:rsid w:val="688F051A"/>
    <w:rsid w:val="68ED5241"/>
    <w:rsid w:val="69544AF7"/>
    <w:rsid w:val="696D2998"/>
    <w:rsid w:val="6A1814F9"/>
    <w:rsid w:val="6A7A48B2"/>
    <w:rsid w:val="6B9443E7"/>
    <w:rsid w:val="6DA847AF"/>
    <w:rsid w:val="6E300BBD"/>
    <w:rsid w:val="6E301E58"/>
    <w:rsid w:val="6EEB188D"/>
    <w:rsid w:val="6EEE586F"/>
    <w:rsid w:val="6F314216"/>
    <w:rsid w:val="70292F11"/>
    <w:rsid w:val="714E0847"/>
    <w:rsid w:val="72FD2525"/>
    <w:rsid w:val="73247AB1"/>
    <w:rsid w:val="73813156"/>
    <w:rsid w:val="74213FF1"/>
    <w:rsid w:val="755C137E"/>
    <w:rsid w:val="75B2496A"/>
    <w:rsid w:val="76760624"/>
    <w:rsid w:val="78106856"/>
    <w:rsid w:val="798968C0"/>
    <w:rsid w:val="7A3031E0"/>
    <w:rsid w:val="7ACC72BE"/>
    <w:rsid w:val="7B560A24"/>
    <w:rsid w:val="7BC04ED5"/>
    <w:rsid w:val="7D034BDB"/>
    <w:rsid w:val="7DCD768E"/>
    <w:rsid w:val="7E416DC5"/>
    <w:rsid w:val="7EDB7BBE"/>
    <w:rsid w:val="7F990815"/>
    <w:rsid w:val="7F9D7F09"/>
    <w:rsid w:val="7FB83A5B"/>
    <w:rsid w:val="7FC37B65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autoRedefine/>
    <w:qFormat/>
    <w:uiPriority w:val="0"/>
    <w:pPr>
      <w:jc w:val="left"/>
    </w:p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autoRedefine/>
    <w:qFormat/>
    <w:uiPriority w:val="0"/>
    <w:rPr>
      <w:b/>
      <w:bCs/>
    </w:rPr>
  </w:style>
  <w:style w:type="character" w:styleId="10">
    <w:name w:val="line number"/>
    <w:autoRedefine/>
    <w:qFormat/>
    <w:uiPriority w:val="0"/>
  </w:style>
  <w:style w:type="character" w:styleId="11">
    <w:name w:val="annotation reference"/>
    <w:autoRedefine/>
    <w:qFormat/>
    <w:uiPriority w:val="0"/>
    <w:rPr>
      <w:sz w:val="21"/>
      <w:szCs w:val="21"/>
    </w:rPr>
  </w:style>
  <w:style w:type="character" w:customStyle="1" w:styleId="12">
    <w:name w:val="页脚 Char"/>
    <w:link w:val="5"/>
    <w:qFormat/>
    <w:uiPriority w:val="0"/>
    <w:rPr>
      <w:sz w:val="18"/>
      <w:szCs w:val="18"/>
    </w:rPr>
  </w:style>
  <w:style w:type="character" w:customStyle="1" w:styleId="13">
    <w:name w:val="页眉 Char"/>
    <w:link w:val="6"/>
    <w:autoRedefine/>
    <w:qFormat/>
    <w:uiPriority w:val="0"/>
    <w:rPr>
      <w:sz w:val="18"/>
      <w:szCs w:val="18"/>
    </w:rPr>
  </w:style>
  <w:style w:type="paragraph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6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7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8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19">
    <w:name w:val="批注主题 Char"/>
    <w:link w:val="7"/>
    <w:qFormat/>
    <w:uiPriority w:val="0"/>
    <w:rPr>
      <w:b/>
      <w:bCs/>
      <w:kern w:val="2"/>
      <w:sz w:val="21"/>
      <w:szCs w:val="22"/>
    </w:rPr>
  </w:style>
  <w:style w:type="character" w:customStyle="1" w:styleId="20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1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2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11</Pages>
  <Words>3764</Words>
  <Characters>4118</Characters>
  <Lines>68</Lines>
  <Paragraphs>19</Paragraphs>
  <TotalTime>0</TotalTime>
  <ScaleCrop>false</ScaleCrop>
  <LinksUpToDate>false</LinksUpToDate>
  <CharactersWithSpaces>4194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袖风染雨</cp:lastModifiedBy>
  <cp:lastPrinted>2022-02-15T15:45:00Z</cp:lastPrinted>
  <dcterms:modified xsi:type="dcterms:W3CDTF">2026-03-12T07:49:09Z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4746AA2B63644A919A7677ADD6665D0C</vt:lpwstr>
  </property>
  <property fmtid="{D5CDD505-2E9C-101B-9397-08002B2CF9AE}" pid="4" name="KSOTemplateDocerSaveRecord">
    <vt:lpwstr>eyJoZGlkIjoiODhjMWE4NDZkM2RjMDllYTc4NzI1ZjMzYWM4MDJhNGIiLCJ1c2VySWQiOiI4NTE5OTY0OTEifQ==</vt:lpwstr>
  </property>
</Properties>
</file>