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hint="default" w:ascii="宋体" w:hAnsi="宋体" w:eastAsia="宋体" w:cs="宋体"/>
          <w:b/>
          <w:bCs/>
          <w:kern w:val="0"/>
          <w:sz w:val="44"/>
          <w:szCs w:val="44"/>
          <w:lang w:val="en-US" w:eastAsia="zh-CN"/>
        </w:rPr>
      </w:pPr>
      <w:r>
        <w:rPr>
          <w:rFonts w:hint="eastAsia" w:ascii="宋体" w:hAnsi="宋体" w:cs="宋体"/>
          <w:b/>
          <w:bCs/>
          <w:kern w:val="0"/>
          <w:sz w:val="44"/>
          <w:szCs w:val="44"/>
          <w:lang w:val="en-US" w:eastAsia="zh-CN"/>
        </w:rPr>
        <w:t>华池县退役军人事务局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398AAB75">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1C266E1B">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1.贯彻落实党中央关于退役军人思想政治、管理保障和安置优抚等工作的政策法规，褒扬彰显退役军人为党、国家和人民牺牲奉献的精神风范和价值导向；</w:t>
      </w:r>
    </w:p>
    <w:p w14:paraId="213F3FE3">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2.负责军队转业干部、复员干部、离休退休干部、退役士兵、无军籍退休退职职工的移交安置工作和自主择业、就业退役军人服务管理工作；</w:t>
      </w:r>
    </w:p>
    <w:p w14:paraId="68CB9D21">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3.指导并组织开展退役军人教育培训工作，协调扶持退役军人和随军随调家属就业创业；</w:t>
      </w:r>
    </w:p>
    <w:p w14:paraId="30E8A756">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4.会同有关部门制定贯彻落实退役军人特殊保障政策的具体措施并组织实施；</w:t>
      </w:r>
    </w:p>
    <w:p w14:paraId="25128962">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5.组织协调落实退役军人医疗保障、社会保险等保障工作；</w:t>
      </w:r>
    </w:p>
    <w:p w14:paraId="7EEFA627">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6.指导并组织开展伤病残退役军人服务管理和抚恤工作，制定有关退役军人医疗、疗养、养老等机构的规划政策并组织实施，承担不适宜继续服役的伤病残军人相关工作；</w:t>
      </w:r>
    </w:p>
    <w:p w14:paraId="035F8F88">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7.指导并组织开展全县拥军优属工作。负责现役军人、退役军人、军队文职人员和军属优待、抚恤等工作，落实国民党抗战老兵等有关人员优待政策；</w:t>
      </w:r>
    </w:p>
    <w:p w14:paraId="2549B4E6">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8.负责烈士退役军人荣誉奖励、军人公墓管理维护、纪念活动等工作，依法承担英雄烈士保护相关工作，审核拟列入全县重点保护单位的烈士纪念建筑物名录，总结表彰和宣扬退役军人工作单位和个人先进典型事迹；</w:t>
      </w:r>
    </w:p>
    <w:p w14:paraId="7006DB3B">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9.指导并监督检查退役军人相关法律法规和政策措施的落实，组织开展退役军人权益维护和有关人员的帮扶援助工作；</w:t>
      </w:r>
    </w:p>
    <w:p w14:paraId="423371F1">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10.完成县委、县政府及上级业务部门交办的其他事项；</w:t>
      </w:r>
    </w:p>
    <w:p w14:paraId="6991960D">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11.职能转变。县退役军人事务局应加强退役军人思想政治工作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1B20385B">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2E468ED0">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1CC5C05D">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根据其职责，华池县退役军人事务局内设3个股室。</w:t>
      </w:r>
    </w:p>
    <w:p w14:paraId="068EE826">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综合股:负责局机关及服务中心日常运转。承担信息、保密、机要、统计、档案、政务公开、文稿起草、督察督办等工作。做好局机关和直属单位的干部人事、机构编制、职称评审、退休干部、平时考核、表彰奖励、干部教育培训、干部和人才队伍建设等工作。承担本部门机关党的建设、党风廉政建设、意识形态工作，指导做好退役军人党建、工会、共青团、妇联等群团组织工作。负责制定全县退役军人事业发展规划、年度计划，承办指导和监督退役军人事业各类资金的管理和发放工作，承担机关及直属单位财务、资产管理、内部审计，承担退役军人事业各类资金的管理和发放工作和退役军人事务系统信息化建设等工作；</w:t>
      </w:r>
    </w:p>
    <w:p w14:paraId="1656DBE4">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拥军优抚和褒扬纪念股:承担指导全县拥军优属工作，指导做好地方支持军队相关工作，承担现役军人、退役军人、军队文职人员和军属优待、抚恤等工作，承担不适宜继续服役的伤病残军人相关工作，组织协调落实退役军人医疗保障工作，负责退役军人伤残评定申报工作，指导落实有关退役军人医疗、养老等优抚保障机构的规划政策，落实国民党抗战老兵等有关人员优待政策。承担烈士褒扬、纪念设施管理保护工作，依法承担英雄烈士保护相关工作，拟定军人公墓建设规划、管理维护并指导实施，承担烈士评定材料审核上报事项，指导开展英雄烈士纪念活动，联系县退役军人事务局、烈士陵园并指导开展相关工作；</w:t>
      </w:r>
    </w:p>
    <w:p w14:paraId="11EE694D">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安置就业和权益维护股:组织落实军队转业干部、复员干部、离休退休干部、退役士兵和无军籍退休退职职工的移交安置和自主择业、就业退役军人管理工作，落实分配我县的军队转业干部、符合条件的退役士兵年度安置计划。拟定自主择业军队转业干部、复员干部、自主就业退役士兵就业创业年度计划并组织实施，组织开展就业创业教育培训等工作，指导开展有关中介服务等工作，组织协调落实退役军人社会保险等待遇保障工作，协调指导随军随调家属就业创业工作。承担退役军人政策研究工作，负责法制宣传教育培训工作。承担图役军人思想政治、舆论宣传、总结表彰、荣誉奖励和信访维稳，监督检查退役军人相关法律法规和政策措施的落实情况，承担退役军人权益维护和有关人员的帮扶援助工作；</w:t>
      </w:r>
    </w:p>
    <w:p w14:paraId="3E48E11C">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（二）参照公务员法管理单位</w:t>
      </w:r>
    </w:p>
    <w:p w14:paraId="07B10D40">
      <w:pPr>
        <w:spacing w:line="60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无</w:t>
      </w:r>
    </w:p>
    <w:p w14:paraId="2964C4C4">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（三）直属事业单位</w:t>
      </w:r>
    </w:p>
    <w:p w14:paraId="6BDFE961">
      <w:pPr>
        <w:spacing w:line="600" w:lineRule="exact"/>
        <w:ind w:firstLine="640" w:firstLineChars="200"/>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1个</w:t>
      </w:r>
    </w:p>
    <w:p w14:paraId="5A02C58D">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3F64FE2C">
      <w:pPr>
        <w:spacing w:line="600" w:lineRule="exact"/>
        <w:ind w:firstLine="640" w:firstLineChars="200"/>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rPr>
        <w:t>按照预算管理有关规定，202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年单位收支包括机关预算和直属单位预算在内的汇总情况。</w:t>
      </w:r>
    </w:p>
    <w:p w14:paraId="1D37412A">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val="en-US" w:eastAsia="zh-CN"/>
        </w:rPr>
        <w:t>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848.38</w:t>
      </w:r>
      <w:r>
        <w:rPr>
          <w:rFonts w:hint="eastAsia" w:ascii="仿宋_GB2312" w:hAnsi="仿宋" w:eastAsia="仿宋_GB2312" w:cs="宋体"/>
          <w:kern w:val="0"/>
          <w:sz w:val="32"/>
          <w:szCs w:val="32"/>
        </w:rPr>
        <w:t>万元。按照综合预算的原则，单位所有收入和支出均纳入部门预算管理。收入包括：一般公共预算拨款收入；支出包括：一般公共服务支出、公共安全支出、教育支出、科学技术支出、社会保障和就业支出、卫生健康支出、交通运输支出、住房保障支出、其他支出。</w:t>
      </w:r>
    </w:p>
    <w:p w14:paraId="1CFE9ED5">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070F0A95">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cs="宋体"/>
          <w:kern w:val="0"/>
          <w:sz w:val="32"/>
          <w:szCs w:val="32"/>
          <w:lang w:val="en-US" w:eastAsia="zh-CN"/>
        </w:rPr>
        <w:t>848.43</w:t>
      </w:r>
      <w:r>
        <w:rPr>
          <w:rFonts w:hint="eastAsia" w:ascii="仿宋_GB2312" w:hAnsi="仿宋" w:eastAsia="仿宋_GB2312"/>
          <w:sz w:val="32"/>
          <w:szCs w:val="32"/>
        </w:rPr>
        <w:t>万元（详见单位预算公开表1,2）。包括：</w:t>
      </w:r>
    </w:p>
    <w:p w14:paraId="11EA2DD2">
      <w:pPr>
        <w:widowControl/>
        <w:spacing w:line="560" w:lineRule="exact"/>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cs="宋体"/>
          <w:kern w:val="0"/>
          <w:sz w:val="32"/>
          <w:szCs w:val="32"/>
          <w:lang w:val="en-US" w:eastAsia="zh-CN"/>
        </w:rPr>
        <w:t>848.43</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0A220A4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0CC3F47D">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cs="宋体"/>
          <w:kern w:val="0"/>
          <w:sz w:val="32"/>
          <w:szCs w:val="32"/>
          <w:lang w:val="en-US" w:eastAsia="zh-CN"/>
        </w:rPr>
        <w:t>848.43</w:t>
      </w:r>
      <w:r>
        <w:rPr>
          <w:rFonts w:hint="eastAsia" w:ascii="仿宋_GB2312" w:hAnsi="仿宋" w:eastAsia="仿宋_GB2312"/>
          <w:sz w:val="32"/>
          <w:szCs w:val="32"/>
        </w:rPr>
        <w:t>万元（详见单位预算公开表3）。</w:t>
      </w:r>
      <w:r>
        <w:rPr>
          <w:rStyle w:val="20"/>
          <w:rFonts w:hint="default" w:hAnsi="仿宋"/>
        </w:rPr>
        <w:t>其中：基本支出</w:t>
      </w:r>
      <w:r>
        <w:rPr>
          <w:rStyle w:val="21"/>
          <w:rFonts w:hint="eastAsia" w:ascii="仿宋_GB2312" w:hAnsi="仿宋" w:eastAsia="仿宋_GB2312"/>
          <w:lang w:val="en-US" w:eastAsia="zh-CN"/>
        </w:rPr>
        <w:t>477.82</w:t>
      </w:r>
      <w:r>
        <w:rPr>
          <w:rStyle w:val="20"/>
          <w:rFonts w:hint="default" w:hAnsi="仿宋"/>
        </w:rPr>
        <w:t>万元， 占</w:t>
      </w:r>
      <w:r>
        <w:rPr>
          <w:rStyle w:val="20"/>
          <w:rFonts w:hint="eastAsia" w:hAnsi="仿宋" w:eastAsia="仿宋_GB2312"/>
          <w:lang w:val="en-US" w:eastAsia="zh-CN"/>
        </w:rPr>
        <w:t>56.32</w:t>
      </w:r>
      <w:r>
        <w:rPr>
          <w:rStyle w:val="21"/>
          <w:rFonts w:hint="eastAsia" w:ascii="仿宋_GB2312" w:hAnsi="仿宋" w:eastAsia="仿宋_GB2312"/>
        </w:rPr>
        <w:t>%</w:t>
      </w:r>
      <w:r>
        <w:rPr>
          <w:rStyle w:val="20"/>
          <w:rFonts w:hint="default" w:hAnsi="仿宋"/>
        </w:rPr>
        <w:t>； 项目支出</w:t>
      </w:r>
      <w:r>
        <w:rPr>
          <w:rStyle w:val="20"/>
          <w:rFonts w:hint="eastAsia" w:hAnsi="仿宋" w:eastAsia="仿宋_GB2312"/>
          <w:lang w:val="en-US" w:eastAsia="zh-CN"/>
        </w:rPr>
        <w:t>370.61</w:t>
      </w:r>
      <w:r>
        <w:rPr>
          <w:rStyle w:val="20"/>
          <w:rFonts w:hint="default" w:hAnsi="仿宋"/>
        </w:rPr>
        <w:t>万元，占</w:t>
      </w:r>
      <w:r>
        <w:rPr>
          <w:rStyle w:val="21"/>
          <w:rFonts w:hint="eastAsia" w:ascii="仿宋_GB2312" w:hAnsi="仿宋" w:eastAsia="仿宋_GB2312"/>
          <w:lang w:val="en-US" w:eastAsia="zh-CN"/>
        </w:rPr>
        <w:t>43.68</w:t>
      </w:r>
      <w:r>
        <w:rPr>
          <w:rStyle w:val="21"/>
          <w:rFonts w:hint="eastAsia" w:ascii="仿宋_GB2312" w:hAnsi="仿宋" w:eastAsia="仿宋_GB2312"/>
        </w:rPr>
        <w:t>%</w:t>
      </w:r>
      <w:r>
        <w:rPr>
          <w:rStyle w:val="20"/>
          <w:rFonts w:hint="default" w:hAnsi="仿宋"/>
        </w:rPr>
        <w:t>；。</w:t>
      </w:r>
    </w:p>
    <w:p w14:paraId="0237E664">
      <w:pPr>
        <w:numPr>
          <w:ilvl w:val="0"/>
          <w:numId w:val="1"/>
        </w:numPr>
        <w:adjustRightInd w:val="0"/>
        <w:snapToGrid w:val="0"/>
        <w:spacing w:line="640" w:lineRule="exact"/>
        <w:ind w:firstLine="640" w:firstLineChars="200"/>
        <w:contextualSpacing/>
        <w:rPr>
          <w:rFonts w:hint="eastAsia" w:ascii="黑体" w:hAnsi="黑体" w:eastAsia="黑体" w:cs="宋体"/>
          <w:kern w:val="0"/>
          <w:sz w:val="32"/>
          <w:szCs w:val="32"/>
        </w:rPr>
      </w:pPr>
      <w:r>
        <w:rPr>
          <w:rFonts w:hint="eastAsia" w:ascii="黑体" w:hAnsi="黑体" w:eastAsia="黑体" w:cs="宋体"/>
          <w:kern w:val="0"/>
          <w:sz w:val="32"/>
          <w:szCs w:val="32"/>
        </w:rPr>
        <w:t>一般公共预算情况</w:t>
      </w:r>
    </w:p>
    <w:p w14:paraId="7E16DBE1">
      <w:pPr>
        <w:numPr>
          <w:ilvl w:val="0"/>
          <w:numId w:val="0"/>
        </w:numPr>
        <w:adjustRightInd w:val="0"/>
        <w:snapToGrid w:val="0"/>
        <w:spacing w:line="640" w:lineRule="exact"/>
        <w:ind w:firstLine="640" w:firstLineChars="200"/>
        <w:contextualSpacing/>
        <w:rPr>
          <w:rFonts w:ascii="仿宋_GB2312" w:hAnsi="仿宋" w:eastAsia="仿宋_GB2312"/>
          <w:sz w:val="32"/>
          <w:szCs w:val="32"/>
        </w:rPr>
      </w:pPr>
      <w:r>
        <w:rPr>
          <w:rStyle w:val="21"/>
          <w:rFonts w:hint="eastAsia" w:ascii="仿宋_GB2312" w:hAnsi="仿宋" w:eastAsia="仿宋_GB2312"/>
        </w:rPr>
        <w:t>202</w:t>
      </w:r>
      <w:r>
        <w:rPr>
          <w:rStyle w:val="21"/>
          <w:rFonts w:hint="eastAsia" w:ascii="仿宋_GB2312" w:hAnsi="仿宋" w:eastAsia="仿宋_GB2312"/>
          <w:lang w:val="en-US" w:eastAsia="zh-CN"/>
        </w:rPr>
        <w:t>6</w:t>
      </w:r>
      <w:r>
        <w:rPr>
          <w:rStyle w:val="20"/>
          <w:rFonts w:hint="default" w:hAnsi="仿宋"/>
        </w:rPr>
        <w:t>年一般公共预算当年支出</w:t>
      </w:r>
      <w:r>
        <w:rPr>
          <w:rFonts w:hint="eastAsia" w:ascii="仿宋_GB2312" w:hAnsi="仿宋" w:eastAsia="仿宋_GB2312" w:cs="宋体"/>
          <w:kern w:val="0"/>
          <w:sz w:val="32"/>
          <w:szCs w:val="32"/>
          <w:lang w:val="en-US" w:eastAsia="zh-CN"/>
        </w:rPr>
        <w:t>848.43</w:t>
      </w:r>
      <w:r>
        <w:rPr>
          <w:rStyle w:val="20"/>
          <w:rFonts w:hint="default" w:hAnsi="仿宋"/>
        </w:rPr>
        <w:t>万元，包括：社会保障和就业支出</w:t>
      </w:r>
      <w:r>
        <w:rPr>
          <w:rStyle w:val="21"/>
          <w:rFonts w:hint="eastAsia" w:ascii="仿宋_GB2312" w:hAnsi="仿宋" w:eastAsia="仿宋_GB2312"/>
          <w:lang w:val="en-US" w:eastAsia="zh-CN"/>
        </w:rPr>
        <w:t>728.19</w:t>
      </w:r>
      <w:r>
        <w:rPr>
          <w:rStyle w:val="20"/>
          <w:rFonts w:hint="default" w:hAnsi="仿宋"/>
        </w:rPr>
        <w:t>万元、卫生健康支出支出</w:t>
      </w:r>
      <w:r>
        <w:rPr>
          <w:rStyle w:val="21"/>
          <w:rFonts w:hint="eastAsia" w:ascii="仿宋_GB2312" w:hAnsi="仿宋" w:eastAsia="仿宋_GB2312"/>
          <w:lang w:val="en-US" w:eastAsia="zh-CN"/>
        </w:rPr>
        <w:t>88.06</w:t>
      </w:r>
      <w:r>
        <w:rPr>
          <w:rStyle w:val="20"/>
          <w:rFonts w:hint="default" w:hAnsi="仿宋"/>
        </w:rPr>
        <w:t>万元</w:t>
      </w:r>
      <w:r>
        <w:rPr>
          <w:rStyle w:val="20"/>
          <w:rFonts w:hint="eastAsia" w:hAnsi="仿宋" w:eastAsia="仿宋_GB2312"/>
          <w:lang w:eastAsia="zh-CN"/>
        </w:rPr>
        <w:t>、</w:t>
      </w:r>
      <w:r>
        <w:rPr>
          <w:rStyle w:val="20"/>
          <w:rFonts w:hint="eastAsia" w:hAnsi="仿宋" w:eastAsia="仿宋_GB2312"/>
          <w:highlight w:val="none"/>
          <w:lang w:val="en-US" w:eastAsia="zh-CN"/>
        </w:rPr>
        <w:t>住房保障支出32.18</w:t>
      </w:r>
      <w:r>
        <w:rPr>
          <w:rStyle w:val="20"/>
          <w:rFonts w:hint="default" w:hAnsi="仿宋"/>
          <w:highlight w:val="none"/>
        </w:rPr>
        <w:t>万元</w:t>
      </w:r>
      <w:r>
        <w:rPr>
          <w:rStyle w:val="20"/>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（详见单位预算公开表4,5,6,7）</w:t>
      </w:r>
      <w:r>
        <w:rPr>
          <w:rFonts w:hint="eastAsia" w:ascii="仿宋_GB2312" w:hAnsi="仿宋" w:eastAsia="仿宋_GB2312"/>
          <w:sz w:val="32"/>
          <w:szCs w:val="32"/>
        </w:rPr>
        <w:t>：</w:t>
      </w:r>
    </w:p>
    <w:p w14:paraId="3BB5C9B3">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0560ACEC">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477.82</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4</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65.44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15.87</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单位人员有变动。</w:t>
      </w:r>
    </w:p>
    <w:p w14:paraId="6CB30C3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439.64</w:t>
      </w:r>
      <w:r>
        <w:rPr>
          <w:rFonts w:hint="eastAsia" w:ascii="仿宋_GB2312" w:hAnsi="仿宋" w:eastAsia="仿宋_GB2312"/>
          <w:sz w:val="32"/>
          <w:szCs w:val="32"/>
        </w:rPr>
        <w:t>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14:paraId="212C6A0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38.18</w:t>
      </w:r>
      <w:r>
        <w:rPr>
          <w:rFonts w:hint="eastAsia" w:ascii="仿宋_GB2312" w:hAnsi="仿宋" w:eastAsia="仿宋_GB2312"/>
          <w:sz w:val="32"/>
          <w:szCs w:val="32"/>
        </w:rPr>
        <w:t>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14:paraId="40566082">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5A615198">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370.61</w:t>
      </w:r>
      <w:r>
        <w:rPr>
          <w:rFonts w:hint="eastAsia" w:ascii="仿宋_GB2312" w:hAnsi="仿宋" w:eastAsia="仿宋_GB2312"/>
          <w:sz w:val="32"/>
          <w:szCs w:val="32"/>
        </w:rPr>
        <w:t>万元，比202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减少171.61</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下降31.65</w:t>
      </w:r>
      <w:r>
        <w:rPr>
          <w:rFonts w:hint="eastAsia" w:ascii="仿宋_GB2312" w:hAnsi="仿宋" w:eastAsia="仿宋_GB2312"/>
          <w:sz w:val="32"/>
          <w:szCs w:val="32"/>
        </w:rPr>
        <w:t>%，</w:t>
      </w:r>
      <w:r>
        <w:rPr>
          <w:rFonts w:hint="eastAsia" w:ascii="仿宋_GB2312" w:hAnsi="仿宋" w:eastAsia="仿宋_GB2312"/>
          <w:sz w:val="32"/>
          <w:szCs w:val="32"/>
          <w:lang w:val="en-US" w:eastAsia="zh-CN"/>
        </w:rPr>
        <w:t>下降</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减少部分项目预算数。</w:t>
      </w:r>
    </w:p>
    <w:p w14:paraId="05FFD2A1">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经济社会发展项目</w:t>
      </w:r>
      <w:r>
        <w:rPr>
          <w:rFonts w:hint="eastAsia" w:ascii="仿宋_GB2312" w:hAnsi="仿宋" w:eastAsia="仿宋_GB2312"/>
          <w:sz w:val="32"/>
          <w:szCs w:val="32"/>
          <w:lang w:val="en-US" w:eastAsia="zh-CN"/>
        </w:rPr>
        <w:t>8</w:t>
      </w:r>
      <w:r>
        <w:rPr>
          <w:rFonts w:hint="eastAsia" w:ascii="仿宋_GB2312" w:hAnsi="仿宋" w:eastAsia="仿宋_GB2312"/>
          <w:sz w:val="32"/>
          <w:szCs w:val="32"/>
        </w:rPr>
        <w:t>个，主要是</w:t>
      </w:r>
      <w:r>
        <w:rPr>
          <w:rFonts w:hint="eastAsia" w:ascii="仿宋_GB2312" w:hAnsi="仿宋" w:eastAsia="仿宋_GB2312"/>
          <w:sz w:val="32"/>
          <w:szCs w:val="32"/>
          <w:lang w:eastAsia="zh-CN"/>
        </w:rPr>
        <w:t>自主就业退役</w:t>
      </w:r>
      <w:r>
        <w:rPr>
          <w:rFonts w:hint="eastAsia" w:ascii="仿宋_GB2312" w:hAnsi="仿宋" w:eastAsia="仿宋_GB2312"/>
          <w:sz w:val="32"/>
          <w:szCs w:val="32"/>
          <w:highlight w:val="none"/>
          <w:lang w:eastAsia="zh-CN"/>
        </w:rPr>
        <w:t>士兵一次性补助金、原8023部队人员医疗补助、伤残军人护理费、进藏兵奖励金、优抚对象医疗保障经费、转业士官待安置期间生活补助费</w:t>
      </w:r>
      <w:r>
        <w:rPr>
          <w:rFonts w:hint="eastAsia" w:ascii="仿宋_GB2312" w:hAnsi="仿宋" w:eastAsia="仿宋_GB2312"/>
          <w:sz w:val="32"/>
          <w:szCs w:val="32"/>
          <w:highlight w:val="none"/>
          <w:lang w:val="en-US" w:eastAsia="zh-CN"/>
        </w:rPr>
        <w:t>及社保接续</w:t>
      </w:r>
      <w:r>
        <w:rPr>
          <w:rFonts w:hint="eastAsia" w:ascii="仿宋_GB2312" w:hAnsi="仿宋" w:eastAsia="仿宋_GB2312"/>
          <w:sz w:val="32"/>
          <w:szCs w:val="32"/>
          <w:highlight w:val="none"/>
          <w:lang w:eastAsia="zh-CN"/>
        </w:rPr>
        <w:t>、退役士兵技能培训经费、欢送退役老兵、新兵及立功受奖现役军人家属奖励金、“八一”、春节慰问费、义务兵</w:t>
      </w:r>
      <w:r>
        <w:rPr>
          <w:rFonts w:hint="eastAsia" w:ascii="仿宋_GB2312" w:hAnsi="仿宋" w:eastAsia="仿宋_GB2312"/>
          <w:sz w:val="32"/>
          <w:szCs w:val="32"/>
          <w:highlight w:val="none"/>
          <w:lang w:val="en-US" w:eastAsia="zh-CN"/>
        </w:rPr>
        <w:t>及</w:t>
      </w:r>
      <w:r>
        <w:rPr>
          <w:rFonts w:hint="eastAsia" w:ascii="仿宋_GB2312" w:hAnsi="仿宋" w:eastAsia="仿宋_GB2312"/>
          <w:sz w:val="32"/>
          <w:szCs w:val="32"/>
          <w:highlight w:val="none"/>
          <w:lang w:eastAsia="zh-CN"/>
        </w:rPr>
        <w:t>消</w:t>
      </w:r>
      <w:r>
        <w:rPr>
          <w:rFonts w:hint="eastAsia" w:ascii="仿宋_GB2312" w:hAnsi="仿宋" w:eastAsia="仿宋_GB2312"/>
          <w:sz w:val="32"/>
          <w:szCs w:val="32"/>
          <w:lang w:eastAsia="zh-CN"/>
        </w:rPr>
        <w:t>防士家庭优待金、1-6级伤残军人医疗保险费用</w:t>
      </w:r>
      <w:r>
        <w:rPr>
          <w:rFonts w:hint="eastAsia" w:ascii="仿宋_GB2312" w:hAnsi="仿宋" w:eastAsia="仿宋_GB2312"/>
          <w:sz w:val="32"/>
          <w:szCs w:val="32"/>
        </w:rPr>
        <w:t>。</w:t>
      </w:r>
    </w:p>
    <w:p w14:paraId="295B6F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38F66529">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1.社会保障和就业支出</w:t>
      </w:r>
      <w:r>
        <w:rPr>
          <w:rFonts w:hint="eastAsia" w:ascii="仿宋_GB2312" w:hAnsi="TimesNewRomanPS-BoldMT" w:eastAsia="仿宋_GB2312"/>
          <w:bCs/>
          <w:color w:val="000000"/>
          <w:sz w:val="32"/>
          <w:szCs w:val="32"/>
          <w:lang w:val="en-US" w:eastAsia="zh-CN"/>
        </w:rPr>
        <w:t>2025</w:t>
      </w:r>
      <w:r>
        <w:rPr>
          <w:rFonts w:hint="eastAsia" w:ascii="仿宋_GB2312" w:hAnsi="TimesNewRomanPS-BoldMT" w:eastAsia="仿宋_GB2312"/>
          <w:bCs/>
          <w:color w:val="000000"/>
          <w:sz w:val="32"/>
          <w:szCs w:val="32"/>
        </w:rPr>
        <w:t>年预算数为</w:t>
      </w:r>
      <w:r>
        <w:rPr>
          <w:rFonts w:hint="eastAsia" w:ascii="仿宋_GB2312" w:hAnsi="TimesNewRomanPS-BoldMT" w:eastAsia="仿宋_GB2312"/>
          <w:bCs/>
          <w:color w:val="000000"/>
          <w:sz w:val="32"/>
          <w:szCs w:val="32"/>
          <w:lang w:val="en-US" w:eastAsia="zh-CN"/>
        </w:rPr>
        <w:t>724.49</w:t>
      </w:r>
      <w:r>
        <w:rPr>
          <w:rFonts w:hint="eastAsia" w:ascii="仿宋_GB2312" w:hAnsi="TimesNewRomanPS-BoldMT" w:eastAsia="仿宋_GB2312"/>
          <w:bCs/>
          <w:color w:val="000000"/>
          <w:sz w:val="32"/>
          <w:szCs w:val="32"/>
        </w:rPr>
        <w:t>万元，比 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val="en-US" w:eastAsia="zh-CN"/>
        </w:rPr>
        <w:t>增加3.7</w:t>
      </w:r>
      <w:r>
        <w:rPr>
          <w:rFonts w:hint="eastAsia" w:ascii="仿宋_GB2312" w:hAnsi="TimesNewRomanPS-BoldMT" w:eastAsia="仿宋_GB2312"/>
          <w:bCs/>
          <w:color w:val="000000"/>
          <w:sz w:val="32"/>
          <w:szCs w:val="32"/>
        </w:rPr>
        <w:t>万元；</w:t>
      </w:r>
    </w:p>
    <w:p w14:paraId="39825E42">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2.卫生健康支出</w:t>
      </w:r>
      <w:r>
        <w:rPr>
          <w:rFonts w:hint="eastAsia" w:ascii="仿宋_GB2312" w:hAnsi="TimesNewRomanPS-BoldMT" w:eastAsia="仿宋_GB2312"/>
          <w:bCs/>
          <w:color w:val="000000"/>
          <w:sz w:val="32"/>
          <w:szCs w:val="32"/>
          <w:lang w:val="en-US" w:eastAsia="zh-CN"/>
        </w:rPr>
        <w:t>88.06</w:t>
      </w:r>
      <w:r>
        <w:rPr>
          <w:rFonts w:hint="eastAsia" w:ascii="仿宋_GB2312" w:hAnsi="TimesNewRomanPS-BoldMT" w:eastAsia="仿宋_GB2312"/>
          <w:bCs/>
          <w:color w:val="000000"/>
          <w:sz w:val="32"/>
          <w:szCs w:val="32"/>
        </w:rPr>
        <w:t>万元，比 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w:t>
      </w:r>
      <w:r>
        <w:rPr>
          <w:rFonts w:hint="eastAsia" w:ascii="仿宋_GB2312" w:hAnsi="TimesNewRomanPS-BoldMT" w:eastAsia="仿宋_GB2312"/>
          <w:bCs/>
          <w:color w:val="000000"/>
          <w:sz w:val="32"/>
          <w:szCs w:val="32"/>
          <w:lang w:val="en-US" w:eastAsia="zh-CN"/>
        </w:rPr>
        <w:t>增加3.64</w:t>
      </w:r>
      <w:r>
        <w:rPr>
          <w:rFonts w:hint="eastAsia" w:ascii="仿宋_GB2312" w:hAnsi="TimesNewRomanPS-BoldMT" w:eastAsia="仿宋_GB2312"/>
          <w:bCs/>
          <w:color w:val="000000"/>
          <w:sz w:val="32"/>
          <w:szCs w:val="32"/>
        </w:rPr>
        <w:t>万元；</w:t>
      </w:r>
    </w:p>
    <w:p w14:paraId="23A43639">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lang w:val="en-US" w:eastAsia="zh-CN"/>
        </w:rPr>
        <w:t>3</w:t>
      </w:r>
      <w:r>
        <w:rPr>
          <w:rFonts w:hint="eastAsia" w:ascii="仿宋_GB2312" w:hAnsi="TimesNewRomanPS-BoldMT" w:eastAsia="仿宋_GB2312"/>
          <w:bCs/>
          <w:color w:val="000000"/>
          <w:sz w:val="32"/>
          <w:szCs w:val="32"/>
        </w:rPr>
        <w:t>.住房保障支出</w:t>
      </w:r>
      <w:r>
        <w:rPr>
          <w:rFonts w:hint="eastAsia" w:ascii="仿宋_GB2312" w:hAnsi="TimesNewRomanPS-BoldMT" w:eastAsia="仿宋_GB2312"/>
          <w:bCs/>
          <w:color w:val="000000"/>
          <w:sz w:val="32"/>
          <w:szCs w:val="32"/>
          <w:lang w:val="en-US" w:eastAsia="zh-CN"/>
        </w:rPr>
        <w:t>32.18</w:t>
      </w:r>
      <w:r>
        <w:rPr>
          <w:rFonts w:hint="eastAsia" w:ascii="仿宋_GB2312" w:hAnsi="TimesNewRomanPS-BoldMT" w:eastAsia="仿宋_GB2312"/>
          <w:bCs/>
          <w:color w:val="000000"/>
          <w:sz w:val="32"/>
          <w:szCs w:val="32"/>
        </w:rPr>
        <w:t>万元，比 202</w:t>
      </w:r>
      <w:r>
        <w:rPr>
          <w:rFonts w:hint="eastAsia" w:ascii="仿宋_GB2312" w:hAnsi="TimesNewRomanPS-BoldMT" w:eastAsia="仿宋_GB2312"/>
          <w:bCs/>
          <w:color w:val="000000"/>
          <w:sz w:val="32"/>
          <w:szCs w:val="32"/>
          <w:lang w:val="en-US" w:eastAsia="zh-CN"/>
        </w:rPr>
        <w:t>5</w:t>
      </w:r>
      <w:r>
        <w:rPr>
          <w:rFonts w:hint="eastAsia" w:ascii="仿宋_GB2312" w:hAnsi="TimesNewRomanPS-BoldMT" w:eastAsia="仿宋_GB2312"/>
          <w:bCs/>
          <w:color w:val="000000"/>
          <w:sz w:val="32"/>
          <w:szCs w:val="32"/>
        </w:rPr>
        <w:t>年预算增加</w:t>
      </w:r>
      <w:r>
        <w:rPr>
          <w:rFonts w:hint="eastAsia" w:ascii="仿宋_GB2312" w:hAnsi="TimesNewRomanPS-BoldMT" w:eastAsia="仿宋_GB2312"/>
          <w:bCs/>
          <w:color w:val="000000"/>
          <w:sz w:val="32"/>
          <w:szCs w:val="32"/>
          <w:lang w:val="en-US" w:eastAsia="zh-CN"/>
        </w:rPr>
        <w:t>.91</w:t>
      </w:r>
      <w:r>
        <w:rPr>
          <w:rFonts w:hint="eastAsia" w:ascii="仿宋_GB2312" w:hAnsi="TimesNewRomanPS-BoldMT" w:eastAsia="仿宋_GB2312"/>
          <w:bCs/>
          <w:color w:val="000000"/>
          <w:sz w:val="32"/>
          <w:szCs w:val="32"/>
        </w:rPr>
        <w:t>万元；</w:t>
      </w:r>
    </w:p>
    <w:p w14:paraId="5BAB7B69">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rPr>
      </w:pPr>
      <w:r>
        <w:rPr>
          <w:rFonts w:hint="eastAsia" w:ascii="仿宋_GB2312" w:hAnsi="TimesNewRomanPS-BoldMT" w:eastAsia="仿宋_GB2312"/>
          <w:bCs/>
          <w:color w:val="000000"/>
          <w:sz w:val="32"/>
          <w:szCs w:val="32"/>
        </w:rPr>
        <w:t>主要原因是工资福利支出增长及人员保险基数增加社会保障支出增加。</w:t>
      </w:r>
    </w:p>
    <w:p w14:paraId="54E627D3">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五、单位一般公共预算财政拨款“三公”经费、培训费、会议费等情况</w:t>
      </w:r>
    </w:p>
    <w:p w14:paraId="49FD77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77A607F0">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0.42</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持平</w:t>
      </w:r>
      <w:r>
        <w:rPr>
          <w:rFonts w:hint="eastAsia" w:ascii="仿宋_GB2312" w:hAnsi="仿宋" w:eastAsia="仿宋_GB2312"/>
          <w:sz w:val="32"/>
          <w:szCs w:val="32"/>
        </w:rPr>
        <w:t>。</w:t>
      </w:r>
    </w:p>
    <w:p w14:paraId="09B1F91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.公务接待费</w:t>
      </w:r>
      <w:r>
        <w:rPr>
          <w:rFonts w:hint="eastAsia" w:ascii="仿宋_GB2312" w:hAnsi="仿宋" w:eastAsia="仿宋_GB2312"/>
          <w:sz w:val="32"/>
          <w:szCs w:val="32"/>
          <w:lang w:val="en-US" w:eastAsia="zh-CN"/>
        </w:rPr>
        <w:t>0.42</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持平</w:t>
      </w:r>
      <w:r>
        <w:rPr>
          <w:rFonts w:hint="eastAsia" w:ascii="仿宋_GB2312" w:hAnsi="仿宋" w:eastAsia="仿宋_GB2312"/>
          <w:sz w:val="32"/>
          <w:szCs w:val="32"/>
        </w:rPr>
        <w:t>。</w:t>
      </w:r>
    </w:p>
    <w:p w14:paraId="2AC41B2E">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1FF07CD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.培训费</w:t>
      </w:r>
      <w:r>
        <w:rPr>
          <w:rFonts w:hint="eastAsia" w:ascii="仿宋_GB2312" w:hAnsi="仿宋" w:eastAsia="仿宋_GB2312"/>
          <w:sz w:val="32"/>
          <w:szCs w:val="32"/>
          <w:lang w:val="en-US" w:eastAsia="zh-CN"/>
        </w:rPr>
        <w:t>0.17</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减少0.11万元，减少39.29</w:t>
      </w:r>
      <w:r>
        <w:rPr>
          <w:rFonts w:hint="eastAsia" w:ascii="仿宋_GB2312" w:hAnsi="仿宋" w:eastAsia="仿宋_GB2312"/>
          <w:sz w:val="32"/>
          <w:szCs w:val="32"/>
        </w:rPr>
        <w:t>%。</w:t>
      </w:r>
    </w:p>
    <w:p w14:paraId="2EDF00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2D186C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.会议费</w:t>
      </w:r>
      <w:r>
        <w:rPr>
          <w:rFonts w:hint="eastAsia" w:ascii="仿宋_GB2312" w:hAnsi="仿宋" w:eastAsia="仿宋_GB2312"/>
          <w:sz w:val="32"/>
          <w:szCs w:val="32"/>
          <w:lang w:val="en-US" w:eastAsia="zh-CN"/>
        </w:rPr>
        <w:t>0.2</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减少0.28</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减少41.67</w:t>
      </w:r>
      <w:r>
        <w:rPr>
          <w:rFonts w:hint="eastAsia" w:ascii="仿宋_GB2312" w:hAnsi="仿宋" w:eastAsia="仿宋_GB2312"/>
          <w:sz w:val="32"/>
          <w:szCs w:val="32"/>
        </w:rPr>
        <w:t>%，</w:t>
      </w:r>
      <w:r>
        <w:rPr>
          <w:rFonts w:hint="eastAsia" w:ascii="仿宋_GB2312" w:hAnsi="仿宋" w:eastAsia="仿宋_GB2312"/>
          <w:sz w:val="32"/>
          <w:szCs w:val="32"/>
          <w:lang w:val="en-US" w:eastAsia="zh-CN"/>
        </w:rPr>
        <w:t>减少</w:t>
      </w:r>
      <w:r>
        <w:rPr>
          <w:rFonts w:hint="eastAsia" w:ascii="仿宋_GB2312" w:hAnsi="仿宋" w:eastAsia="仿宋_GB2312"/>
          <w:sz w:val="32"/>
          <w:szCs w:val="32"/>
        </w:rPr>
        <w:t>的主要原因是</w:t>
      </w:r>
      <w:r>
        <w:rPr>
          <w:rFonts w:hint="eastAsia" w:ascii="仿宋_GB2312" w:hAnsi="仿宋" w:eastAsia="仿宋_GB2312"/>
          <w:sz w:val="32"/>
          <w:szCs w:val="32"/>
          <w:lang w:val="en-US" w:eastAsia="zh-CN"/>
        </w:rPr>
        <w:t>单位人员变动</w:t>
      </w:r>
      <w:r>
        <w:rPr>
          <w:rFonts w:hint="eastAsia" w:ascii="仿宋_GB2312" w:hAnsi="仿宋" w:eastAsia="仿宋_GB2312"/>
          <w:sz w:val="32"/>
          <w:szCs w:val="32"/>
        </w:rPr>
        <w:t>。</w:t>
      </w:r>
    </w:p>
    <w:p w14:paraId="1B4A5A7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49361E71">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38.18</w:t>
      </w:r>
      <w:r>
        <w:rPr>
          <w:rFonts w:hint="eastAsia" w:ascii="仿宋_GB2312" w:hAnsi="仿宋" w:eastAsia="仿宋_GB2312"/>
          <w:sz w:val="32"/>
          <w:szCs w:val="32"/>
        </w:rPr>
        <w:t>万元，较202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2.5</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0.07</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单位人员发生变动，经费开支变大</w:t>
      </w:r>
      <w:r>
        <w:rPr>
          <w:rFonts w:hint="eastAsia" w:ascii="仿宋_GB2312" w:hAnsi="仿宋" w:eastAsia="仿宋_GB2312"/>
          <w:sz w:val="32"/>
          <w:szCs w:val="32"/>
        </w:rPr>
        <w:t>。</w:t>
      </w:r>
    </w:p>
    <w:p w14:paraId="2E66125F">
      <w:pPr>
        <w:adjustRightInd w:val="0"/>
        <w:snapToGrid w:val="0"/>
        <w:spacing w:line="640" w:lineRule="exact"/>
        <w:ind w:firstLine="640" w:firstLineChars="200"/>
        <w:contextualSpacing/>
        <w:rPr>
          <w:rFonts w:ascii="黑体" w:hAnsi="黑体" w:eastAsia="黑体" w:cs="宋体"/>
          <w:kern w:val="0"/>
          <w:sz w:val="32"/>
          <w:szCs w:val="32"/>
          <w:highlight w:val="none"/>
        </w:rPr>
      </w:pPr>
      <w:r>
        <w:rPr>
          <w:rFonts w:hint="eastAsia" w:ascii="黑体" w:hAnsi="黑体" w:eastAsia="黑体" w:cs="宋体"/>
          <w:kern w:val="0"/>
          <w:sz w:val="32"/>
          <w:szCs w:val="32"/>
          <w:highlight w:val="none"/>
        </w:rPr>
        <w:t>七、政府采购安排情况</w:t>
      </w:r>
    </w:p>
    <w:p w14:paraId="0BAA1529">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年，单位政府采购预算总额</w:t>
      </w:r>
      <w:r>
        <w:rPr>
          <w:rFonts w:hint="eastAsia" w:ascii="仿宋_GB2312" w:hAnsi="仿宋" w:eastAsia="仿宋_GB2312"/>
          <w:sz w:val="32"/>
          <w:szCs w:val="32"/>
          <w:highlight w:val="none"/>
          <w:lang w:val="en-US" w:eastAsia="zh-CN"/>
        </w:rPr>
        <w:t>12.15</w:t>
      </w:r>
      <w:r>
        <w:rPr>
          <w:rFonts w:hint="eastAsia" w:ascii="仿宋_GB2312" w:hAnsi="仿宋" w:eastAsia="仿宋_GB2312"/>
          <w:sz w:val="32"/>
          <w:szCs w:val="32"/>
          <w:highlight w:val="none"/>
        </w:rPr>
        <w:t>万元，其中：政府采购货物预算</w:t>
      </w:r>
      <w:r>
        <w:rPr>
          <w:rFonts w:hint="eastAsia" w:ascii="仿宋_GB2312" w:hAnsi="仿宋" w:eastAsia="仿宋_GB2312"/>
          <w:sz w:val="32"/>
          <w:szCs w:val="32"/>
          <w:highlight w:val="none"/>
          <w:lang w:val="en-US" w:eastAsia="zh-CN"/>
        </w:rPr>
        <w:t>12.15</w:t>
      </w:r>
      <w:r>
        <w:rPr>
          <w:rFonts w:hint="eastAsia" w:ascii="仿宋_GB2312" w:hAnsi="仿宋" w:eastAsia="仿宋_GB2312"/>
          <w:sz w:val="32"/>
          <w:szCs w:val="32"/>
          <w:highlight w:val="none"/>
        </w:rPr>
        <w:t>万元。</w:t>
      </w:r>
    </w:p>
    <w:p w14:paraId="0A625579">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年，部门（单位）面向中小企业预留政府采购项目预算金额  万元，小微企业预留政府采购项目预算金额</w:t>
      </w:r>
      <w:r>
        <w:rPr>
          <w:rFonts w:hint="eastAsia" w:ascii="仿宋_GB2312" w:hAnsi="仿宋" w:eastAsia="仿宋_GB2312"/>
          <w:sz w:val="32"/>
          <w:szCs w:val="32"/>
          <w:highlight w:val="none"/>
          <w:lang w:val="en-US" w:eastAsia="zh-CN"/>
        </w:rPr>
        <w:t>12.15</w:t>
      </w:r>
      <w:r>
        <w:rPr>
          <w:rFonts w:hint="eastAsia" w:ascii="仿宋_GB2312" w:hAnsi="仿宋" w:eastAsia="仿宋_GB2312"/>
          <w:sz w:val="32"/>
          <w:szCs w:val="32"/>
          <w:highlight w:val="none"/>
        </w:rPr>
        <w:t>万元。</w:t>
      </w:r>
    </w:p>
    <w:p w14:paraId="5A29EF93">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4008FF6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46.044606</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660</w:t>
      </w:r>
      <w:r>
        <w:rPr>
          <w:rFonts w:hint="eastAsia" w:ascii="仿宋_GB2312" w:hAnsi="仿宋" w:eastAsia="仿宋_GB2312"/>
          <w:sz w:val="32"/>
          <w:szCs w:val="32"/>
        </w:rPr>
        <w:t>平方米，价值</w:t>
      </w:r>
      <w:r>
        <w:rPr>
          <w:rFonts w:hint="eastAsia" w:ascii="仿宋_GB2312" w:hAnsi="仿宋" w:eastAsia="仿宋_GB2312"/>
          <w:sz w:val="32"/>
          <w:szCs w:val="32"/>
          <w:lang w:val="en-US" w:eastAsia="zh-CN"/>
        </w:rPr>
        <w:t>24.5</w:t>
      </w:r>
      <w:r>
        <w:rPr>
          <w:rFonts w:hint="eastAsia" w:ascii="仿宋_GB2312" w:hAnsi="仿宋" w:eastAsia="仿宋_GB2312"/>
          <w:sz w:val="32"/>
          <w:szCs w:val="32"/>
        </w:rPr>
        <w:t>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12.15</w:t>
      </w:r>
      <w:r>
        <w:rPr>
          <w:rFonts w:hint="eastAsia" w:ascii="仿宋_GB2312" w:hAnsi="仿宋" w:eastAsia="仿宋_GB2312"/>
          <w:sz w:val="32"/>
          <w:szCs w:val="32"/>
        </w:rPr>
        <w:t>万元。</w:t>
      </w:r>
    </w:p>
    <w:p w14:paraId="723791AD">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7ACC5AE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E8D4AA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2A41EC2D">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31033371">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53906AD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23790178">
      <w:pPr>
        <w:widowControl/>
        <w:adjustRightInd w:val="0"/>
        <w:snapToGrid w:val="0"/>
        <w:spacing w:line="640" w:lineRule="exact"/>
        <w:ind w:firstLine="640" w:firstLineChars="200"/>
        <w:contextualSpacing/>
        <w:jc w:val="left"/>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将为参军入伍义务兵发放</w:t>
      </w:r>
      <w:r>
        <w:rPr>
          <w:rFonts w:hint="eastAsia" w:ascii="仿宋_GB2312" w:hAnsi="仿宋" w:eastAsia="仿宋_GB2312" w:cs="Times New Roman"/>
          <w:sz w:val="32"/>
          <w:szCs w:val="32"/>
        </w:rPr>
        <w:t>义务兵家庭优待金</w:t>
      </w:r>
      <w:r>
        <w:rPr>
          <w:rFonts w:hint="eastAsia" w:ascii="仿宋_GB2312" w:hAnsi="仿宋" w:eastAsia="仿宋_GB2312" w:cs="Times New Roman"/>
          <w:sz w:val="32"/>
          <w:szCs w:val="32"/>
          <w:lang w:eastAsia="zh-CN"/>
        </w:rPr>
        <w:t>，</w:t>
      </w:r>
      <w:r>
        <w:rPr>
          <w:rFonts w:hint="eastAsia" w:ascii="仿宋_GB2312" w:hAnsi="仿宋" w:eastAsia="仿宋_GB2312" w:cs="Times New Roman"/>
          <w:sz w:val="32"/>
          <w:szCs w:val="32"/>
          <w:lang w:val="en-US" w:eastAsia="zh-CN"/>
        </w:rPr>
        <w:t>周期为一年，所需资金量为135万元，根据《庆阳市义务兵家庭优待金发放管理办法》第三章第九条规定家庭优待全由中央、省、市,县(区〕分级承担,中央财政按照每人每年1万元定额补助,省级财政按照每人每年6000元定额补助,其余差额部分由市、县（区）财政承担,其中:省直管县差颉部分由县财政全额承担,西峰区差额部分由市、区财政各承担20%；2024年3月22人1次111455.7元，高原兵6人1次23122.62元。</w:t>
      </w:r>
      <w:r>
        <w:rPr>
          <w:rFonts w:hint="eastAsia" w:ascii="仿宋_GB2312" w:hAnsi="仿宋" w:eastAsia="仿宋_GB2312" w:cs="Times New Roman"/>
          <w:sz w:val="32"/>
          <w:szCs w:val="32"/>
          <w:highlight w:val="none"/>
          <w:lang w:val="en-US" w:eastAsia="zh-CN"/>
        </w:rPr>
        <w:t>2024年9月22人2次203219.6元，高原兵14人2次107905.56元，2025年3月22人2次233471.92元。2025年9月23人2次122416.85元，2026年3月和9月各预算1次，46人660000元。</w:t>
      </w:r>
      <w:r>
        <w:rPr>
          <w:rFonts w:hint="eastAsia" w:ascii="仿宋_GB2312" w:hAnsi="仿宋" w:eastAsia="仿宋_GB2312" w:cs="Times New Roman"/>
          <w:sz w:val="32"/>
          <w:szCs w:val="32"/>
          <w:lang w:val="en-US" w:eastAsia="zh-CN"/>
        </w:rPr>
        <w:t>做好退役士兵接收安置工作，维护退役士兵权益和社会稳定。确保县财政足额安排本级财政配套资金，按时发放家庭优待金。</w:t>
      </w:r>
    </w:p>
    <w:p w14:paraId="2A617D3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0B0F571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未安排预算，单位管理转移支付表为空表。</w:t>
      </w:r>
    </w:p>
    <w:p w14:paraId="217939DF">
      <w:pPr>
        <w:widowControl/>
        <w:numPr>
          <w:ilvl w:val="0"/>
          <w:numId w:val="2"/>
        </w:numPr>
        <w:adjustRightInd w:val="0"/>
        <w:snapToGrid w:val="0"/>
        <w:spacing w:line="640" w:lineRule="exact"/>
        <w:ind w:firstLine="643" w:firstLineChars="200"/>
        <w:contextualSpacing/>
        <w:jc w:val="left"/>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国有资本经营预算支出情况</w:t>
      </w:r>
    </w:p>
    <w:p w14:paraId="6FD9F855">
      <w:pPr>
        <w:widowControl/>
        <w:numPr>
          <w:ilvl w:val="0"/>
          <w:numId w:val="0"/>
        </w:numPr>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3CF579B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21191BA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3081AB3B">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bookmarkStart w:id="0" w:name="_GoBack"/>
      <w:r>
        <w:rPr>
          <w:rFonts w:hint="eastAsia" w:ascii="仿宋_GB2312" w:hAnsi="仿宋" w:eastAsia="仿宋_GB2312"/>
          <w:sz w:val="32"/>
          <w:szCs w:val="32"/>
          <w:highlight w:val="none"/>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39752DA0">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1.绩效目标管理情况。</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年度，按照“谁申请资金，谁设置目标”的原则，纳入部门预算管理的</w:t>
      </w:r>
      <w:r>
        <w:rPr>
          <w:rFonts w:hint="eastAsia" w:ascii="仿宋_GB2312" w:hAnsi="CIDFont+F6" w:eastAsia="仿宋_GB2312"/>
          <w:color w:val="000000"/>
          <w:sz w:val="32"/>
          <w:szCs w:val="32"/>
          <w:highlight w:val="none"/>
        </w:rPr>
        <w:t>部门</w:t>
      </w:r>
      <w:r>
        <w:rPr>
          <w:rFonts w:hint="eastAsia" w:ascii="仿宋_GB2312" w:hAnsi="仿宋" w:eastAsia="仿宋_GB2312"/>
          <w:sz w:val="32"/>
          <w:szCs w:val="32"/>
          <w:highlight w:val="none"/>
        </w:rPr>
        <w:t>整体支出和项目绩效目标</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 xml:space="preserve"> 个，按规定随年度预算一并公开项目</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 xml:space="preserve">个，公开率为 </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w:t>
      </w:r>
    </w:p>
    <w:p w14:paraId="075ACFE9">
      <w:pPr>
        <w:widowControl/>
        <w:adjustRightInd w:val="0"/>
        <w:snapToGrid w:val="0"/>
        <w:spacing w:line="640" w:lineRule="exact"/>
        <w:ind w:firstLine="643" w:firstLineChars="200"/>
        <w:contextualSpacing/>
        <w:jc w:val="left"/>
        <w:rPr>
          <w:rFonts w:hint="eastAsia" w:ascii="仿宋_GB2312" w:hAnsi="仿宋" w:eastAsia="仿宋_GB2312"/>
          <w:sz w:val="32"/>
          <w:szCs w:val="32"/>
          <w:highlight w:val="none"/>
          <w:lang w:val="en-US" w:eastAsia="zh-CN"/>
        </w:rPr>
      </w:pPr>
      <w:r>
        <w:rPr>
          <w:rFonts w:hint="eastAsia" w:ascii="仿宋_GB2312" w:hAnsi="仿宋" w:eastAsia="仿宋_GB2312"/>
          <w:b/>
          <w:sz w:val="32"/>
          <w:szCs w:val="32"/>
          <w:highlight w:val="none"/>
        </w:rPr>
        <w:t>2.绩效运行监控情况。</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 xml:space="preserve">年7月，组织开展1-6月绩效运行监控项目 </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个，占本</w:t>
      </w:r>
      <w:r>
        <w:rPr>
          <w:rFonts w:hint="eastAsia" w:ascii="仿宋_GB2312" w:hAnsi="CIDFont+F6" w:eastAsia="仿宋_GB2312"/>
          <w:color w:val="000000"/>
          <w:sz w:val="32"/>
          <w:szCs w:val="32"/>
          <w:highlight w:val="none"/>
        </w:rPr>
        <w:t>部门</w:t>
      </w:r>
      <w:r>
        <w:rPr>
          <w:rFonts w:hint="eastAsia" w:ascii="仿宋_GB2312" w:hAnsi="仿宋" w:eastAsia="仿宋_GB2312"/>
          <w:sz w:val="32"/>
          <w:szCs w:val="32"/>
          <w:highlight w:val="none"/>
        </w:rPr>
        <w:t xml:space="preserve">项目的 </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%。截至7月底，如期完成预算执行和绩效目标指标值的项目</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个，完成率为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%。“开展1-9月绩效运行监控项目 </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 xml:space="preserve"> 个，占本部门（单位）项目的 </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%。截至10月底，如期完成预算执行和绩效目标指标值的项目 </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 xml:space="preserve"> 个，完成率为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w:t>
      </w:r>
      <w:r>
        <w:rPr>
          <w:rFonts w:hint="eastAsia" w:ascii="仿宋_GB2312" w:hAnsi="仿宋" w:eastAsia="仿宋_GB2312"/>
          <w:sz w:val="32"/>
          <w:szCs w:val="32"/>
          <w:highlight w:val="none"/>
          <w:lang w:val="en-US" w:eastAsia="zh-CN"/>
        </w:rPr>
        <w:t xml:space="preserve">  </w:t>
      </w:r>
    </w:p>
    <w:p w14:paraId="68BE8386">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3.绩效自评开展情况。</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年度，组织开展绩效自评项目共</w:t>
      </w:r>
      <w:r>
        <w:rPr>
          <w:rFonts w:hint="eastAsia" w:ascii="仿宋_GB2312" w:hAnsi="仿宋" w:eastAsia="仿宋_GB2312"/>
          <w:sz w:val="32"/>
          <w:szCs w:val="32"/>
          <w:highlight w:val="none"/>
          <w:lang w:val="en-US" w:eastAsia="zh-CN"/>
        </w:rPr>
        <w:t>10</w:t>
      </w:r>
      <w:r>
        <w:rPr>
          <w:rFonts w:hint="eastAsia" w:ascii="仿宋_GB2312" w:hAnsi="仿宋" w:eastAsia="仿宋_GB2312"/>
          <w:sz w:val="32"/>
          <w:szCs w:val="32"/>
          <w:highlight w:val="none"/>
        </w:rPr>
        <w:t xml:space="preserve">个，其中，部门（单位）整体支出 </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个，项目支出</w:t>
      </w:r>
      <w:r>
        <w:rPr>
          <w:rFonts w:hint="eastAsia" w:ascii="仿宋_GB2312" w:hAnsi="仿宋" w:eastAsia="仿宋_GB2312"/>
          <w:sz w:val="32"/>
          <w:szCs w:val="32"/>
          <w:highlight w:val="none"/>
          <w:lang w:val="en-US" w:eastAsia="zh-CN"/>
        </w:rPr>
        <w:t>1</w:t>
      </w:r>
      <w:r>
        <w:rPr>
          <w:rFonts w:hint="eastAsia" w:ascii="仿宋_GB2312" w:hAnsi="仿宋" w:eastAsia="仿宋_GB2312"/>
          <w:sz w:val="32"/>
          <w:szCs w:val="32"/>
          <w:highlight w:val="none"/>
        </w:rPr>
        <w:t xml:space="preserve"> </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个，转移支付项目</w:t>
      </w:r>
      <w:r>
        <w:rPr>
          <w:rFonts w:hint="eastAsia" w:ascii="仿宋_GB2312" w:hAnsi="仿宋" w:eastAsia="仿宋_GB2312"/>
          <w:sz w:val="32"/>
          <w:szCs w:val="32"/>
          <w:highlight w:val="none"/>
          <w:lang w:val="en-US" w:eastAsia="zh-CN"/>
        </w:rPr>
        <w:t>20</w:t>
      </w:r>
      <w:r>
        <w:rPr>
          <w:rFonts w:hint="eastAsia" w:ascii="仿宋_GB2312" w:hAnsi="仿宋" w:eastAsia="仿宋_GB2312"/>
          <w:sz w:val="32"/>
          <w:szCs w:val="32"/>
          <w:highlight w:val="none"/>
        </w:rPr>
        <w:t>个，绩效自评覆盖率为</w:t>
      </w:r>
      <w:r>
        <w:rPr>
          <w:rFonts w:hint="eastAsia" w:ascii="仿宋_GB2312" w:hAnsi="仿宋" w:eastAsia="仿宋_GB2312"/>
          <w:sz w:val="32"/>
          <w:szCs w:val="32"/>
          <w:highlight w:val="none"/>
          <w:lang w:val="en-US" w:eastAsia="zh-CN"/>
        </w:rPr>
        <w:t>100</w:t>
      </w:r>
      <w:r>
        <w:rPr>
          <w:rFonts w:hint="eastAsia" w:ascii="仿宋_GB2312" w:hAnsi="仿宋" w:eastAsia="仿宋_GB2312"/>
          <w:sz w:val="32"/>
          <w:szCs w:val="32"/>
          <w:highlight w:val="none"/>
        </w:rPr>
        <w:t xml:space="preserve"> %。绩效自评结果随部门决算报送财政和随决算公开情况：</w:t>
      </w:r>
      <w:r>
        <w:rPr>
          <w:rFonts w:hint="eastAsia" w:ascii="仿宋_GB2312" w:hAnsi="仿宋" w:eastAsia="仿宋_GB2312"/>
          <w:sz w:val="32"/>
          <w:szCs w:val="32"/>
          <w:highlight w:val="none"/>
          <w:lang w:val="en-US" w:eastAsia="zh-CN"/>
        </w:rPr>
        <w:t>及时公开</w:t>
      </w:r>
      <w:r>
        <w:rPr>
          <w:rFonts w:hint="eastAsia" w:ascii="仿宋_GB2312" w:hAnsi="仿宋" w:eastAsia="仿宋_GB2312"/>
          <w:sz w:val="32"/>
          <w:szCs w:val="32"/>
          <w:highlight w:val="none"/>
        </w:rPr>
        <w:t>。</w:t>
      </w:r>
    </w:p>
    <w:p w14:paraId="5B11E79F">
      <w:pPr>
        <w:widowControl/>
        <w:adjustRightInd w:val="0"/>
        <w:snapToGrid w:val="0"/>
        <w:spacing w:line="640" w:lineRule="exact"/>
        <w:ind w:firstLine="643" w:firstLineChars="200"/>
        <w:contextualSpacing/>
        <w:jc w:val="left"/>
        <w:rPr>
          <w:rFonts w:ascii="仿宋_GB2312" w:hAnsi="仿宋" w:eastAsia="仿宋_GB2312"/>
          <w:sz w:val="32"/>
          <w:szCs w:val="32"/>
          <w:highlight w:val="none"/>
        </w:rPr>
      </w:pPr>
      <w:r>
        <w:rPr>
          <w:rFonts w:hint="eastAsia" w:ascii="仿宋_GB2312" w:hAnsi="仿宋" w:eastAsia="仿宋_GB2312"/>
          <w:b/>
          <w:sz w:val="32"/>
          <w:szCs w:val="32"/>
          <w:highlight w:val="none"/>
        </w:rPr>
        <w:t>4.绩效结果应用情况。</w:t>
      </w:r>
      <w:r>
        <w:rPr>
          <w:rFonts w:hint="eastAsia" w:ascii="仿宋_GB2312" w:hAnsi="仿宋" w:eastAsia="仿宋_GB2312"/>
          <w:sz w:val="32"/>
          <w:szCs w:val="32"/>
          <w:highlight w:val="none"/>
        </w:rPr>
        <w:t>根据202</w:t>
      </w:r>
      <w:r>
        <w:rPr>
          <w:rFonts w:hint="eastAsia" w:ascii="仿宋_GB2312" w:hAnsi="仿宋" w:eastAsia="仿宋_GB2312"/>
          <w:sz w:val="32"/>
          <w:szCs w:val="32"/>
          <w:highlight w:val="none"/>
          <w:lang w:val="en-US" w:eastAsia="zh-CN"/>
        </w:rPr>
        <w:t>5</w:t>
      </w:r>
      <w:r>
        <w:rPr>
          <w:rFonts w:hint="eastAsia" w:ascii="仿宋_GB2312" w:hAnsi="仿宋" w:eastAsia="仿宋_GB2312"/>
          <w:sz w:val="32"/>
          <w:szCs w:val="32"/>
          <w:highlight w:val="none"/>
        </w:rPr>
        <w:t>年度绩效运行监控、绩效自评等情况，当年盘活财政资金</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年度减少部门预算项目</w:t>
      </w:r>
      <w:r>
        <w:rPr>
          <w:rFonts w:hint="eastAsia" w:ascii="仿宋_GB2312" w:hAnsi="仿宋" w:eastAsia="仿宋_GB2312"/>
          <w:sz w:val="32"/>
          <w:szCs w:val="32"/>
          <w:highlight w:val="none"/>
          <w:lang w:val="en-US" w:eastAsia="zh-CN"/>
        </w:rPr>
        <w:t>8</w:t>
      </w:r>
      <w:r>
        <w:rPr>
          <w:rFonts w:hint="eastAsia" w:ascii="仿宋_GB2312" w:hAnsi="仿宋" w:eastAsia="仿宋_GB2312"/>
          <w:sz w:val="32"/>
          <w:szCs w:val="32"/>
          <w:highlight w:val="none"/>
        </w:rPr>
        <w:t>个，压减率</w:t>
      </w:r>
      <w:r>
        <w:rPr>
          <w:rFonts w:hint="eastAsia" w:ascii="仿宋_GB2312" w:hAnsi="仿宋" w:eastAsia="仿宋_GB2312"/>
          <w:sz w:val="32"/>
          <w:szCs w:val="32"/>
          <w:highlight w:val="none"/>
          <w:lang w:val="en-US" w:eastAsia="zh-CN"/>
        </w:rPr>
        <w:t>20</w:t>
      </w:r>
      <w:r>
        <w:rPr>
          <w:rFonts w:hint="eastAsia" w:ascii="仿宋_GB2312" w:hAnsi="仿宋" w:eastAsia="仿宋_GB2312"/>
          <w:sz w:val="32"/>
          <w:szCs w:val="32"/>
          <w:highlight w:val="none"/>
        </w:rPr>
        <w:t>%。同时对政策和项目资金管理作出调整的</w:t>
      </w: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个。</w:t>
      </w:r>
    </w:p>
    <w:p w14:paraId="655DBF53">
      <w:pPr>
        <w:adjustRightInd w:val="0"/>
        <w:snapToGrid w:val="0"/>
        <w:spacing w:line="640" w:lineRule="exact"/>
        <w:ind w:firstLine="643" w:firstLineChars="200"/>
        <w:contextualSpacing/>
        <w:rPr>
          <w:rFonts w:ascii="楷体_GB2312" w:hAnsi="楷体" w:eastAsia="楷体_GB2312" w:cs="宋体"/>
          <w:b/>
          <w:bCs/>
          <w:kern w:val="0"/>
          <w:sz w:val="32"/>
          <w:szCs w:val="32"/>
          <w:highlight w:val="none"/>
        </w:rPr>
      </w:pPr>
      <w:r>
        <w:rPr>
          <w:rFonts w:hint="eastAsia" w:ascii="楷体_GB2312" w:hAnsi="楷体" w:eastAsia="楷体_GB2312" w:cs="宋体"/>
          <w:b/>
          <w:bCs/>
          <w:kern w:val="0"/>
          <w:sz w:val="32"/>
          <w:szCs w:val="32"/>
          <w:highlight w:val="none"/>
        </w:rPr>
        <w:t>（二）202</w:t>
      </w:r>
      <w:r>
        <w:rPr>
          <w:rFonts w:hint="eastAsia" w:ascii="楷体_GB2312" w:hAnsi="楷体" w:eastAsia="楷体_GB2312" w:cs="宋体"/>
          <w:b/>
          <w:bCs/>
          <w:kern w:val="0"/>
          <w:sz w:val="32"/>
          <w:szCs w:val="32"/>
          <w:highlight w:val="none"/>
          <w:lang w:val="en-US" w:eastAsia="zh-CN"/>
        </w:rPr>
        <w:t>6</w:t>
      </w:r>
      <w:r>
        <w:rPr>
          <w:rFonts w:hint="eastAsia" w:ascii="楷体_GB2312" w:hAnsi="楷体" w:eastAsia="楷体_GB2312" w:cs="宋体"/>
          <w:b/>
          <w:bCs/>
          <w:kern w:val="0"/>
          <w:sz w:val="32"/>
          <w:szCs w:val="32"/>
          <w:highlight w:val="none"/>
        </w:rPr>
        <w:t>年绩效目标编制情况</w:t>
      </w:r>
    </w:p>
    <w:p w14:paraId="282A419A">
      <w:pPr>
        <w:widowControl/>
        <w:adjustRightInd w:val="0"/>
        <w:snapToGrid w:val="0"/>
        <w:spacing w:line="640" w:lineRule="exact"/>
        <w:ind w:firstLine="640" w:firstLineChars="200"/>
        <w:contextualSpacing/>
        <w:jc w:val="left"/>
        <w:rPr>
          <w:rFonts w:ascii="仿宋_GB2312" w:hAnsi="仿宋" w:eastAsia="仿宋_GB2312"/>
          <w:sz w:val="32"/>
          <w:szCs w:val="32"/>
          <w:highlight w:val="none"/>
        </w:rPr>
      </w:pP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年，纳入部门预算绩效目标管理的项目</w:t>
      </w:r>
      <w:r>
        <w:rPr>
          <w:rFonts w:hint="eastAsia" w:ascii="仿宋_GB2312" w:hAnsi="仿宋" w:eastAsia="仿宋_GB2312"/>
          <w:sz w:val="32"/>
          <w:szCs w:val="32"/>
          <w:highlight w:val="none"/>
          <w:lang w:val="en-US" w:eastAsia="zh-CN"/>
        </w:rPr>
        <w:t>8</w:t>
      </w:r>
      <w:r>
        <w:rPr>
          <w:rFonts w:hint="eastAsia" w:ascii="仿宋_GB2312" w:hAnsi="仿宋" w:eastAsia="仿宋_GB2312"/>
          <w:sz w:val="32"/>
          <w:szCs w:val="32"/>
          <w:highlight w:val="none"/>
        </w:rPr>
        <w:t xml:space="preserve">个。其中，部门整体支出绩效目标围绕部门管理、履职效果、能力建设三个维度，设置二级指标 </w:t>
      </w:r>
      <w:r>
        <w:rPr>
          <w:rFonts w:hint="eastAsia" w:ascii="仿宋_GB2312" w:hAnsi="仿宋" w:eastAsia="仿宋_GB2312"/>
          <w:sz w:val="32"/>
          <w:szCs w:val="32"/>
          <w:highlight w:val="none"/>
          <w:lang w:val="en-US" w:eastAsia="zh-CN"/>
        </w:rPr>
        <w:t>11</w:t>
      </w:r>
      <w:r>
        <w:rPr>
          <w:rFonts w:hint="eastAsia" w:ascii="仿宋_GB2312" w:hAnsi="仿宋" w:eastAsia="仿宋_GB2312"/>
          <w:sz w:val="32"/>
          <w:szCs w:val="32"/>
          <w:highlight w:val="none"/>
        </w:rPr>
        <w:t>个、三级指标</w:t>
      </w:r>
      <w:r>
        <w:rPr>
          <w:rFonts w:hint="eastAsia" w:ascii="仿宋_GB2312" w:hAnsi="仿宋" w:eastAsia="仿宋_GB2312"/>
          <w:sz w:val="32"/>
          <w:szCs w:val="32"/>
          <w:highlight w:val="none"/>
          <w:lang w:val="en-US" w:eastAsia="zh-CN"/>
        </w:rPr>
        <w:t>16</w:t>
      </w:r>
      <w:r>
        <w:rPr>
          <w:rFonts w:hint="eastAsia" w:ascii="仿宋_GB2312" w:hAnsi="仿宋" w:eastAsia="仿宋_GB2312"/>
          <w:sz w:val="32"/>
          <w:szCs w:val="32"/>
          <w:highlight w:val="none"/>
        </w:rPr>
        <w:t>个；项目支出绩效目标围绕成本指标、产出指标、效益指标、满意度指标四个维度，设置二级指标</w:t>
      </w:r>
      <w:r>
        <w:rPr>
          <w:rFonts w:hint="eastAsia" w:ascii="仿宋_GB2312" w:hAnsi="仿宋" w:eastAsia="仿宋_GB2312"/>
          <w:sz w:val="32"/>
          <w:szCs w:val="32"/>
          <w:highlight w:val="none"/>
          <w:lang w:val="en-US" w:eastAsia="zh-CN"/>
        </w:rPr>
        <w:t>11</w:t>
      </w:r>
      <w:r>
        <w:rPr>
          <w:rFonts w:hint="eastAsia" w:ascii="仿宋_GB2312" w:hAnsi="仿宋" w:eastAsia="仿宋_GB2312"/>
          <w:sz w:val="32"/>
          <w:szCs w:val="32"/>
          <w:highlight w:val="none"/>
        </w:rPr>
        <w:t>个、三级指标</w:t>
      </w:r>
      <w:r>
        <w:rPr>
          <w:rFonts w:hint="eastAsia" w:ascii="仿宋_GB2312" w:hAnsi="仿宋" w:eastAsia="仿宋_GB2312"/>
          <w:sz w:val="32"/>
          <w:szCs w:val="32"/>
          <w:highlight w:val="none"/>
          <w:lang w:val="en-US" w:eastAsia="zh-CN"/>
        </w:rPr>
        <w:t>19</w:t>
      </w:r>
      <w:r>
        <w:rPr>
          <w:rFonts w:hint="eastAsia" w:ascii="仿宋_GB2312" w:hAnsi="仿宋" w:eastAsia="仿宋_GB2312"/>
          <w:sz w:val="32"/>
          <w:szCs w:val="32"/>
          <w:highlight w:val="none"/>
        </w:rPr>
        <w:t>个。各项绩效目标内容指向明确、细化量化、合理可行，符合规定的格式要求。</w:t>
      </w:r>
    </w:p>
    <w:bookmarkEnd w:id="0"/>
    <w:p w14:paraId="4E7BC2C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D88414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087FB7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5579604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51868D1C">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CCCBAA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567255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23C3308C">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5034E690">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58685C0A">
      <w:pPr>
        <w:adjustRightInd w:val="0"/>
        <w:snapToGrid w:val="0"/>
        <w:spacing w:line="640" w:lineRule="exact"/>
        <w:ind w:firstLine="643" w:firstLineChars="200"/>
        <w:contextualSpacing/>
        <w:rPr>
          <w:rFonts w:hint="eastAsia" w:ascii="仿宋_GB2312" w:hAnsi="CIDFont+F4" w:eastAsia="仿宋_GB2312"/>
          <w:b/>
          <w:color w:val="000000"/>
          <w:sz w:val="32"/>
          <w:szCs w:val="32"/>
        </w:rPr>
      </w:pPr>
    </w:p>
    <w:p w14:paraId="41AF69E5">
      <w:pPr>
        <w:adjustRightInd w:val="0"/>
        <w:snapToGrid w:val="0"/>
        <w:spacing w:line="640" w:lineRule="exact"/>
        <w:contextualSpacing/>
        <w:jc w:val="right"/>
        <w:rPr>
          <w:rFonts w:hint="eastAsia" w:ascii="仿宋_GB2312" w:hAnsi="CIDFont+F6" w:eastAsia="仿宋_GB2312"/>
          <w:color w:val="000000"/>
          <w:sz w:val="32"/>
          <w:szCs w:val="32"/>
        </w:rPr>
      </w:pPr>
    </w:p>
    <w:p w14:paraId="7D961D87">
      <w:pPr>
        <w:adjustRightInd w:val="0"/>
        <w:snapToGrid w:val="0"/>
        <w:spacing w:line="640" w:lineRule="exact"/>
        <w:contextualSpacing/>
        <w:jc w:val="right"/>
        <w:rPr>
          <w:rFonts w:hint="eastAsia" w:ascii="仿宋_GB2312" w:hAnsi="CIDFont+F6" w:eastAsia="仿宋_GB2312"/>
          <w:color w:val="000000"/>
          <w:sz w:val="32"/>
          <w:szCs w:val="32"/>
        </w:rPr>
      </w:pPr>
    </w:p>
    <w:p w14:paraId="50D5D81F">
      <w:pPr>
        <w:adjustRightInd w:val="0"/>
        <w:snapToGrid w:val="0"/>
        <w:spacing w:line="640" w:lineRule="exact"/>
        <w:ind w:right="960"/>
        <w:contextualSpacing/>
        <w:jc w:val="right"/>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华池县退役军人事务局</w:t>
      </w:r>
    </w:p>
    <w:p w14:paraId="249FE484">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日</w:t>
      </w:r>
    </w:p>
    <w:p w14:paraId="4260CF78">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华池县退役军人事务局</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华池县退役军人事务局</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1AC9CB"/>
    <w:multiLevelType w:val="singleLevel"/>
    <w:tmpl w:val="DB1AC9CB"/>
    <w:lvl w:ilvl="0" w:tentative="0">
      <w:start w:val="4"/>
      <w:numFmt w:val="chineseCounting"/>
      <w:suff w:val="nothing"/>
      <w:lvlText w:val="%1、"/>
      <w:lvlJc w:val="left"/>
      <w:rPr>
        <w:rFonts w:hint="eastAsia"/>
      </w:rPr>
    </w:lvl>
  </w:abstractNum>
  <w:abstractNum w:abstractNumId="1">
    <w:nsid w:val="5351ECDD"/>
    <w:multiLevelType w:val="singleLevel"/>
    <w:tmpl w:val="5351ECDD"/>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03920AAB"/>
    <w:rsid w:val="03DE78EB"/>
    <w:rsid w:val="059211F2"/>
    <w:rsid w:val="05C50C80"/>
    <w:rsid w:val="0D962CF1"/>
    <w:rsid w:val="0E4F1A2E"/>
    <w:rsid w:val="113741D2"/>
    <w:rsid w:val="12837EF9"/>
    <w:rsid w:val="1399374C"/>
    <w:rsid w:val="18330BA7"/>
    <w:rsid w:val="1C817B9F"/>
    <w:rsid w:val="1D34261E"/>
    <w:rsid w:val="1F7312F5"/>
    <w:rsid w:val="21541FBA"/>
    <w:rsid w:val="220A23E4"/>
    <w:rsid w:val="25761B3F"/>
    <w:rsid w:val="3B2319C9"/>
    <w:rsid w:val="42A05423"/>
    <w:rsid w:val="43890ACB"/>
    <w:rsid w:val="44316F05"/>
    <w:rsid w:val="446612A5"/>
    <w:rsid w:val="47376F28"/>
    <w:rsid w:val="49E30CA1"/>
    <w:rsid w:val="4C433C79"/>
    <w:rsid w:val="4FF754A7"/>
    <w:rsid w:val="527E074E"/>
    <w:rsid w:val="533B56AA"/>
    <w:rsid w:val="54C94F38"/>
    <w:rsid w:val="56393C72"/>
    <w:rsid w:val="579503FF"/>
    <w:rsid w:val="590F2775"/>
    <w:rsid w:val="59FB5B93"/>
    <w:rsid w:val="60535296"/>
    <w:rsid w:val="60DD2497"/>
    <w:rsid w:val="639C3F43"/>
    <w:rsid w:val="6DBD2C18"/>
    <w:rsid w:val="71FE226D"/>
    <w:rsid w:val="722A3062"/>
    <w:rsid w:val="72FD2525"/>
    <w:rsid w:val="78106856"/>
    <w:rsid w:val="7EFA4E6A"/>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14</Pages>
  <Words>5519</Words>
  <Characters>5959</Characters>
  <Lines>68</Lines>
  <Paragraphs>19</Paragraphs>
  <TotalTime>10</TotalTime>
  <ScaleCrop>false</ScaleCrop>
  <LinksUpToDate>false</LinksUpToDate>
  <CharactersWithSpaces>5995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路人甲</cp:lastModifiedBy>
  <cp:lastPrinted>2022-02-15T15:45:00Z</cp:lastPrinted>
  <dcterms:modified xsi:type="dcterms:W3CDTF">2026-03-11T10:23:31Z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eyJoZGlkIjoiZmI1NjE5NWQ4Nzg3M2NkNWQ1ZjA2ZWY4MWQ2MjE0ZDQiLCJ1c2VySWQiOiIzNzA2NzYxODcifQ==</vt:lpwstr>
  </property>
</Properties>
</file>