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ascii="宋体" w:hAnsi="宋体" w:cs="宋体"/>
          <w:b/>
          <w:bCs/>
          <w:kern w:val="0"/>
          <w:sz w:val="44"/>
          <w:szCs w:val="44"/>
        </w:rPr>
      </w:pPr>
      <w:r>
        <w:rPr>
          <w:rFonts w:hint="eastAsia" w:ascii="宋体" w:hAnsi="宋体" w:cs="宋体"/>
          <w:b/>
          <w:bCs/>
          <w:kern w:val="0"/>
          <w:sz w:val="44"/>
          <w:szCs w:val="44"/>
          <w:lang w:eastAsia="zh-CN"/>
        </w:rPr>
        <w:t>华池县疾病预防控制中心</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735FCAC2">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（一）拟定全县疾病预防控制工作计划与相关方案，组织实施疾病预防控制方面技术指导、业务培训和效果评价。</w:t>
      </w:r>
    </w:p>
    <w:p w14:paraId="1B39FC0E">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（二）负责全县传染病、寄生虫病、地方病、慢性非传染性疾病等监测预警和预防控制，对重大疫情组织调查并落实控制，承担救灾防疫任务，参与公共卫生领域的突发事件调查处理。</w:t>
      </w:r>
    </w:p>
    <w:p w14:paraId="6D00266C">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（三）负责全县营养与食品卫生、职业卫生、放射卫生、环境卫生、学校卫生等领域健康危害因素监测和预防控制，规划、实施预防接种。</w:t>
      </w:r>
    </w:p>
    <w:p w14:paraId="0FD4225C">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（四）负责疾病预防控制信息的收集整理、统计分析、综合评价；开展疾病预防控制相关领域的科学研究。</w:t>
      </w:r>
    </w:p>
    <w:p w14:paraId="78F07F24">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（五）承担相关从业人员健康体检、健康相关产品的卫生学检验、各类疾病预防控制相关检测检验任务；负责全县疾病预防控制机构检测检验工作的质量控制。</w:t>
      </w:r>
    </w:p>
    <w:p w14:paraId="2D69BD17">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（六）面向社会提供各类公共卫生技术服务。</w:t>
      </w:r>
    </w:p>
    <w:p w14:paraId="78B2ED7F">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七）承担法律法规赋予和主管部门委托的社会公共卫生、健康相关产品、医疗机构综合监督执法任务。负责本级及医疗机构、采供血机构、传染病防治、公共场所卫生、职业卫生、放射卫生、环境卫生、学校卫生、饮用水卫生和妇幼健康、消毒产品等健康领域的监督执法。</w:t>
      </w:r>
    </w:p>
    <w:p w14:paraId="7555C964">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（八）根据授权对适用简易处罚程序的违法行为作出处罚决定，对适用普通处罚程序的违法行为进行调查取证，提出处罚建议，对全县重大的卫生健康突发事件进行调查处理。</w:t>
      </w:r>
    </w:p>
    <w:p w14:paraId="7B09C0ED">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（九）组织开展健康教育、健康促进与卫生健康有关法律法规的宣传普及。</w:t>
      </w:r>
    </w:p>
    <w:p w14:paraId="4D6AED55">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（十）完成县卫生健康局（县疾病预防控制局）交办的其他任务。</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（一）直属事业单位</w:t>
      </w:r>
    </w:p>
    <w:p w14:paraId="22C1C673">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华池县</w:t>
      </w:r>
      <w:r>
        <w:rPr>
          <w:rFonts w:hint="eastAsia" w:ascii="仿宋_GB2312" w:hAnsi="仿宋" w:eastAsia="仿宋_GB2312" w:cs="宋体"/>
          <w:kern w:val="0"/>
          <w:sz w:val="32"/>
          <w:szCs w:val="32"/>
          <w:lang w:eastAsia="zh-CN"/>
        </w:rPr>
        <w:t>疾病预防控制中心</w:t>
      </w:r>
      <w:r>
        <w:rPr>
          <w:rFonts w:hint="eastAsia" w:ascii="仿宋_GB2312" w:hAnsi="仿宋" w:eastAsia="仿宋_GB2312" w:cs="宋体"/>
          <w:kern w:val="0"/>
          <w:sz w:val="32"/>
          <w:szCs w:val="32"/>
        </w:rPr>
        <w:t>内设</w:t>
      </w:r>
      <w:r>
        <w:rPr>
          <w:rFonts w:hint="eastAsia" w:ascii="仿宋_GB2312" w:hAnsi="仿宋" w:eastAsia="仿宋_GB2312" w:cs="宋体"/>
          <w:kern w:val="0"/>
          <w:sz w:val="32"/>
          <w:szCs w:val="32"/>
          <w:lang w:eastAsia="zh-CN"/>
        </w:rPr>
        <w:t>办公室</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eastAsia="zh-CN"/>
        </w:rPr>
        <w:t>财务室</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eastAsia="zh-CN"/>
        </w:rPr>
        <w:t>传染病防治股</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eastAsia="zh-CN"/>
        </w:rPr>
        <w:t>性艾股、结防股、健康体检股、公共场所卫生监督股、医疗卫生监督股、免疫规划股、慢性病防治股、地方病防治股、实验室等</w:t>
      </w:r>
      <w:r>
        <w:rPr>
          <w:rFonts w:hint="eastAsia" w:ascii="仿宋_GB2312" w:hAnsi="仿宋" w:eastAsia="仿宋_GB2312" w:cs="宋体"/>
          <w:kern w:val="0"/>
          <w:sz w:val="32"/>
          <w:szCs w:val="32"/>
          <w:lang w:val="en-US" w:eastAsia="zh-CN"/>
        </w:rPr>
        <w:t>12个科室</w:t>
      </w:r>
      <w:r>
        <w:rPr>
          <w:rFonts w:hint="eastAsia" w:ascii="仿宋_GB2312" w:hAnsi="仿宋" w:eastAsia="仿宋_GB2312" w:cs="宋体"/>
          <w:kern w:val="0"/>
          <w:sz w:val="32"/>
          <w:szCs w:val="32"/>
        </w:rPr>
        <w:t>。</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073B7C97">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3FAA19A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788.39</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万元。按照综合预算的原则，部门（单位）所有收入和支出均纳入部门预算管理。收入包括：一般公共预算拨款收入；支出包括：社会保障和就业支出、卫生健康支出、住房保障支出。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788.39</w:t>
      </w:r>
      <w:r>
        <w:rPr>
          <w:rFonts w:hint="eastAsia" w:ascii="仿宋_GB2312" w:hAnsi="仿宋" w:eastAsia="仿宋_GB2312"/>
          <w:sz w:val="32"/>
          <w:szCs w:val="32"/>
        </w:rPr>
        <w:t>万元（详见部门/单位预算公开表1,2）。包括：</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788.39</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788.39</w:t>
      </w:r>
      <w:r>
        <w:rPr>
          <w:rFonts w:hint="eastAsia" w:ascii="仿宋_GB2312" w:hAnsi="仿宋" w:eastAsia="仿宋_GB2312"/>
          <w:sz w:val="32"/>
          <w:szCs w:val="32"/>
        </w:rPr>
        <w:t>万元（详见部门/单位预算公开表3）。</w:t>
      </w:r>
      <w:r>
        <w:rPr>
          <w:rStyle w:val="20"/>
          <w:rFonts w:hint="default" w:hAnsi="仿宋"/>
        </w:rPr>
        <w:t>其中：基本支出</w:t>
      </w:r>
      <w:r>
        <w:rPr>
          <w:rStyle w:val="20"/>
          <w:rFonts w:hint="eastAsia" w:hAnsi="仿宋" w:eastAsia="仿宋_GB2312"/>
          <w:lang w:val="en-US" w:eastAsia="zh-CN"/>
        </w:rPr>
        <w:t>739.89</w:t>
      </w:r>
      <w:r>
        <w:rPr>
          <w:rStyle w:val="20"/>
          <w:rFonts w:hint="default" w:hAnsi="仿宋"/>
        </w:rPr>
        <w:t xml:space="preserve">万元，占 </w:t>
      </w:r>
      <w:r>
        <w:rPr>
          <w:rStyle w:val="20"/>
          <w:rFonts w:hint="eastAsia" w:hAnsi="仿宋" w:eastAsia="仿宋_GB2312"/>
          <w:lang w:val="en-US" w:eastAsia="zh-CN"/>
        </w:rPr>
        <w:t>93.85</w:t>
      </w:r>
      <w:r>
        <w:rPr>
          <w:rStyle w:val="21"/>
          <w:rFonts w:hint="eastAsia" w:ascii="仿宋_GB2312" w:hAnsi="仿宋" w:eastAsia="仿宋_GB2312"/>
        </w:rPr>
        <w:t xml:space="preserve"> %</w:t>
      </w:r>
      <w:r>
        <w:rPr>
          <w:rStyle w:val="20"/>
          <w:rFonts w:hint="default" w:hAnsi="仿宋"/>
        </w:rPr>
        <w:t>； 项目支出</w:t>
      </w:r>
      <w:r>
        <w:rPr>
          <w:rStyle w:val="20"/>
          <w:rFonts w:hint="eastAsia" w:hAnsi="仿宋" w:eastAsia="仿宋_GB2312"/>
          <w:lang w:val="en-US" w:eastAsia="zh-CN"/>
        </w:rPr>
        <w:t xml:space="preserve"> 48.5</w:t>
      </w:r>
      <w:r>
        <w:rPr>
          <w:rStyle w:val="20"/>
          <w:rFonts w:hint="default" w:hAnsi="仿宋"/>
        </w:rPr>
        <w:t>万元，占</w:t>
      </w:r>
      <w:r>
        <w:rPr>
          <w:rStyle w:val="21"/>
          <w:rFonts w:hint="eastAsia" w:ascii="仿宋_GB2312" w:hAnsi="仿宋" w:eastAsia="仿宋_GB2312"/>
        </w:rPr>
        <w:t xml:space="preserve"> </w:t>
      </w:r>
      <w:r>
        <w:rPr>
          <w:rStyle w:val="21"/>
          <w:rFonts w:hint="eastAsia" w:ascii="仿宋_GB2312" w:hAnsi="仿宋" w:eastAsia="仿宋_GB2312"/>
          <w:lang w:val="en-US" w:eastAsia="zh-CN"/>
        </w:rPr>
        <w:t>6.15</w:t>
      </w:r>
      <w:r>
        <w:rPr>
          <w:rStyle w:val="21"/>
          <w:rFonts w:hint="eastAsia" w:ascii="仿宋_GB2312" w:hAnsi="仿宋" w:eastAsia="仿宋_GB2312"/>
        </w:rPr>
        <w:t xml:space="preserve"> %</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0"/>
          <w:rFonts w:hint="eastAsia" w:hAnsi="仿宋" w:eastAsia="仿宋_GB2312"/>
          <w:lang w:val="en-US" w:eastAsia="zh-CN"/>
        </w:rPr>
        <w:t>788.39</w:t>
      </w:r>
      <w:r>
        <w:rPr>
          <w:rStyle w:val="20"/>
          <w:rFonts w:hint="default" w:hAnsi="仿宋"/>
        </w:rPr>
        <w:t>万元，包括：社会保障和就业支出</w:t>
      </w:r>
      <w:r>
        <w:rPr>
          <w:rStyle w:val="20"/>
          <w:rFonts w:hint="eastAsia" w:hAnsi="仿宋" w:eastAsia="仿宋_GB2312"/>
          <w:lang w:val="en-US" w:eastAsia="zh-CN"/>
        </w:rPr>
        <w:t>111.23</w:t>
      </w:r>
      <w:r>
        <w:rPr>
          <w:rStyle w:val="20"/>
          <w:rFonts w:hint="default" w:hAnsi="仿宋"/>
        </w:rPr>
        <w:t>万元、</w:t>
      </w:r>
      <w:r>
        <w:rPr>
          <w:rStyle w:val="20"/>
          <w:rFonts w:hint="eastAsia" w:hAnsi="仿宋" w:eastAsia="仿宋_GB2312"/>
          <w:lang w:eastAsia="zh-CN"/>
        </w:rPr>
        <w:t>卫生健康支出</w:t>
      </w:r>
      <w:r>
        <w:rPr>
          <w:rStyle w:val="20"/>
          <w:rFonts w:hint="eastAsia" w:hAnsi="仿宋" w:eastAsia="仿宋_GB2312"/>
          <w:lang w:val="en-US" w:eastAsia="zh-CN"/>
        </w:rPr>
        <w:t>622.88万元、住房保障支出54.28万元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788.39</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97.45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14.1</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人员经费增加及水质检测项目预算增加。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其中：人员经费支出 </w:t>
      </w:r>
      <w:r>
        <w:rPr>
          <w:rFonts w:hint="eastAsia" w:ascii="仿宋_GB2312" w:hAnsi="仿宋" w:eastAsia="仿宋_GB2312"/>
          <w:sz w:val="32"/>
          <w:szCs w:val="32"/>
          <w:lang w:val="en-US" w:eastAsia="zh-CN"/>
        </w:rPr>
        <w:t>697.49</w:t>
      </w:r>
      <w:r>
        <w:rPr>
          <w:rFonts w:hint="eastAsia" w:ascii="仿宋_GB2312" w:hAnsi="仿宋" w:eastAsia="仿宋_GB2312"/>
          <w:sz w:val="32"/>
          <w:szCs w:val="32"/>
        </w:rPr>
        <w:t xml:space="preserve"> 万元，主要包括：基本工资、津贴补贴、奖金、机关事业单位基本养老保险缴费、职业年金缴费、职工基本医疗保险缴费、其他社会保障缴费、住房公积金。</w:t>
      </w:r>
    </w:p>
    <w:p w14:paraId="5167C9CF">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 xml:space="preserve">公用经费支出  </w:t>
      </w:r>
      <w:r>
        <w:rPr>
          <w:rFonts w:hint="eastAsia" w:ascii="仿宋_GB2312" w:hAnsi="仿宋" w:eastAsia="仿宋_GB2312"/>
          <w:sz w:val="32"/>
          <w:szCs w:val="32"/>
          <w:lang w:val="en-US" w:eastAsia="zh-CN"/>
        </w:rPr>
        <w:t>42.4</w:t>
      </w:r>
      <w:r>
        <w:rPr>
          <w:rFonts w:hint="eastAsia" w:ascii="仿宋_GB2312" w:hAnsi="仿宋" w:eastAsia="仿宋_GB2312"/>
          <w:sz w:val="32"/>
          <w:szCs w:val="32"/>
        </w:rPr>
        <w:t xml:space="preserve"> 万元，主要包括：办公费、印刷费、水费、电费、邮电费、取暖费、差旅费、劳务费、工会经费、福利费。</w:t>
      </w:r>
    </w:p>
    <w:p w14:paraId="18DBBAAF">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p>
    <w:p w14:paraId="03657F7A">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bookmarkStart w:id="0" w:name="_GoBack"/>
      <w:bookmarkEnd w:id="0"/>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 xml:space="preserve">年一般公共预算财政拨款项目支出预算 </w:t>
      </w:r>
      <w:r>
        <w:rPr>
          <w:rFonts w:hint="eastAsia" w:ascii="仿宋_GB2312" w:hAnsi="仿宋" w:eastAsia="仿宋_GB2312"/>
          <w:sz w:val="32"/>
          <w:szCs w:val="32"/>
          <w:lang w:val="en-US" w:eastAsia="zh-CN"/>
        </w:rPr>
        <w:t>48.5</w:t>
      </w:r>
      <w:r>
        <w:rPr>
          <w:rFonts w:hint="eastAsia" w:ascii="仿宋_GB2312" w:hAnsi="仿宋" w:eastAsia="仿宋_GB2312"/>
          <w:sz w:val="32"/>
          <w:szCs w:val="32"/>
        </w:rPr>
        <w:t xml:space="preserve"> 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 xml:space="preserve"> 38</w:t>
      </w:r>
      <w:r>
        <w:rPr>
          <w:rFonts w:hint="eastAsia" w:ascii="仿宋_GB2312" w:hAnsi="仿宋" w:eastAsia="仿宋_GB2312"/>
          <w:sz w:val="32"/>
          <w:szCs w:val="32"/>
        </w:rPr>
        <w:t xml:space="preserve"> 万元，增长</w:t>
      </w:r>
      <w:r>
        <w:rPr>
          <w:rFonts w:hint="eastAsia" w:ascii="仿宋_GB2312" w:hAnsi="仿宋" w:eastAsia="仿宋_GB2312"/>
          <w:sz w:val="32"/>
          <w:szCs w:val="32"/>
          <w:lang w:val="en-US" w:eastAsia="zh-CN"/>
        </w:rPr>
        <w:t xml:space="preserve"> 361.9</w:t>
      </w:r>
      <w:r>
        <w:rPr>
          <w:rFonts w:hint="eastAsia" w:ascii="仿宋_GB2312" w:hAnsi="仿宋" w:eastAsia="仿宋_GB2312"/>
          <w:sz w:val="32"/>
          <w:szCs w:val="32"/>
        </w:rPr>
        <w:t xml:space="preserve"> %，增长的主要原因</w:t>
      </w:r>
      <w:r>
        <w:rPr>
          <w:rFonts w:hint="eastAsia" w:ascii="仿宋_GB2312" w:hAnsi="仿宋" w:eastAsia="仿宋_GB2312"/>
          <w:sz w:val="32"/>
          <w:szCs w:val="32"/>
          <w:lang w:eastAsia="zh-CN"/>
        </w:rPr>
        <w:t>是刚性支出项目</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个，主要是项目1</w:t>
      </w:r>
      <w:r>
        <w:rPr>
          <w:rFonts w:hint="eastAsia" w:ascii="仿宋_GB2312" w:hAnsi="仿宋" w:eastAsia="仿宋_GB2312"/>
          <w:sz w:val="32"/>
          <w:szCs w:val="32"/>
          <w:lang w:eastAsia="zh-CN"/>
        </w:rPr>
        <w:t>水质检测费</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F2FDC16">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rPr>
        <w:t>1.社会保障和就业支出202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highlight w:val="none"/>
          <w:lang w:val="en-US" w:eastAsia="zh-CN"/>
        </w:rPr>
        <w:t>111.23</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val="en-US" w:eastAsia="zh-CN"/>
        </w:rPr>
        <w:t>增加11.88</w:t>
      </w:r>
      <w:r>
        <w:rPr>
          <w:rFonts w:hint="eastAsia" w:ascii="仿宋_GB2312" w:hAnsi="TimesNewRomanPS-BoldMT" w:eastAsia="仿宋_GB2312"/>
          <w:bCs/>
          <w:color w:val="000000"/>
          <w:sz w:val="32"/>
          <w:szCs w:val="32"/>
          <w:highlight w:val="none"/>
        </w:rPr>
        <w:t>万元，主要原因是单位人员变动，经费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26B2CC32">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2.卫生健康支出202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622.88</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eastAsia="zh-CN"/>
        </w:rPr>
        <w:t>增加</w:t>
      </w:r>
      <w:r>
        <w:rPr>
          <w:rFonts w:hint="eastAsia" w:ascii="仿宋_GB2312" w:hAnsi="TimesNewRomanPS-BoldMT" w:eastAsia="仿宋_GB2312"/>
          <w:bCs/>
          <w:color w:val="000000"/>
          <w:sz w:val="32"/>
          <w:szCs w:val="32"/>
          <w:highlight w:val="none"/>
          <w:lang w:val="en-US" w:eastAsia="zh-CN"/>
        </w:rPr>
        <w:t>77.33</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val="en-US" w:eastAsia="zh-CN"/>
        </w:rPr>
        <w:t>变动</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eastAsia="zh-CN"/>
        </w:rPr>
        <w:t>增加</w:t>
      </w:r>
      <w:r>
        <w:rPr>
          <w:rFonts w:hint="eastAsia" w:ascii="仿宋_GB2312" w:hAnsi="TimesNewRomanPS-BoldMT" w:eastAsia="仿宋_GB2312"/>
          <w:bCs/>
          <w:color w:val="000000"/>
          <w:sz w:val="32"/>
          <w:szCs w:val="32"/>
          <w:highlight w:val="none"/>
        </w:rPr>
        <w:t>；</w:t>
      </w:r>
    </w:p>
    <w:p w14:paraId="766935FF">
      <w:pPr>
        <w:widowControl/>
        <w:adjustRightInd w:val="0"/>
        <w:snapToGrid w:val="0"/>
        <w:spacing w:line="640" w:lineRule="exact"/>
        <w:ind w:firstLine="640" w:firstLineChars="200"/>
        <w:contextualSpacing/>
        <w:jc w:val="left"/>
        <w:rPr>
          <w:rFonts w:ascii="仿宋_GB2312" w:eastAsia="仿宋_GB2312"/>
          <w:color w:val="000000"/>
          <w:sz w:val="32"/>
          <w:szCs w:val="32"/>
        </w:rPr>
      </w:pPr>
      <w:r>
        <w:rPr>
          <w:rFonts w:hint="eastAsia" w:ascii="仿宋_GB2312" w:hAnsi="TimesNewRomanPS-BoldMT" w:eastAsia="仿宋_GB2312"/>
          <w:bCs/>
          <w:color w:val="000000"/>
          <w:sz w:val="32"/>
          <w:szCs w:val="32"/>
          <w:highlight w:val="none"/>
        </w:rPr>
        <w:t>3.住房保障202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54.28</w:t>
      </w:r>
      <w:r>
        <w:rPr>
          <w:rFonts w:hint="eastAsia" w:ascii="仿宋_GB2312" w:hAnsi="TimesNewRomanPS-BoldMT" w:eastAsia="仿宋_GB2312"/>
          <w:bCs/>
          <w:color w:val="000000"/>
          <w:sz w:val="32"/>
          <w:szCs w:val="32"/>
          <w:highlight w:val="none"/>
        </w:rPr>
        <w:t>万元，</w:t>
      </w:r>
      <w:r>
        <w:rPr>
          <w:rFonts w:hint="eastAsia" w:ascii="仿宋_GB2312" w:hAnsi="TimesNewRomanPS-BoldMT" w:eastAsia="仿宋_GB2312"/>
          <w:bCs/>
          <w:color w:val="000000"/>
          <w:sz w:val="32"/>
          <w:szCs w:val="32"/>
        </w:rPr>
        <w:t>比202</w:t>
      </w:r>
      <w:r>
        <w:rPr>
          <w:rFonts w:hint="eastAsia" w:ascii="仿宋_GB2312" w:hAnsi="TimesNewRomanPS-BoldMT" w:eastAsia="仿宋_GB2312"/>
          <w:bCs/>
          <w:color w:val="000000"/>
          <w:sz w:val="32"/>
          <w:szCs w:val="32"/>
          <w:lang w:val="en-US" w:eastAsia="zh-CN"/>
        </w:rPr>
        <w:t>4</w:t>
      </w:r>
      <w:r>
        <w:rPr>
          <w:rFonts w:hint="eastAsia" w:ascii="仿宋_GB2312" w:hAnsi="TimesNewRomanPS-BoldMT" w:eastAsia="仿宋_GB2312"/>
          <w:bCs/>
          <w:color w:val="000000"/>
          <w:sz w:val="32"/>
          <w:szCs w:val="32"/>
        </w:rPr>
        <w:t>年预算增加</w:t>
      </w:r>
      <w:r>
        <w:rPr>
          <w:rFonts w:hint="eastAsia" w:ascii="仿宋_GB2312" w:hAnsi="TimesNewRomanPS-BoldMT" w:eastAsia="仿宋_GB2312"/>
          <w:bCs/>
          <w:color w:val="000000"/>
          <w:sz w:val="32"/>
          <w:szCs w:val="32"/>
          <w:lang w:val="en-US" w:eastAsia="zh-CN"/>
        </w:rPr>
        <w:t>8.24</w:t>
      </w:r>
      <w:r>
        <w:rPr>
          <w:rFonts w:hint="eastAsia" w:ascii="仿宋_GB2312" w:hAnsi="TimesNewRomanPS-BoldMT" w:eastAsia="仿宋_GB2312"/>
          <w:bCs/>
          <w:color w:val="000000"/>
          <w:sz w:val="32"/>
          <w:szCs w:val="32"/>
        </w:rPr>
        <w:t>万元，主要原因是</w:t>
      </w:r>
      <w:r>
        <w:rPr>
          <w:rFonts w:hint="eastAsia" w:ascii="仿宋_GB2312" w:hAnsi="TimesNewRomanPS-BoldMT" w:eastAsia="仿宋_GB2312"/>
          <w:bCs/>
          <w:color w:val="000000"/>
          <w:sz w:val="32"/>
          <w:szCs w:val="32"/>
          <w:lang w:val="en-US" w:eastAsia="zh-CN"/>
        </w:rPr>
        <w:t>单位人员变动，经费增加</w:t>
      </w:r>
      <w:r>
        <w:rPr>
          <w:rFonts w:hint="eastAsia" w:ascii="仿宋_GB2312" w:hAnsi="TimesNewRomanPS-BoldMT" w:eastAsia="仿宋_GB2312"/>
          <w:bCs/>
          <w:color w:val="000000"/>
          <w:sz w:val="32"/>
          <w:szCs w:val="32"/>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11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0.3</w:t>
      </w:r>
      <w:r>
        <w:rPr>
          <w:rFonts w:hint="eastAsia" w:ascii="仿宋_GB2312" w:hAnsi="仿宋" w:eastAsia="仿宋_GB2312"/>
          <w:sz w:val="32"/>
          <w:szCs w:val="32"/>
        </w:rPr>
        <w:t>万元。</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 xml:space="preserve"> 1</w:t>
      </w:r>
      <w:r>
        <w:rPr>
          <w:rFonts w:hint="eastAsia" w:ascii="仿宋_GB2312" w:hAnsi="仿宋" w:eastAsia="仿宋_GB2312"/>
          <w:sz w:val="32"/>
          <w:szCs w:val="32"/>
        </w:rPr>
        <w:t>.公务用车购置及运行维护费</w:t>
      </w:r>
      <w:r>
        <w:rPr>
          <w:rFonts w:hint="eastAsia" w:ascii="仿宋_GB2312" w:hAnsi="仿宋" w:eastAsia="仿宋_GB2312"/>
          <w:sz w:val="32"/>
          <w:szCs w:val="32"/>
          <w:lang w:val="en-US" w:eastAsia="zh-CN"/>
        </w:rPr>
        <w:t>11</w:t>
      </w:r>
      <w:r>
        <w:rPr>
          <w:rFonts w:hint="eastAsia" w:ascii="仿宋_GB2312" w:hAnsi="仿宋" w:eastAsia="仿宋_GB2312"/>
          <w:sz w:val="32"/>
          <w:szCs w:val="32"/>
        </w:rPr>
        <w:t xml:space="preserve">万元（其中：公务用车购置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万元，公务用车运行维护费 </w:t>
      </w:r>
      <w:r>
        <w:rPr>
          <w:rFonts w:hint="eastAsia" w:ascii="仿宋_GB2312" w:hAnsi="仿宋" w:eastAsia="仿宋_GB2312"/>
          <w:sz w:val="32"/>
          <w:szCs w:val="32"/>
          <w:lang w:val="en-US" w:eastAsia="zh-CN"/>
        </w:rPr>
        <w:t>11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0.3</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2.65</w:t>
      </w:r>
      <w:r>
        <w:rPr>
          <w:rFonts w:hint="eastAsia" w:ascii="仿宋_GB2312" w:hAnsi="仿宋" w:eastAsia="仿宋_GB2312"/>
          <w:sz w:val="32"/>
          <w:szCs w:val="32"/>
        </w:rPr>
        <w:t>%，增长（下降）的主要原因是经费正常缩减。</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2B14E379">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未安排预算，政府性基金预算支出情况表为空表</w:t>
      </w:r>
      <w:r>
        <w:rPr>
          <w:rFonts w:hint="eastAsia" w:ascii="仿宋_GB2312" w:hAnsi="仿宋" w:eastAsia="仿宋_GB2312"/>
          <w:sz w:val="32"/>
          <w:szCs w:val="32"/>
          <w:lang w:eastAsia="zh-CN"/>
        </w:rPr>
        <w:t>。</w:t>
      </w:r>
    </w:p>
    <w:p w14:paraId="792B6F08">
      <w:pPr>
        <w:widowControl/>
        <w:adjustRightInd w:val="0"/>
        <w:snapToGrid w:val="0"/>
        <w:spacing w:line="640" w:lineRule="exact"/>
        <w:ind w:firstLine="643" w:firstLineChars="200"/>
        <w:contextualSpacing/>
        <w:jc w:val="left"/>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15DB1A4F">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华池县疾病预防控制中心2025</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lang w:eastAsia="zh-CN"/>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2F7D6A9">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lang w:eastAsia="zh-CN"/>
        </w:rPr>
        <w:t>华池县疾病预防控制中心</w:t>
      </w:r>
      <w:r>
        <w:rPr>
          <w:rFonts w:hint="eastAsia" w:ascii="仿宋_GB2312" w:hAnsi="仿宋" w:eastAsia="仿宋_GB2312"/>
          <w:sz w:val="32"/>
          <w:szCs w:val="32"/>
        </w:rPr>
        <w:t>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7061121">
      <w:pPr>
        <w:adjustRightInd w:val="0"/>
        <w:snapToGrid w:val="0"/>
        <w:spacing w:line="640" w:lineRule="exact"/>
        <w:ind w:left="638" w:leftChars="304" w:firstLine="0" w:firstLineChars="0"/>
        <w:contextualSpacing/>
        <w:rPr>
          <w:rFonts w:ascii="楷体_GB2312" w:hAnsi="楷体" w:eastAsia="楷体_GB2312" w:cs="宋体"/>
          <w:b/>
          <w:bCs/>
          <w:kern w:val="0"/>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华池县疾病预防控制中心</w:t>
      </w:r>
      <w:r>
        <w:rPr>
          <w:rFonts w:hint="eastAsia" w:ascii="仿宋_GB2312" w:hAnsi="仿宋" w:eastAsia="仿宋_GB2312"/>
          <w:sz w:val="32"/>
          <w:szCs w:val="32"/>
        </w:rPr>
        <w:t>管理转移支付表为空表。</w:t>
      </w:r>
      <w:r>
        <w:rPr>
          <w:rFonts w:hint="eastAsia" w:ascii="楷体_GB2312" w:hAnsi="楷体" w:eastAsia="楷体_GB2312" w:cs="宋体"/>
          <w:b/>
          <w:bCs/>
          <w:kern w:val="0"/>
          <w:sz w:val="32"/>
          <w:szCs w:val="32"/>
        </w:rPr>
        <w:t>（五）国有资本经营预算支出情况</w:t>
      </w:r>
    </w:p>
    <w:p w14:paraId="0AAB7FB2">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 xml:space="preserve">整体支出和项目绩效目标 </w:t>
      </w:r>
      <w:r>
        <w:rPr>
          <w:rFonts w:hint="eastAsia" w:ascii="仿宋_GB2312" w:hAnsi="仿宋" w:eastAsia="仿宋_GB2312"/>
          <w:sz w:val="32"/>
          <w:szCs w:val="32"/>
          <w:lang w:val="en-US" w:eastAsia="zh-CN"/>
        </w:rPr>
        <w:t>3</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2</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hint="eastAsia" w:ascii="仿宋_GB2312" w:hAnsi="仿宋" w:eastAsia="仿宋_GB2312"/>
          <w:sz w:val="32"/>
          <w:szCs w:val="32"/>
          <w:lang w:eastAsia="zh-CN"/>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年度增加部门预算项目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个，增长率</w:t>
      </w:r>
      <w:r>
        <w:rPr>
          <w:rFonts w:hint="eastAsia" w:ascii="仿宋_GB2312" w:hAnsi="仿宋" w:eastAsia="仿宋_GB2312"/>
          <w:sz w:val="32"/>
          <w:szCs w:val="32"/>
          <w:lang w:val="en-US" w:eastAsia="zh-CN"/>
        </w:rPr>
        <w:t>50</w:t>
      </w:r>
      <w:r>
        <w:rPr>
          <w:rFonts w:hint="eastAsia" w:ascii="仿宋_GB2312" w:hAnsi="仿宋" w:eastAsia="仿宋_GB2312"/>
          <w:sz w:val="32"/>
          <w:szCs w:val="32"/>
        </w:rPr>
        <w:t>%。</w:t>
      </w:r>
      <w:r>
        <w:rPr>
          <w:rFonts w:hint="eastAsia" w:ascii="仿宋_GB2312" w:hAnsi="仿宋" w:eastAsia="仿宋_GB2312"/>
          <w:sz w:val="32"/>
          <w:szCs w:val="32"/>
          <w:lang w:val="en-US" w:eastAsia="zh-CN"/>
        </w:rPr>
        <w:t xml:space="preserve"> </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16</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3563E5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334EA110">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31C9A7FD">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华池县疾病预防控制中心</w:t>
      </w:r>
    </w:p>
    <w:p w14:paraId="104DAE91">
      <w:pPr>
        <w:adjustRightInd w:val="0"/>
        <w:snapToGrid w:val="0"/>
        <w:spacing w:line="640" w:lineRule="exact"/>
        <w:ind w:firstLine="640" w:firstLineChars="200"/>
        <w:contextualSpacing/>
        <w:rPr>
          <w:rFonts w:hint="eastAsia" w:ascii="仿宋_GB2312" w:hAnsi="CIDFont+F6" w:eastAsia="仿宋_GB2312"/>
          <w:color w:val="000000"/>
          <w:sz w:val="32"/>
          <w:szCs w:val="32"/>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 xml:space="preserve">年 </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 xml:space="preserve"> 月 </w:t>
      </w:r>
      <w:r>
        <w:rPr>
          <w:rFonts w:hint="eastAsia" w:ascii="仿宋_GB2312" w:hAnsi="CIDFont+F6" w:eastAsia="仿宋_GB2312"/>
          <w:color w:val="000000"/>
          <w:sz w:val="32"/>
          <w:szCs w:val="32"/>
          <w:lang w:val="en-US" w:eastAsia="zh-CN"/>
        </w:rPr>
        <w:t>10</w:t>
      </w:r>
      <w:r>
        <w:rPr>
          <w:rFonts w:hint="eastAsia" w:ascii="仿宋_GB2312" w:hAnsi="CIDFont+F6" w:eastAsia="仿宋_GB2312"/>
          <w:color w:val="000000"/>
          <w:sz w:val="32"/>
          <w:szCs w:val="32"/>
        </w:rPr>
        <w:t xml:space="preserve"> 日</w:t>
      </w:r>
    </w:p>
    <w:p w14:paraId="10B3B54D">
      <w:pPr>
        <w:adjustRightInd w:val="0"/>
        <w:snapToGrid w:val="0"/>
        <w:spacing w:line="640" w:lineRule="exact"/>
        <w:ind w:firstLine="640" w:firstLineChars="200"/>
        <w:contextualSpacing/>
        <w:rPr>
          <w:rFonts w:hint="eastAsia" w:ascii="仿宋_GB2312" w:hAnsi="CIDFont+F6" w:eastAsia="仿宋_GB2312"/>
          <w:color w:val="000000"/>
          <w:sz w:val="32"/>
          <w:szCs w:val="32"/>
          <w:lang w:eastAsia="zh-CN"/>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华池县疾病预防控制中心</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22DB4760">
      <w:pPr>
        <w:adjustRightInd w:val="0"/>
        <w:snapToGrid w:val="0"/>
        <w:spacing w:line="640" w:lineRule="exact"/>
        <w:ind w:left="1796" w:leftChars="767" w:hanging="185" w:hangingChars="58"/>
        <w:contextualSpacing/>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华池县疾病预防控制中心</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76D15CF"/>
    <w:rsid w:val="08CC0577"/>
    <w:rsid w:val="113741D2"/>
    <w:rsid w:val="18330BA7"/>
    <w:rsid w:val="1D34261E"/>
    <w:rsid w:val="20B8190A"/>
    <w:rsid w:val="2EDF4AF6"/>
    <w:rsid w:val="307F6C86"/>
    <w:rsid w:val="379D4807"/>
    <w:rsid w:val="3A1439A9"/>
    <w:rsid w:val="3EB05C6A"/>
    <w:rsid w:val="42A05423"/>
    <w:rsid w:val="49D46CB0"/>
    <w:rsid w:val="4C433C79"/>
    <w:rsid w:val="4F5F526E"/>
    <w:rsid w:val="527E074E"/>
    <w:rsid w:val="554051FA"/>
    <w:rsid w:val="56393C72"/>
    <w:rsid w:val="579503FF"/>
    <w:rsid w:val="60535296"/>
    <w:rsid w:val="60E45767"/>
    <w:rsid w:val="624D0F56"/>
    <w:rsid w:val="66B65306"/>
    <w:rsid w:val="6AFD0380"/>
    <w:rsid w:val="6EC036E7"/>
    <w:rsid w:val="7121017E"/>
    <w:rsid w:val="72FD2525"/>
    <w:rsid w:val="77AB69F3"/>
    <w:rsid w:val="77B75398"/>
    <w:rsid w:val="78034139"/>
    <w:rsid w:val="78106856"/>
    <w:rsid w:val="78CA10FB"/>
    <w:rsid w:val="7F875650"/>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4176</Words>
  <Characters>4448</Characters>
  <Lines>68</Lines>
  <Paragraphs>19</Paragraphs>
  <TotalTime>23</TotalTime>
  <ScaleCrop>false</ScaleCrop>
  <LinksUpToDate>false</LinksUpToDate>
  <CharactersWithSpaces>4525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花落丶听雨丿孤</cp:lastModifiedBy>
  <cp:lastPrinted>2022-02-15T15:45:00Z</cp:lastPrinted>
  <dcterms:modified xsi:type="dcterms:W3CDTF">2026-03-13T01:14:13Z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eyJoZGlkIjoiZjE4NjE2N2RiMGQ2MmYzNTc3ZDAwMGRjOWZkZDg4MWIiLCJ1c2VySWQiOiIyMjQ3MzAxNjAifQ==</vt:lpwstr>
  </property>
</Properties>
</file>