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170BE9BE">
      <w:pPr>
        <w:spacing w:line="660" w:lineRule="exact"/>
        <w:jc w:val="center"/>
        <w:rPr>
          <w:rFonts w:hint="default" w:ascii="宋体" w:hAnsi="宋体" w:eastAsia="宋体" w:cs="宋体"/>
          <w:b/>
          <w:bCs/>
          <w:kern w:val="0"/>
          <w:sz w:val="44"/>
          <w:szCs w:val="44"/>
          <w:lang w:val="en-US" w:eastAsia="zh-CN"/>
        </w:rPr>
      </w:pPr>
      <w:r>
        <w:rPr>
          <w:rFonts w:hint="eastAsia" w:ascii="宋体" w:hAnsi="宋体" w:cs="宋体"/>
          <w:b/>
          <w:bCs/>
          <w:kern w:val="0"/>
          <w:sz w:val="44"/>
          <w:szCs w:val="44"/>
          <w:lang w:val="en-US" w:eastAsia="zh-CN"/>
        </w:rPr>
        <w:t>华池县应急管理局</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年部门预算公开情况说明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一、单位职责</w:t>
      </w:r>
    </w:p>
    <w:p w14:paraId="490C5B6A">
      <w:pPr>
        <w:spacing w:line="600" w:lineRule="exact"/>
        <w:ind w:firstLine="640" w:firstLineChars="200"/>
        <w:rPr>
          <w:rFonts w:ascii="仿宋_GB2312" w:hAnsi="仿宋" w:eastAsia="仿宋_GB2312" w:cs="宋体"/>
          <w:kern w:val="0"/>
          <w:sz w:val="32"/>
          <w:szCs w:val="32"/>
        </w:rPr>
      </w:pPr>
      <w:r>
        <w:rPr>
          <w:rFonts w:hint="eastAsia" w:ascii="仿宋_GB2312" w:hAnsi="仿宋_GB2312" w:eastAsia="仿宋_GB2312" w:cs="仿宋_GB2312"/>
          <w:b w:val="0"/>
          <w:bCs w:val="0"/>
          <w:kern w:val="0"/>
          <w:sz w:val="32"/>
          <w:szCs w:val="32"/>
        </w:rPr>
        <w:t>按照《华池县应急管理局职能配置、内设机构和人员编制规定》，县应急管理局主要承担安全生产综合监督管理和非煤矿山、危险化学品、烟花爆竹、工矿商贸行业安全生产监督管理职责，负责消防、应急管理工作和自然灾害救治综合工作。同时，承担“四部两委”（森林草原防灭火指挥部、防汛抗旱指挥部、抗震救灾指挥部、地质灾害应急指挥部、</w:t>
      </w:r>
      <w:r>
        <w:rPr>
          <w:rFonts w:hint="eastAsia" w:ascii="仿宋_GB2312" w:hAnsi="仿宋_GB2312" w:eastAsia="仿宋_GB2312" w:cs="仿宋_GB2312"/>
          <w:b w:val="0"/>
          <w:bCs w:val="0"/>
          <w:kern w:val="0"/>
          <w:sz w:val="32"/>
          <w:szCs w:val="32"/>
          <w:lang w:val="en-US" w:eastAsia="zh-CN"/>
        </w:rPr>
        <w:t>防灾</w:t>
      </w:r>
      <w:r>
        <w:rPr>
          <w:rFonts w:hint="eastAsia" w:ascii="仿宋_GB2312" w:hAnsi="仿宋_GB2312" w:eastAsia="仿宋_GB2312" w:cs="仿宋_GB2312"/>
          <w:b w:val="0"/>
          <w:bCs w:val="0"/>
          <w:kern w:val="0"/>
          <w:sz w:val="32"/>
          <w:szCs w:val="32"/>
        </w:rPr>
        <w:t>减灾</w:t>
      </w:r>
      <w:r>
        <w:rPr>
          <w:rFonts w:hint="eastAsia" w:ascii="仿宋_GB2312" w:hAnsi="仿宋_GB2312" w:eastAsia="仿宋_GB2312" w:cs="仿宋_GB2312"/>
          <w:b w:val="0"/>
          <w:bCs w:val="0"/>
          <w:kern w:val="0"/>
          <w:sz w:val="32"/>
          <w:szCs w:val="32"/>
          <w:lang w:val="en-US" w:eastAsia="zh-CN"/>
        </w:rPr>
        <w:t>救灾</w:t>
      </w:r>
      <w:r>
        <w:rPr>
          <w:rFonts w:hint="eastAsia" w:ascii="仿宋_GB2312" w:hAnsi="仿宋_GB2312" w:eastAsia="仿宋_GB2312" w:cs="仿宋_GB2312"/>
          <w:b w:val="0"/>
          <w:bCs w:val="0"/>
          <w:kern w:val="0"/>
          <w:sz w:val="32"/>
          <w:szCs w:val="32"/>
        </w:rPr>
        <w:t>委员会、安全生产委员会）及各办公室工作职责。</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7EE9E8BC">
      <w:pPr>
        <w:spacing w:line="600" w:lineRule="exact"/>
        <w:ind w:firstLine="640" w:firstLineChars="200"/>
        <w:rPr>
          <w:rFonts w:ascii="仿宋_GB2312" w:hAnsi="仿宋" w:eastAsia="仿宋_GB2312" w:cs="宋体"/>
          <w:kern w:val="0"/>
          <w:sz w:val="32"/>
          <w:szCs w:val="32"/>
        </w:rPr>
      </w:pPr>
      <w:r>
        <w:rPr>
          <w:rFonts w:hint="eastAsia" w:ascii="仿宋_GB2312" w:hAnsi="仿宋_GB2312" w:eastAsia="仿宋_GB2312" w:cs="仿宋_GB2312"/>
          <w:b w:val="0"/>
          <w:bCs w:val="0"/>
          <w:kern w:val="0"/>
          <w:sz w:val="32"/>
          <w:szCs w:val="32"/>
        </w:rPr>
        <w:t>县应急管理局为县政府组成部门，局机关内设办公室、综合协调</w:t>
      </w:r>
      <w:r>
        <w:rPr>
          <w:rFonts w:hint="eastAsia" w:ascii="仿宋_GB2312" w:hAnsi="仿宋_GB2312" w:eastAsia="仿宋_GB2312" w:cs="仿宋_GB2312"/>
          <w:b w:val="0"/>
          <w:bCs w:val="0"/>
          <w:color w:val="000000" w:themeColor="text1"/>
          <w:kern w:val="0"/>
          <w:sz w:val="32"/>
          <w:szCs w:val="32"/>
          <w14:textFill>
            <w14:solidFill>
              <w14:schemeClr w14:val="tx1"/>
            </w14:solidFill>
          </w14:textFill>
        </w:rPr>
        <w:t>股、防灾减灾</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救灾</w:t>
      </w:r>
      <w:r>
        <w:rPr>
          <w:rFonts w:hint="eastAsia" w:ascii="仿宋_GB2312" w:hAnsi="仿宋_GB2312" w:eastAsia="仿宋_GB2312" w:cs="仿宋_GB2312"/>
          <w:b w:val="0"/>
          <w:bCs w:val="0"/>
          <w:color w:val="000000" w:themeColor="text1"/>
          <w:kern w:val="0"/>
          <w:sz w:val="32"/>
          <w:szCs w:val="32"/>
          <w14:textFill>
            <w14:solidFill>
              <w14:schemeClr w14:val="tx1"/>
            </w14:solidFill>
          </w14:textFill>
        </w:rPr>
        <w:t>股、</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水火防治股、</w:t>
      </w:r>
      <w:r>
        <w:rPr>
          <w:rFonts w:hint="eastAsia" w:ascii="仿宋_GB2312" w:hAnsi="仿宋_GB2312" w:eastAsia="仿宋_GB2312" w:cs="仿宋_GB2312"/>
          <w:b w:val="0"/>
          <w:bCs w:val="0"/>
          <w:color w:val="000000" w:themeColor="text1"/>
          <w:kern w:val="0"/>
          <w:sz w:val="32"/>
          <w:szCs w:val="32"/>
          <w14:textFill>
            <w14:solidFill>
              <w14:schemeClr w14:val="tx1"/>
            </w14:solidFill>
          </w14:textFill>
        </w:rPr>
        <w:t>非煤股、危化股</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执法一股、执法二股8</w:t>
      </w:r>
      <w:r>
        <w:rPr>
          <w:rFonts w:hint="eastAsia" w:ascii="仿宋_GB2312" w:hAnsi="仿宋_GB2312" w:eastAsia="仿宋_GB2312" w:cs="仿宋_GB2312"/>
          <w:b w:val="0"/>
          <w:bCs w:val="0"/>
          <w:color w:val="000000" w:themeColor="text1"/>
          <w:kern w:val="0"/>
          <w:sz w:val="32"/>
          <w:szCs w:val="32"/>
          <w14:textFill>
            <w14:solidFill>
              <w14:schemeClr w14:val="tx1"/>
            </w14:solidFill>
          </w14:textFill>
        </w:rPr>
        <w:t>个股室，现有干部职工</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29</w:t>
      </w:r>
      <w:r>
        <w:rPr>
          <w:rFonts w:hint="eastAsia" w:ascii="仿宋_GB2312" w:hAnsi="仿宋_GB2312" w:eastAsia="仿宋_GB2312" w:cs="仿宋_GB2312"/>
          <w:b w:val="0"/>
          <w:bCs w:val="0"/>
          <w:color w:val="000000" w:themeColor="text1"/>
          <w:kern w:val="0"/>
          <w:sz w:val="32"/>
          <w:szCs w:val="32"/>
          <w14:textFill>
            <w14:solidFill>
              <w14:schemeClr w14:val="tx1"/>
            </w14:solidFill>
          </w14:textFill>
        </w:rPr>
        <w:t>人（其中，班子成员</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3</w:t>
      </w:r>
      <w:r>
        <w:rPr>
          <w:rFonts w:hint="eastAsia" w:ascii="仿宋_GB2312" w:hAnsi="仿宋_GB2312" w:eastAsia="仿宋_GB2312" w:cs="仿宋_GB2312"/>
          <w:b w:val="0"/>
          <w:bCs w:val="0"/>
          <w:color w:val="000000" w:themeColor="text1"/>
          <w:kern w:val="0"/>
          <w:sz w:val="32"/>
          <w:szCs w:val="32"/>
          <w14:textFill>
            <w14:solidFill>
              <w14:schemeClr w14:val="tx1"/>
            </w14:solidFill>
          </w14:textFill>
        </w:rPr>
        <w:t>名，其他科级干部</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3</w:t>
      </w:r>
      <w:r>
        <w:rPr>
          <w:rFonts w:hint="eastAsia" w:ascii="仿宋_GB2312" w:hAnsi="仿宋_GB2312" w:eastAsia="仿宋_GB2312" w:cs="仿宋_GB2312"/>
          <w:b w:val="0"/>
          <w:bCs w:val="0"/>
          <w:color w:val="000000" w:themeColor="text1"/>
          <w:kern w:val="0"/>
          <w:sz w:val="32"/>
          <w:szCs w:val="32"/>
          <w14:textFill>
            <w14:solidFill>
              <w14:schemeClr w14:val="tx1"/>
            </w14:solidFill>
          </w14:textFill>
        </w:rPr>
        <w:t>名，一般干部</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20</w:t>
      </w:r>
      <w:r>
        <w:rPr>
          <w:rFonts w:hint="eastAsia" w:ascii="仿宋_GB2312" w:hAnsi="仿宋_GB2312" w:eastAsia="仿宋_GB2312" w:cs="仿宋_GB2312"/>
          <w:b w:val="0"/>
          <w:bCs w:val="0"/>
          <w:color w:val="000000" w:themeColor="text1"/>
          <w:kern w:val="0"/>
          <w:sz w:val="32"/>
          <w:szCs w:val="32"/>
          <w14:textFill>
            <w14:solidFill>
              <w14:schemeClr w14:val="tx1"/>
            </w14:solidFill>
          </w14:textFill>
        </w:rPr>
        <w:t>名，工勤人员</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3</w:t>
      </w:r>
      <w:r>
        <w:rPr>
          <w:rFonts w:hint="eastAsia" w:ascii="仿宋_GB2312" w:hAnsi="仿宋_GB2312" w:eastAsia="仿宋_GB2312" w:cs="仿宋_GB2312"/>
          <w:b w:val="0"/>
          <w:bCs w:val="0"/>
          <w:color w:val="000000" w:themeColor="text1"/>
          <w:kern w:val="0"/>
          <w:sz w:val="32"/>
          <w:szCs w:val="32"/>
          <w14:textFill>
            <w14:solidFill>
              <w14:schemeClr w14:val="tx1"/>
            </w14:solidFill>
          </w14:textFill>
        </w:rPr>
        <w:t>名）。</w:t>
      </w:r>
    </w:p>
    <w:p w14:paraId="1A18BC42">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w:t>
      </w:r>
      <w:r>
        <w:rPr>
          <w:rFonts w:hint="eastAsia" w:ascii="楷体_GB2312" w:hAnsi="楷体" w:eastAsia="楷体_GB2312" w:cs="宋体"/>
          <w:b/>
          <w:bCs/>
          <w:kern w:val="0"/>
          <w:sz w:val="32"/>
          <w:szCs w:val="32"/>
          <w:lang w:val="en-US" w:eastAsia="zh-CN"/>
        </w:rPr>
        <w:t>二</w:t>
      </w:r>
      <w:r>
        <w:rPr>
          <w:rFonts w:hint="eastAsia" w:ascii="楷体_GB2312" w:hAnsi="楷体" w:eastAsia="楷体_GB2312" w:cs="宋体"/>
          <w:b/>
          <w:bCs/>
          <w:kern w:val="0"/>
          <w:sz w:val="32"/>
          <w:szCs w:val="32"/>
        </w:rPr>
        <w:t>）直属事业单位</w:t>
      </w:r>
    </w:p>
    <w:p w14:paraId="4C787B0B">
      <w:pPr>
        <w:spacing w:line="600" w:lineRule="exact"/>
        <w:ind w:firstLine="640" w:firstLineChars="200"/>
        <w:rPr>
          <w:rFonts w:ascii="仿宋_GB2312" w:hAnsi="仿宋" w:eastAsia="仿宋_GB2312" w:cs="宋体"/>
          <w:kern w:val="0"/>
          <w:sz w:val="32"/>
          <w:szCs w:val="32"/>
        </w:rPr>
      </w:pPr>
      <w:r>
        <w:rPr>
          <w:rFonts w:hint="eastAsia" w:ascii="仿宋_GB2312" w:hAnsi="仿宋_GB2312" w:eastAsia="仿宋_GB2312" w:cs="仿宋_GB2312"/>
          <w:b w:val="0"/>
          <w:bCs w:val="0"/>
          <w:kern w:val="0"/>
          <w:sz w:val="32"/>
          <w:szCs w:val="32"/>
        </w:rPr>
        <w:t>华池县抗旱防汛指挥部办公室，核定事业编制3名，主要职责是组织协调水旱灾害应急救援工作，协调指导全县实施防御洪水抗御旱灾调度和应急水量调度工作，组织指导洪涝灾害救援工作。</w:t>
      </w:r>
      <w:r>
        <w:rPr>
          <w:rFonts w:hint="eastAsia" w:ascii="仿宋_GB2312" w:hAnsi="仿宋_GB2312" w:eastAsia="仿宋_GB2312" w:cs="仿宋_GB2312"/>
          <w:b w:val="0"/>
          <w:bCs w:val="0"/>
          <w:kern w:val="0"/>
          <w:sz w:val="32"/>
          <w:szCs w:val="32"/>
        </w:rPr>
        <w:br w:type="textWrapping"/>
      </w:r>
      <w:r>
        <w:rPr>
          <w:rFonts w:hint="eastAsia" w:ascii="仿宋_GB2312" w:hAnsi="仿宋_GB2312" w:eastAsia="仿宋_GB2312" w:cs="仿宋_GB2312"/>
          <w:b w:val="0"/>
          <w:bCs w:val="0"/>
          <w:kern w:val="0"/>
          <w:sz w:val="32"/>
          <w:szCs w:val="32"/>
          <w:lang w:val="en-US" w:eastAsia="zh-CN"/>
        </w:rPr>
        <w:t xml:space="preserve">    </w:t>
      </w:r>
      <w:r>
        <w:rPr>
          <w:rFonts w:hint="eastAsia" w:ascii="仿宋_GB2312" w:hAnsi="仿宋_GB2312" w:eastAsia="仿宋_GB2312" w:cs="仿宋_GB2312"/>
          <w:b w:val="0"/>
          <w:bCs w:val="0"/>
          <w:kern w:val="0"/>
          <w:sz w:val="32"/>
          <w:szCs w:val="32"/>
        </w:rPr>
        <w:t>华池县防震减灾中心，核定事业编制2名，主要职责是宣传贯彻国家、省防震减灾有关法律法规，落实全县防震减灾工作任务，会同有关部门开展灾情监测预测，配合行政主管部门做好防震减灾应急预案制定、灾情评估、灾害程度划分等工作。</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618.35</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618.35</w:t>
      </w:r>
      <w:r>
        <w:rPr>
          <w:rFonts w:hint="eastAsia" w:ascii="仿宋_GB2312" w:hAnsi="仿宋" w:eastAsia="仿宋_GB2312"/>
          <w:sz w:val="32"/>
          <w:szCs w:val="32"/>
        </w:rPr>
        <w:t>万元（详见部门/单位预算公开表1,2）。包括：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618.35</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6DC38958">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 xml:space="preserve">政府性基金预算收入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ABC9C50">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06AE385C">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 xml:space="preserve">其他收入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45038EB">
      <w:pPr>
        <w:widowControl/>
        <w:spacing w:line="560" w:lineRule="exact"/>
        <w:ind w:firstLine="640" w:firstLineChars="200"/>
        <w:jc w:val="left"/>
        <w:rPr>
          <w:rFonts w:ascii="仿宋_GB2312" w:hAnsi="仿宋" w:eastAsia="仿宋_GB2312"/>
          <w:sz w:val="32"/>
          <w:szCs w:val="32"/>
        </w:rPr>
      </w:pP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618.35</w:t>
      </w:r>
      <w:r>
        <w:rPr>
          <w:rFonts w:hint="eastAsia" w:ascii="仿宋_GB2312" w:hAnsi="仿宋" w:eastAsia="仿宋_GB2312"/>
          <w:sz w:val="32"/>
          <w:szCs w:val="32"/>
        </w:rPr>
        <w:t>万元（详见部门/单位预算公开表3）。</w:t>
      </w:r>
      <w:r>
        <w:rPr>
          <w:rStyle w:val="20"/>
          <w:rFonts w:hint="default" w:hAnsi="仿宋"/>
        </w:rPr>
        <w:t>其中：基本支出</w:t>
      </w:r>
      <w:r>
        <w:rPr>
          <w:rStyle w:val="21"/>
          <w:rFonts w:hint="eastAsia" w:ascii="仿宋_GB2312" w:hAnsi="仿宋" w:eastAsia="仿宋_GB2312"/>
        </w:rPr>
        <w:t xml:space="preserve"> </w:t>
      </w:r>
      <w:r>
        <w:rPr>
          <w:rStyle w:val="21"/>
          <w:rFonts w:hint="eastAsia" w:ascii="仿宋_GB2312" w:hAnsi="仿宋" w:eastAsia="仿宋_GB2312"/>
          <w:lang w:val="en-US" w:eastAsia="zh-CN"/>
        </w:rPr>
        <w:t>462.25</w:t>
      </w:r>
      <w:r>
        <w:rPr>
          <w:rStyle w:val="20"/>
          <w:rFonts w:hint="default" w:hAnsi="仿宋"/>
        </w:rPr>
        <w:t xml:space="preserve">万元， 占 </w:t>
      </w:r>
      <w:r>
        <w:rPr>
          <w:rStyle w:val="21"/>
          <w:rFonts w:hint="eastAsia" w:ascii="仿宋_GB2312" w:hAnsi="仿宋" w:eastAsia="仿宋_GB2312"/>
          <w:lang w:val="en-US" w:eastAsia="zh-CN"/>
        </w:rPr>
        <w:t>74.76</w:t>
      </w:r>
      <w:r>
        <w:rPr>
          <w:rStyle w:val="21"/>
          <w:rFonts w:hint="eastAsia" w:ascii="仿宋_GB2312" w:hAnsi="仿宋" w:eastAsia="仿宋_GB2312"/>
        </w:rPr>
        <w:t xml:space="preserve"> %</w:t>
      </w:r>
      <w:r>
        <w:rPr>
          <w:rStyle w:val="20"/>
          <w:rFonts w:hint="default" w:hAnsi="仿宋"/>
        </w:rPr>
        <w:t xml:space="preserve">； 项目支出 </w:t>
      </w:r>
      <w:r>
        <w:rPr>
          <w:rStyle w:val="21"/>
          <w:rFonts w:hint="eastAsia" w:ascii="仿宋_GB2312" w:hAnsi="仿宋" w:eastAsia="仿宋_GB2312"/>
          <w:lang w:val="en-US" w:eastAsia="zh-CN"/>
        </w:rPr>
        <w:t>156.1</w:t>
      </w:r>
      <w:r>
        <w:rPr>
          <w:rStyle w:val="20"/>
          <w:rFonts w:hint="default" w:hAnsi="仿宋"/>
        </w:rPr>
        <w:t>万元，占</w:t>
      </w:r>
      <w:r>
        <w:rPr>
          <w:rStyle w:val="21"/>
          <w:rFonts w:hint="eastAsia" w:ascii="仿宋_GB2312" w:hAnsi="仿宋" w:eastAsia="仿宋_GB2312"/>
          <w:lang w:val="en-US" w:eastAsia="zh-CN"/>
        </w:rPr>
        <w:t>25.24</w:t>
      </w:r>
      <w:r>
        <w:rPr>
          <w:rStyle w:val="21"/>
          <w:rFonts w:hint="eastAsia" w:ascii="仿宋_GB2312" w:hAnsi="仿宋" w:eastAsia="仿宋_GB2312"/>
        </w:rPr>
        <w:t xml:space="preserve"> %</w:t>
      </w:r>
      <w:r>
        <w:rPr>
          <w:rStyle w:val="21"/>
          <w:rFonts w:hint="eastAsia" w:ascii="仿宋_GB2312" w:hAnsi="仿宋" w:eastAsia="仿宋_GB2312"/>
          <w:lang w:eastAsia="zh-CN"/>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1"/>
          <w:rFonts w:hint="eastAsia" w:ascii="仿宋_GB2312" w:hAnsi="仿宋" w:eastAsia="仿宋_GB2312"/>
          <w:lang w:eastAsia="zh-CN"/>
        </w:rPr>
        <w:t>202</w:t>
      </w:r>
      <w:r>
        <w:rPr>
          <w:rStyle w:val="21"/>
          <w:rFonts w:hint="default" w:ascii="仿宋_GB2312" w:hAnsi="仿宋" w:eastAsia="仿宋_GB2312"/>
          <w:lang w:val="en-US" w:eastAsia="zh-CN"/>
        </w:rPr>
        <w:t>6</w:t>
      </w:r>
      <w:r>
        <w:rPr>
          <w:rStyle w:val="20"/>
          <w:rFonts w:hint="default" w:hAnsi="仿宋"/>
        </w:rPr>
        <w:t>年一般公共预算当年支出</w:t>
      </w:r>
      <w:r>
        <w:rPr>
          <w:rStyle w:val="21"/>
          <w:rFonts w:hint="eastAsia" w:ascii="仿宋_GB2312" w:hAnsi="仿宋" w:eastAsia="仿宋_GB2312"/>
          <w:lang w:val="en-US" w:eastAsia="zh-CN"/>
        </w:rPr>
        <w:t>618.35</w:t>
      </w:r>
      <w:r>
        <w:rPr>
          <w:rStyle w:val="20"/>
          <w:rFonts w:hint="default" w:hAnsi="仿宋"/>
        </w:rPr>
        <w:t>万元，包括：社会保障和就业支出</w:t>
      </w:r>
      <w:r>
        <w:rPr>
          <w:rStyle w:val="21"/>
          <w:rFonts w:hint="eastAsia" w:ascii="仿宋_GB2312" w:hAnsi="仿宋" w:eastAsia="仿宋_GB2312"/>
          <w:lang w:val="en-US" w:eastAsia="zh-CN"/>
        </w:rPr>
        <w:t>66.47</w:t>
      </w:r>
      <w:r>
        <w:rPr>
          <w:rStyle w:val="20"/>
          <w:rFonts w:hint="default" w:hAnsi="仿宋"/>
        </w:rPr>
        <w:t>万元、</w:t>
      </w:r>
      <w:r>
        <w:rPr>
          <w:rStyle w:val="20"/>
          <w:rFonts w:hint="eastAsia" w:hAnsi="仿宋" w:eastAsia="仿宋_GB2312"/>
          <w:lang w:val="en-US" w:eastAsia="zh-CN"/>
        </w:rPr>
        <w:t>卫生健康支出21.64万元、农林水支出16.5万元、住房保障支出31.98万元、灾害防治及应急管理支出481.76万元。</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462.25</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7.84</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1.73</w:t>
      </w:r>
      <w:r>
        <w:rPr>
          <w:rFonts w:hint="eastAsia" w:ascii="仿宋_GB2312" w:hAnsi="仿宋" w:eastAsia="仿宋_GB2312"/>
          <w:sz w:val="32"/>
          <w:szCs w:val="32"/>
        </w:rPr>
        <w:t xml:space="preserve"> %，</w:t>
      </w:r>
      <w:r>
        <w:rPr>
          <w:rFonts w:hint="eastAsia" w:ascii="仿宋_GB2312" w:hAnsi="仿宋" w:eastAsia="仿宋_GB2312"/>
          <w:sz w:val="32"/>
          <w:szCs w:val="32"/>
          <w:lang w:val="en-US" w:eastAsia="zh-CN"/>
        </w:rPr>
        <w:t>基本持平。</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429.12</w:t>
      </w:r>
      <w:r>
        <w:rPr>
          <w:rFonts w:hint="eastAsia" w:ascii="仿宋_GB2312" w:hAnsi="仿宋" w:eastAsia="仿宋_GB2312"/>
          <w:sz w:val="32"/>
          <w:szCs w:val="32"/>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33.13</w:t>
      </w:r>
      <w:r>
        <w:rPr>
          <w:rFonts w:hint="eastAsia" w:ascii="仿宋_GB2312" w:hAnsi="仿宋" w:eastAsia="仿宋_GB2312"/>
          <w:sz w:val="32"/>
          <w:szCs w:val="32"/>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35973761">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156.1</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19.6</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14.36</w:t>
      </w:r>
      <w:r>
        <w:rPr>
          <w:rFonts w:hint="eastAsia" w:ascii="仿宋_GB2312" w:hAnsi="仿宋" w:eastAsia="仿宋_GB2312"/>
          <w:sz w:val="32"/>
          <w:szCs w:val="32"/>
        </w:rPr>
        <w:t>%，增长的主要原因是县乡村三级应急指挥调度视频会议系统网费</w:t>
      </w:r>
      <w:r>
        <w:rPr>
          <w:rFonts w:hint="eastAsia" w:ascii="仿宋_GB2312" w:hAnsi="仿宋" w:eastAsia="仿宋_GB2312"/>
          <w:sz w:val="32"/>
          <w:szCs w:val="32"/>
          <w:lang w:val="en-US" w:eastAsia="zh-CN"/>
        </w:rPr>
        <w:t>增加。</w:t>
      </w:r>
    </w:p>
    <w:p w14:paraId="50CA5CE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刚性支出项目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个，主要是政策性农房保险县级配套资金</w:t>
      </w:r>
      <w:r>
        <w:rPr>
          <w:rFonts w:hint="eastAsia" w:ascii="仿宋_GB2312" w:hAnsi="仿宋" w:eastAsia="仿宋_GB2312"/>
          <w:sz w:val="32"/>
          <w:szCs w:val="32"/>
          <w:lang w:eastAsia="zh-CN"/>
        </w:rPr>
        <w:t>、安监人员意外伤害保险</w:t>
      </w:r>
      <w:r>
        <w:rPr>
          <w:rFonts w:hint="eastAsia" w:ascii="仿宋_GB2312" w:hAnsi="仿宋" w:eastAsia="仿宋_GB2312"/>
          <w:sz w:val="32"/>
          <w:szCs w:val="32"/>
        </w:rPr>
        <w:t>。</w:t>
      </w:r>
    </w:p>
    <w:p w14:paraId="2DD7CC2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部门专项</w:t>
      </w:r>
      <w:r>
        <w:rPr>
          <w:rFonts w:hint="eastAsia" w:ascii="仿宋_GB2312" w:hAnsi="仿宋" w:eastAsia="仿宋_GB2312"/>
          <w:sz w:val="32"/>
          <w:szCs w:val="32"/>
          <w:lang w:val="en-US" w:eastAsia="zh-CN"/>
        </w:rPr>
        <w:t>4</w:t>
      </w:r>
      <w:r>
        <w:rPr>
          <w:rFonts w:hint="eastAsia" w:ascii="仿宋_GB2312" w:hAnsi="仿宋" w:eastAsia="仿宋_GB2312"/>
          <w:sz w:val="32"/>
          <w:szCs w:val="32"/>
        </w:rPr>
        <w:t>个，主要是</w:t>
      </w:r>
      <w:r>
        <w:rPr>
          <w:rFonts w:hint="eastAsia" w:ascii="仿宋_GB2312" w:hAnsi="仿宋" w:eastAsia="仿宋_GB2312"/>
          <w:sz w:val="32"/>
          <w:szCs w:val="32"/>
          <w:lang w:val="en-US" w:eastAsia="zh-CN"/>
        </w:rPr>
        <w:t>安全生产预防与应急专项(包括草原森林防火工作经费)、自然灾害救助、县乡村三级应急指挥调度视频会议系统网费、“十五五”应急管理规划</w:t>
      </w:r>
      <w:r>
        <w:rPr>
          <w:rFonts w:hint="eastAsia" w:ascii="仿宋_GB2312" w:hAnsi="仿宋" w:eastAsia="仿宋_GB2312"/>
          <w:sz w:val="32"/>
          <w:szCs w:val="32"/>
        </w:rPr>
        <w:t>。</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2C1E118B">
      <w:pPr>
        <w:adjustRightInd w:val="0"/>
        <w:snapToGrid w:val="0"/>
        <w:spacing w:line="640" w:lineRule="exact"/>
        <w:ind w:firstLine="640" w:firstLineChars="200"/>
        <w:contextualSpacing/>
        <w:rPr>
          <w:rFonts w:ascii="仿宋_GB2312" w:hAnsi="仿宋" w:eastAsia="仿宋_GB2312"/>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6.3</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与2025年持平。</w:t>
      </w:r>
    </w:p>
    <w:p w14:paraId="74F3A293">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.公务接待费</w:t>
      </w:r>
      <w:r>
        <w:rPr>
          <w:rFonts w:hint="eastAsia" w:ascii="仿宋_GB2312" w:hAnsi="仿宋" w:eastAsia="仿宋_GB2312"/>
          <w:sz w:val="32"/>
          <w:szCs w:val="32"/>
          <w:lang w:val="en-US" w:eastAsia="zh-CN"/>
        </w:rPr>
        <w:t>0.3</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与2025年持平。</w:t>
      </w:r>
    </w:p>
    <w:p w14:paraId="0938E7B9">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.公务用车购置及运行维护费</w:t>
      </w:r>
      <w:r>
        <w:rPr>
          <w:rFonts w:hint="eastAsia" w:ascii="仿宋_GB2312" w:hAnsi="仿宋" w:eastAsia="仿宋_GB2312"/>
          <w:sz w:val="32"/>
          <w:szCs w:val="32"/>
          <w:lang w:val="en-US" w:eastAsia="zh-CN"/>
        </w:rPr>
        <w:t>6</w:t>
      </w:r>
      <w:r>
        <w:rPr>
          <w:rFonts w:hint="eastAsia" w:ascii="仿宋_GB2312" w:hAnsi="仿宋" w:eastAsia="仿宋_GB2312"/>
          <w:sz w:val="32"/>
          <w:szCs w:val="32"/>
        </w:rPr>
        <w:t>万元（其中：公务用车购置</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万元，公务用车运行维护费</w:t>
      </w:r>
      <w:r>
        <w:rPr>
          <w:rFonts w:hint="eastAsia" w:ascii="仿宋_GB2312" w:hAnsi="仿宋" w:eastAsia="仿宋_GB2312"/>
          <w:sz w:val="32"/>
          <w:szCs w:val="32"/>
          <w:lang w:val="en-US" w:eastAsia="zh-CN"/>
        </w:rPr>
        <w:t>6</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与2025年持平。</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7ED815E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3</w:t>
      </w:r>
      <w:r>
        <w:rPr>
          <w:rFonts w:hint="eastAsia" w:ascii="仿宋_GB2312" w:hAnsi="仿宋" w:eastAsia="仿宋_GB2312"/>
          <w:sz w:val="32"/>
          <w:szCs w:val="32"/>
        </w:rPr>
        <w:t>.培训费</w:t>
      </w:r>
      <w:r>
        <w:rPr>
          <w:rFonts w:hint="eastAsia" w:ascii="仿宋_GB2312" w:hAnsi="仿宋" w:eastAsia="仿宋_GB2312"/>
          <w:sz w:val="32"/>
          <w:szCs w:val="32"/>
          <w:lang w:val="en-US" w:eastAsia="zh-CN"/>
        </w:rPr>
        <w:t>0.35</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0.15</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30</w:t>
      </w:r>
      <w:r>
        <w:rPr>
          <w:rFonts w:hint="eastAsia" w:ascii="仿宋_GB2312" w:hAnsi="仿宋" w:eastAsia="仿宋_GB2312"/>
          <w:sz w:val="32"/>
          <w:szCs w:val="32"/>
        </w:rPr>
        <w:t>%，下降主要原因是</w:t>
      </w:r>
      <w:r>
        <w:rPr>
          <w:rFonts w:hint="eastAsia" w:ascii="仿宋_GB2312" w:hAnsi="仿宋" w:eastAsia="仿宋_GB2312"/>
          <w:sz w:val="32"/>
          <w:szCs w:val="32"/>
          <w:lang w:val="en-US" w:eastAsia="zh-CN"/>
        </w:rPr>
        <w:t>严控培训标准，降低各类成本</w:t>
      </w:r>
      <w:r>
        <w:rPr>
          <w:rFonts w:hint="eastAsia" w:ascii="仿宋_GB2312" w:hAnsi="仿宋" w:eastAsia="仿宋_GB2312"/>
          <w:sz w:val="32"/>
          <w:szCs w:val="32"/>
        </w:rPr>
        <w:t>。</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0C1AA7BE">
      <w:pPr>
        <w:widowControl/>
        <w:adjustRightInd w:val="0"/>
        <w:snapToGrid w:val="0"/>
        <w:spacing w:line="640" w:lineRule="exact"/>
        <w:ind w:firstLine="640" w:firstLineChars="200"/>
        <w:contextualSpacing/>
        <w:jc w:val="left"/>
        <w:rPr>
          <w:rFonts w:ascii="仿宋_GB2312" w:eastAsia="仿宋_GB2312"/>
          <w:sz w:val="32"/>
          <w:szCs w:val="32"/>
        </w:rPr>
      </w:pPr>
      <w:r>
        <w:rPr>
          <w:rFonts w:hint="eastAsia" w:ascii="仿宋_GB2312" w:hAnsi="仿宋" w:eastAsia="仿宋_GB2312"/>
          <w:sz w:val="32"/>
          <w:szCs w:val="32"/>
          <w:lang w:val="en-US" w:eastAsia="zh-CN"/>
        </w:rPr>
        <w:t>4</w:t>
      </w:r>
      <w:r>
        <w:rPr>
          <w:rFonts w:hint="eastAsia" w:ascii="仿宋_GB2312" w:hAnsi="仿宋" w:eastAsia="仿宋_GB2312"/>
          <w:sz w:val="32"/>
          <w:szCs w:val="32"/>
        </w:rPr>
        <w:t>.会议费</w:t>
      </w:r>
      <w:r>
        <w:rPr>
          <w:rFonts w:hint="eastAsia" w:ascii="仿宋_GB2312" w:hAnsi="仿宋" w:eastAsia="仿宋_GB2312"/>
          <w:sz w:val="32"/>
          <w:szCs w:val="32"/>
          <w:lang w:val="en-US" w:eastAsia="zh-CN"/>
        </w:rPr>
        <w:t>0.2</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0.3</w:t>
      </w:r>
      <w:r>
        <w:rPr>
          <w:rFonts w:hint="eastAsia" w:ascii="仿宋_GB2312" w:hAnsi="仿宋" w:eastAsia="仿宋_GB2312"/>
          <w:sz w:val="32"/>
          <w:szCs w:val="32"/>
        </w:rPr>
        <w:t xml:space="preserve"> 万元，下降</w:t>
      </w:r>
      <w:r>
        <w:rPr>
          <w:rFonts w:hint="eastAsia" w:ascii="仿宋_GB2312" w:hAnsi="仿宋" w:eastAsia="仿宋_GB2312"/>
          <w:sz w:val="32"/>
          <w:szCs w:val="32"/>
          <w:lang w:val="en-US" w:eastAsia="zh-CN"/>
        </w:rPr>
        <w:t>60</w:t>
      </w:r>
      <w:r>
        <w:rPr>
          <w:rFonts w:hint="eastAsia" w:ascii="仿宋_GB2312" w:hAnsi="仿宋" w:eastAsia="仿宋_GB2312"/>
          <w:sz w:val="32"/>
          <w:szCs w:val="32"/>
        </w:rPr>
        <w:t>%，下降的主要原因是</w:t>
      </w:r>
      <w:r>
        <w:rPr>
          <w:rFonts w:hint="eastAsia" w:ascii="仿宋_GB2312" w:hAnsi="仿宋" w:eastAsia="仿宋_GB2312"/>
          <w:sz w:val="32"/>
          <w:szCs w:val="32"/>
          <w:lang w:val="en-US" w:eastAsia="zh-CN"/>
        </w:rPr>
        <w:t>会议数量精简，严控非必要会议，节约办会</w:t>
      </w:r>
      <w:r>
        <w:rPr>
          <w:rFonts w:hint="eastAsia" w:ascii="仿宋_GB2312" w:hAnsi="仿宋" w:eastAsia="仿宋_GB2312"/>
          <w:sz w:val="32"/>
          <w:szCs w:val="32"/>
        </w:rPr>
        <w:t>。</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A2D2C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59.57</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2.85</w:t>
      </w:r>
      <w:r>
        <w:rPr>
          <w:rFonts w:hint="eastAsia" w:ascii="仿宋_GB2312" w:hAnsi="仿宋" w:eastAsia="仿宋_GB2312"/>
          <w:sz w:val="32"/>
          <w:szCs w:val="32"/>
        </w:rPr>
        <w:t>万元，增长下降</w:t>
      </w:r>
      <w:r>
        <w:rPr>
          <w:rFonts w:hint="eastAsia" w:ascii="仿宋_GB2312" w:hAnsi="仿宋" w:eastAsia="仿宋_GB2312"/>
          <w:sz w:val="32"/>
          <w:szCs w:val="32"/>
          <w:lang w:val="en-US" w:eastAsia="zh-CN"/>
        </w:rPr>
        <w:t>4.57</w:t>
      </w:r>
      <w:r>
        <w:rPr>
          <w:rFonts w:hint="eastAsia" w:ascii="仿宋_GB2312" w:hAnsi="仿宋" w:eastAsia="仿宋_GB2312"/>
          <w:sz w:val="32"/>
          <w:szCs w:val="32"/>
        </w:rPr>
        <w:t>%，下降的主要原因是</w:t>
      </w:r>
      <w:r>
        <w:rPr>
          <w:rFonts w:hint="eastAsia" w:ascii="仿宋_GB2312" w:hAnsi="仿宋" w:eastAsia="仿宋_GB2312"/>
          <w:sz w:val="32"/>
          <w:szCs w:val="32"/>
          <w:lang w:val="en-US" w:eastAsia="zh-CN"/>
        </w:rPr>
        <w:t>福利费预算批复减少</w:t>
      </w:r>
      <w:r>
        <w:rPr>
          <w:rFonts w:hint="eastAsia" w:ascii="仿宋_GB2312" w:hAnsi="仿宋" w:eastAsia="仿宋_GB2312"/>
          <w:sz w:val="32"/>
          <w:szCs w:val="32"/>
        </w:rPr>
        <w:t>。</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年，单位政府采购预算总额</w:t>
      </w:r>
      <w:r>
        <w:rPr>
          <w:rFonts w:hint="eastAsia" w:ascii="仿宋_GB2312" w:hAnsi="仿宋" w:eastAsia="仿宋_GB2312"/>
          <w:sz w:val="32"/>
          <w:szCs w:val="32"/>
          <w:lang w:val="en-US" w:eastAsia="zh-CN"/>
        </w:rPr>
        <w:t>16.6</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9.66</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7</w:t>
      </w:r>
      <w:r>
        <w:rPr>
          <w:rFonts w:hint="eastAsia" w:ascii="仿宋_GB2312" w:hAnsi="仿宋" w:eastAsia="仿宋_GB2312"/>
          <w:sz w:val="32"/>
          <w:szCs w:val="32"/>
        </w:rPr>
        <w:t>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highlight w:val="yellow"/>
        </w:rPr>
      </w:pPr>
      <w:r>
        <w:rPr>
          <w:rFonts w:hint="eastAsia" w:ascii="仿宋_GB2312" w:hAnsi="仿宋" w:eastAsia="仿宋_GB2312"/>
          <w:sz w:val="32"/>
          <w:szCs w:val="32"/>
          <w:highlight w:val="none"/>
        </w:rPr>
        <w:t>上年末</w:t>
      </w:r>
      <w:bookmarkStart w:id="0" w:name="_GoBack"/>
      <w:bookmarkEnd w:id="0"/>
      <w:r>
        <w:rPr>
          <w:rFonts w:hint="eastAsia" w:ascii="仿宋_GB2312" w:hAnsi="仿宋" w:eastAsia="仿宋_GB2312"/>
          <w:sz w:val="32"/>
          <w:szCs w:val="32"/>
          <w:highlight w:val="none"/>
        </w:rPr>
        <w:t>固定资产金额为</w:t>
      </w:r>
      <w:r>
        <w:rPr>
          <w:rFonts w:hint="eastAsia" w:ascii="仿宋_GB2312" w:hAnsi="仿宋" w:eastAsia="仿宋_GB2312"/>
          <w:sz w:val="32"/>
          <w:szCs w:val="32"/>
          <w:highlight w:val="none"/>
          <w:lang w:val="en-US" w:eastAsia="zh-CN"/>
        </w:rPr>
        <w:t>794.61</w:t>
      </w:r>
      <w:r>
        <w:rPr>
          <w:rFonts w:hint="eastAsia" w:ascii="仿宋_GB2312" w:hAnsi="仿宋" w:eastAsia="仿宋_GB2312"/>
          <w:sz w:val="32"/>
          <w:szCs w:val="32"/>
          <w:highlight w:val="none"/>
        </w:rPr>
        <w:t>万元。单位共有公务用车</w:t>
      </w:r>
      <w:r>
        <w:rPr>
          <w:rFonts w:hint="eastAsia" w:ascii="仿宋_GB2312" w:hAnsi="仿宋" w:eastAsia="仿宋_GB2312"/>
          <w:sz w:val="32"/>
          <w:szCs w:val="32"/>
          <w:highlight w:val="none"/>
          <w:lang w:val="en-US" w:eastAsia="zh-CN"/>
        </w:rPr>
        <w:t>3</w:t>
      </w:r>
      <w:r>
        <w:rPr>
          <w:rFonts w:hint="eastAsia" w:ascii="仿宋_GB2312" w:hAnsi="仿宋" w:eastAsia="仿宋_GB2312"/>
          <w:sz w:val="32"/>
          <w:szCs w:val="32"/>
          <w:highlight w:val="none"/>
        </w:rPr>
        <w:t>辆，价值</w:t>
      </w:r>
      <w:r>
        <w:rPr>
          <w:rFonts w:hint="eastAsia" w:ascii="仿宋_GB2312" w:hAnsi="仿宋" w:eastAsia="仿宋_GB2312"/>
          <w:sz w:val="32"/>
          <w:szCs w:val="32"/>
          <w:highlight w:val="none"/>
          <w:lang w:val="en-US" w:eastAsia="zh-CN"/>
        </w:rPr>
        <w:t>244.24</w:t>
      </w:r>
      <w:r>
        <w:rPr>
          <w:rFonts w:hint="eastAsia" w:ascii="仿宋_GB2312" w:hAnsi="仿宋" w:eastAsia="仿宋_GB2312"/>
          <w:sz w:val="32"/>
          <w:szCs w:val="32"/>
          <w:highlight w:val="none"/>
        </w:rPr>
        <w:t>万元。单价20万元以上的设备价值</w:t>
      </w:r>
      <w:r>
        <w:rPr>
          <w:rFonts w:hint="eastAsia" w:ascii="仿宋_GB2312" w:hAnsi="仿宋" w:eastAsia="仿宋_GB2312"/>
          <w:sz w:val="32"/>
          <w:szCs w:val="32"/>
          <w:highlight w:val="none"/>
          <w:lang w:val="en-US" w:eastAsia="zh-CN"/>
        </w:rPr>
        <w:t>321.84</w:t>
      </w:r>
      <w:r>
        <w:rPr>
          <w:rFonts w:hint="eastAsia" w:ascii="仿宋_GB2312" w:hAnsi="仿宋" w:eastAsia="仿宋_GB2312"/>
          <w:sz w:val="32"/>
          <w:szCs w:val="32"/>
          <w:highlight w:val="none"/>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3D30898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4B174BF1">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hint="eastAsia" w:ascii="仿宋_GB2312" w:hAnsi="仿宋" w:eastAsia="仿宋_GB2312"/>
          <w:sz w:val="32"/>
          <w:szCs w:val="32"/>
          <w:lang w:val="en-US" w:eastAsia="zh-CN"/>
        </w:rPr>
        <w:t>县应急管理局非税收入为应急管理罚没收入，直接缴入国库。</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25E8B7F1">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项目名称：安全生产预防与应急专项(包括草原森林防火工作经费)</w:t>
      </w:r>
    </w:p>
    <w:p w14:paraId="181D7017">
      <w:pPr>
        <w:widowControl/>
        <w:numPr>
          <w:ilvl w:val="0"/>
          <w:numId w:val="1"/>
        </w:numPr>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项目概况：提升基层应急管理水平和突发事件的应对能力，增强全社会的应急意识，推进安全生产共建、共治、共享，保障人民群众生命财产安全，减少各种安全事故和经济损失。</w:t>
      </w:r>
    </w:p>
    <w:p w14:paraId="0F7F2479">
      <w:pPr>
        <w:widowControl/>
        <w:numPr>
          <w:numId w:val="0"/>
        </w:numPr>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rPr>
        <w:t>2、立项依据：根据甘办发〔2019〕40号《关于加快建设全省新型应急管理体系的意见》的通知要求，强化应急管理人、财、物投入保障，完善经费分担政策。专项资金主要用于巩固安全生产基础设施建设，提高监管能力建设，加强隐患排查治理、安全宣教培训、安全生产应急救援等工作；县委发〔2014〕72号文件精神，县政府每年安排安全生产专项资金应不少于上年度地方财政总支出得0.5‰；华池县人民政府常务十八届第2期会议纪要，同意我局与中介机构签订服务协议，每年对全县重点危险化学品生产、经营企业、县境内非煤矿山油田服务企业进行安全隐患排查技术服务；《草原防火条例》第四条，《森林防火条例》第八条，县级以上人民政府应当加强草原森林防火工作的组织领导，将草原防火所需经费纳入本级财政预算，保障草原、森林火灾预防和扑救工作的开展。</w:t>
      </w:r>
    </w:p>
    <w:p w14:paraId="68C883E0">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3、实施主体：</w:t>
      </w:r>
      <w:r>
        <w:rPr>
          <w:rFonts w:hint="eastAsia" w:ascii="仿宋_GB2312" w:hAnsi="仿宋" w:eastAsia="仿宋_GB2312"/>
          <w:sz w:val="32"/>
          <w:szCs w:val="32"/>
          <w:lang w:val="en-US" w:eastAsia="zh-CN"/>
        </w:rPr>
        <w:t>华池县应急管理局、15个乡镇及</w:t>
      </w:r>
      <w:r>
        <w:rPr>
          <w:rFonts w:hint="eastAsia" w:ascii="仿宋_GB2312" w:hAnsi="仿宋" w:eastAsia="仿宋_GB2312"/>
          <w:sz w:val="32"/>
          <w:szCs w:val="32"/>
        </w:rPr>
        <w:t>全县重点危险化学品生产、经营企业、县境内非煤矿山油田服务企业</w:t>
      </w:r>
    </w:p>
    <w:p w14:paraId="5F734280">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rPr>
        <w:t>4、实施周期：202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hint="eastAsia" w:ascii="仿宋_GB2312" w:hAnsi="仿宋" w:eastAsia="仿宋_GB2312"/>
          <w:sz w:val="32"/>
          <w:szCs w:val="32"/>
          <w:lang w:val="en-US" w:eastAsia="zh-CN"/>
        </w:rPr>
        <w:t>1</w:t>
      </w:r>
      <w:r>
        <w:rPr>
          <w:rFonts w:hint="eastAsia" w:ascii="仿宋_GB2312" w:hAnsi="仿宋" w:eastAsia="仿宋_GB2312"/>
          <w:sz w:val="32"/>
          <w:szCs w:val="32"/>
        </w:rPr>
        <w:t>月--202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hint="eastAsia" w:ascii="仿宋_GB2312" w:hAnsi="仿宋" w:eastAsia="仿宋_GB2312"/>
          <w:sz w:val="32"/>
          <w:szCs w:val="32"/>
          <w:lang w:val="en-US" w:eastAsia="zh-CN"/>
        </w:rPr>
        <w:t>12</w:t>
      </w:r>
      <w:r>
        <w:rPr>
          <w:rFonts w:hint="eastAsia" w:ascii="仿宋_GB2312" w:hAnsi="仿宋" w:eastAsia="仿宋_GB2312"/>
          <w:sz w:val="32"/>
          <w:szCs w:val="32"/>
        </w:rPr>
        <w:t>月</w:t>
      </w:r>
    </w:p>
    <w:p w14:paraId="695BD55C">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5、实</w:t>
      </w:r>
      <w:r>
        <w:rPr>
          <w:rFonts w:hint="eastAsia" w:ascii="仿宋_GB2312" w:hAnsi="仿宋" w:eastAsia="仿宋_GB2312"/>
          <w:sz w:val="32"/>
          <w:szCs w:val="32"/>
        </w:rPr>
        <w:t>施计划：</w:t>
      </w:r>
      <w:r>
        <w:rPr>
          <w:rFonts w:hint="eastAsia" w:ascii="仿宋_GB2312" w:hAnsi="仿宋" w:eastAsia="仿宋_GB2312"/>
          <w:sz w:val="32"/>
          <w:szCs w:val="32"/>
          <w:lang w:val="en-US" w:eastAsia="zh-CN"/>
        </w:rPr>
        <w:t>年初报送预算、财政审批后下达指标、完成项目验收后支付资金</w:t>
      </w:r>
      <w:r>
        <w:rPr>
          <w:rFonts w:hint="eastAsia" w:ascii="仿宋_GB2312" w:hAnsi="仿宋" w:eastAsia="仿宋_GB2312"/>
          <w:sz w:val="32"/>
          <w:szCs w:val="32"/>
          <w:lang w:eastAsia="zh-CN"/>
        </w:rPr>
        <w:t>。</w:t>
      </w:r>
    </w:p>
    <w:p w14:paraId="569933BF">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6、年度预算安排：</w:t>
      </w:r>
      <w:r>
        <w:rPr>
          <w:rFonts w:hint="eastAsia" w:ascii="仿宋_GB2312" w:hAnsi="仿宋" w:eastAsia="仿宋_GB2312"/>
          <w:sz w:val="32"/>
          <w:szCs w:val="32"/>
          <w:lang w:val="en-US" w:eastAsia="zh-CN"/>
        </w:rPr>
        <w:t>50万元。</w:t>
      </w:r>
    </w:p>
    <w:p w14:paraId="2A13888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7、预期总体目标：通过拨付安全生产</w:t>
      </w:r>
      <w:r>
        <w:rPr>
          <w:rFonts w:hint="eastAsia" w:ascii="仿宋_GB2312" w:hAnsi="仿宋" w:eastAsia="仿宋_GB2312"/>
          <w:sz w:val="32"/>
          <w:szCs w:val="32"/>
          <w:lang w:val="en-US" w:eastAsia="zh-CN"/>
        </w:rPr>
        <w:t>与应急</w:t>
      </w:r>
      <w:r>
        <w:rPr>
          <w:rFonts w:hint="eastAsia" w:ascii="仿宋_GB2312" w:hAnsi="仿宋" w:eastAsia="仿宋_GB2312"/>
          <w:sz w:val="32"/>
          <w:szCs w:val="32"/>
        </w:rPr>
        <w:t>专项资金，巩固我局安全生产基础设施建设，提高监管能力建设，加强隐患排查治理、安全宣教培训、安全生产应急救援等工作，预防生产安全事故的发生。</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5F6CF6A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未安排预算，部门/单位管理转移支付表为空表。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单位</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8</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8</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58BC8623">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7</w:t>
      </w:r>
      <w:r>
        <w:rPr>
          <w:rFonts w:hint="eastAsia" w:ascii="仿宋_GB2312" w:hAnsi="仿宋" w:eastAsia="仿宋_GB2312"/>
          <w:sz w:val="32"/>
          <w:szCs w:val="32"/>
        </w:rPr>
        <w:t>月，组织开展</w:t>
      </w:r>
      <w:r>
        <w:rPr>
          <w:rFonts w:hint="eastAsia" w:ascii="仿宋_GB2312" w:hAnsi="仿宋" w:eastAsia="仿宋_GB2312"/>
          <w:sz w:val="32"/>
          <w:szCs w:val="32"/>
          <w:lang w:val="en-US" w:eastAsia="zh-CN"/>
        </w:rPr>
        <w:t>1-6</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7</w:t>
      </w:r>
      <w:r>
        <w:rPr>
          <w:rFonts w:hint="eastAsia" w:ascii="仿宋_GB2312" w:hAnsi="仿宋" w:eastAsia="仿宋_GB2312"/>
          <w:sz w:val="32"/>
          <w:szCs w:val="32"/>
        </w:rPr>
        <w:t>个，占本</w:t>
      </w:r>
      <w:r>
        <w:rPr>
          <w:rFonts w:hint="eastAsia" w:ascii="仿宋_GB2312" w:hAnsi="CIDFont+F6" w:eastAsia="仿宋_GB2312"/>
          <w:color w:val="000000"/>
          <w:sz w:val="32"/>
          <w:szCs w:val="32"/>
        </w:rPr>
        <w:t>单位</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w:t>
      </w:r>
      <w:r>
        <w:rPr>
          <w:rFonts w:hint="eastAsia" w:ascii="仿宋_GB2312" w:hAnsi="仿宋" w:eastAsia="仿宋_GB2312"/>
          <w:sz w:val="32"/>
          <w:szCs w:val="32"/>
          <w:lang w:val="en-US" w:eastAsia="zh-CN"/>
        </w:rPr>
        <w:t>7</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7</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r>
        <w:rPr>
          <w:rFonts w:hint="eastAsia" w:ascii="仿宋_GB2312" w:hAnsi="仿宋" w:eastAsia="仿宋_GB2312"/>
          <w:sz w:val="32"/>
          <w:szCs w:val="32"/>
          <w:lang w:val="en-US" w:eastAsia="zh-CN"/>
        </w:rPr>
        <w:t>无</w:t>
      </w:r>
      <w:r>
        <w:rPr>
          <w:rFonts w:hint="eastAsia" w:ascii="仿宋_GB2312" w:hAnsi="仿宋" w:eastAsia="仿宋_GB2312"/>
          <w:sz w:val="32"/>
          <w:szCs w:val="32"/>
        </w:rPr>
        <w:t>“双监控”存在的问题。开展</w:t>
      </w:r>
      <w:r>
        <w:rPr>
          <w:rFonts w:hint="eastAsia" w:ascii="仿宋_GB2312" w:hAnsi="仿宋" w:eastAsia="仿宋_GB2312"/>
          <w:sz w:val="32"/>
          <w:szCs w:val="32"/>
          <w:lang w:val="en-US" w:eastAsia="zh-CN"/>
        </w:rPr>
        <w:t>1-9</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7</w:t>
      </w:r>
      <w:r>
        <w:rPr>
          <w:rFonts w:hint="eastAsia" w:ascii="仿宋_GB2312" w:hAnsi="仿宋" w:eastAsia="仿宋_GB2312"/>
          <w:sz w:val="32"/>
          <w:szCs w:val="32"/>
        </w:rPr>
        <w:t>个，占本单位项目的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7</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r>
        <w:rPr>
          <w:rFonts w:hint="eastAsia" w:ascii="仿宋_GB2312" w:hAnsi="仿宋" w:eastAsia="仿宋_GB2312"/>
          <w:sz w:val="32"/>
          <w:szCs w:val="32"/>
          <w:lang w:val="en-US" w:eastAsia="zh-CN"/>
        </w:rPr>
        <w:t>无</w:t>
      </w:r>
      <w:r>
        <w:rPr>
          <w:rFonts w:hint="eastAsia" w:ascii="仿宋_GB2312" w:hAnsi="仿宋" w:eastAsia="仿宋_GB2312"/>
          <w:sz w:val="32"/>
          <w:szCs w:val="32"/>
        </w:rPr>
        <w:t>“双监控”存在的问题。</w:t>
      </w:r>
    </w:p>
    <w:p w14:paraId="4791A4A2">
      <w:pPr>
        <w:widowControl/>
        <w:adjustRightInd w:val="0"/>
        <w:snapToGrid w:val="0"/>
        <w:spacing w:line="640" w:lineRule="exact"/>
        <w:ind w:firstLine="643" w:firstLineChars="200"/>
        <w:contextualSpacing/>
        <w:jc w:val="left"/>
        <w:rPr>
          <w:rFonts w:hint="eastAsia"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8</w:t>
      </w:r>
      <w:r>
        <w:rPr>
          <w:rFonts w:hint="eastAsia" w:ascii="仿宋_GB2312" w:hAnsi="仿宋" w:eastAsia="仿宋_GB2312"/>
          <w:sz w:val="32"/>
          <w:szCs w:val="32"/>
        </w:rPr>
        <w:t>个，其中，部门（单位）整体支出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7</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年，纳入单位预算绩效目标管理的项目</w:t>
      </w:r>
      <w:r>
        <w:rPr>
          <w:rFonts w:hint="eastAsia" w:ascii="仿宋_GB2312" w:hAnsi="仿宋" w:eastAsia="仿宋_GB2312"/>
          <w:sz w:val="32"/>
          <w:szCs w:val="32"/>
          <w:lang w:val="en-US" w:eastAsia="zh-CN"/>
        </w:rPr>
        <w:t>7</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18</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31</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9</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14</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18C50624">
      <w:pPr>
        <w:adjustRightInd w:val="0"/>
        <w:snapToGrid w:val="0"/>
        <w:spacing w:line="640" w:lineRule="exact"/>
        <w:contextualSpacing/>
        <w:jc w:val="right"/>
        <w:rPr>
          <w:rFonts w:hint="eastAsia" w:ascii="仿宋_GB2312" w:hAnsi="CIDFont+F6" w:eastAsia="仿宋_GB2312"/>
          <w:color w:val="000000"/>
          <w:sz w:val="32"/>
          <w:szCs w:val="32"/>
        </w:rPr>
      </w:pPr>
    </w:p>
    <w:p w14:paraId="453FCEBD">
      <w:pPr>
        <w:adjustRightInd w:val="0"/>
        <w:snapToGrid w:val="0"/>
        <w:spacing w:line="640" w:lineRule="exact"/>
        <w:contextualSpacing/>
        <w:jc w:val="right"/>
        <w:rPr>
          <w:rFonts w:hint="eastAsia" w:ascii="仿宋_GB2312" w:hAnsi="CIDFont+F6" w:eastAsia="仿宋_GB2312"/>
          <w:color w:val="000000"/>
          <w:sz w:val="32"/>
          <w:szCs w:val="32"/>
        </w:rPr>
      </w:pPr>
    </w:p>
    <w:p w14:paraId="7BF108C1">
      <w:pPr>
        <w:adjustRightInd w:val="0"/>
        <w:snapToGrid w:val="0"/>
        <w:spacing w:line="640" w:lineRule="exact"/>
        <w:ind w:right="960"/>
        <w:contextualSpacing/>
        <w:jc w:val="center"/>
        <w:rPr>
          <w:rFonts w:hint="default"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 xml:space="preserve">                                  华池县应急管理局</w:t>
      </w:r>
    </w:p>
    <w:p w14:paraId="77E85168">
      <w:pPr>
        <w:adjustRightInd w:val="0"/>
        <w:snapToGrid w:val="0"/>
        <w:spacing w:line="640" w:lineRule="exact"/>
        <w:ind w:right="1120"/>
        <w:contextualSpacing/>
        <w:jc w:val="right"/>
        <w:rPr>
          <w:rFonts w:ascii="仿宋_GB2312" w:eastAsia="仿宋_GB2312"/>
          <w:sz w:val="32"/>
          <w:szCs w:val="32"/>
        </w:rPr>
      </w:pPr>
      <w:r>
        <w:rPr>
          <w:rFonts w:hint="eastAsia" w:ascii="仿宋_GB2312" w:hAnsi="CIDFont+F6" w:eastAsia="仿宋_GB2312"/>
          <w:color w:val="000000"/>
          <w:sz w:val="32"/>
          <w:szCs w:val="32"/>
          <w:lang w:val="en-US" w:eastAsia="zh-CN"/>
        </w:rPr>
        <w:t>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11</w:t>
      </w:r>
      <w:r>
        <w:rPr>
          <w:rFonts w:hint="eastAsia" w:ascii="仿宋_GB2312" w:hAnsi="CIDFont+F6" w:eastAsia="仿宋_GB2312"/>
          <w:color w:val="000000"/>
          <w:sz w:val="32"/>
          <w:szCs w:val="32"/>
        </w:rPr>
        <w:t>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val="en-US" w:eastAsia="zh-CN"/>
        </w:rPr>
        <w:t>华池县应急管理局</w:t>
      </w:r>
      <w:r>
        <w:rPr>
          <w:rFonts w:hint="eastAsia" w:ascii="仿宋_GB2312" w:hAnsi="宋体" w:eastAsia="仿宋_GB2312" w:cs="宋体"/>
          <w:spacing w:val="-20"/>
          <w:kern w:val="0"/>
          <w:sz w:val="32"/>
          <w:szCs w:val="32"/>
        </w:rPr>
        <w:t xml:space="preserve"> </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spacing w:val="-20"/>
          <w:kern w:val="0"/>
          <w:sz w:val="32"/>
          <w:szCs w:val="32"/>
        </w:rPr>
        <w:t>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val="en-US" w:eastAsia="zh-CN"/>
        </w:rPr>
        <w:t>华池县应急管理局</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部门/单位</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KSOFF9CC612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D30F12"/>
    <w:multiLevelType w:val="singleLevel"/>
    <w:tmpl w:val="9ED30F1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E7B1F"/>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1115B19"/>
    <w:rsid w:val="02E03DF9"/>
    <w:rsid w:val="056262E5"/>
    <w:rsid w:val="086919DE"/>
    <w:rsid w:val="0A122902"/>
    <w:rsid w:val="0FA81274"/>
    <w:rsid w:val="113741D2"/>
    <w:rsid w:val="144869AC"/>
    <w:rsid w:val="18330BA7"/>
    <w:rsid w:val="183614C2"/>
    <w:rsid w:val="18FA6E74"/>
    <w:rsid w:val="1C2D3246"/>
    <w:rsid w:val="1D34261E"/>
    <w:rsid w:val="2D686D71"/>
    <w:rsid w:val="302B3D82"/>
    <w:rsid w:val="35F27DFF"/>
    <w:rsid w:val="375F63A0"/>
    <w:rsid w:val="38940506"/>
    <w:rsid w:val="3C49353C"/>
    <w:rsid w:val="42A05423"/>
    <w:rsid w:val="48C56969"/>
    <w:rsid w:val="4C433C79"/>
    <w:rsid w:val="4CEE74B4"/>
    <w:rsid w:val="4E3122F1"/>
    <w:rsid w:val="51F91273"/>
    <w:rsid w:val="527E074E"/>
    <w:rsid w:val="53944C9D"/>
    <w:rsid w:val="56393C72"/>
    <w:rsid w:val="579503FF"/>
    <w:rsid w:val="60535296"/>
    <w:rsid w:val="60683214"/>
    <w:rsid w:val="69100AFB"/>
    <w:rsid w:val="6C533A98"/>
    <w:rsid w:val="72FD2525"/>
    <w:rsid w:val="73702CF6"/>
    <w:rsid w:val="7565506F"/>
    <w:rsid w:val="78106856"/>
    <w:rsid w:val="79BE6BF7"/>
    <w:rsid w:val="7E0C7AC0"/>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qFormat/>
    <w:uiPriority w:val="0"/>
    <w:rPr>
      <w:b/>
      <w:bCs/>
    </w:rPr>
  </w:style>
  <w:style w:type="character" w:styleId="10">
    <w:name w:val="line number"/>
    <w:autoRedefine/>
    <w:qFormat/>
    <w:uiPriority w:val="0"/>
  </w:style>
  <w:style w:type="character" w:styleId="11">
    <w:name w:val="annotation reference"/>
    <w:autoRedefin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autoRedefine/>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autoRedefine/>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autoRedefine/>
    <w:qFormat/>
    <w:uiPriority w:val="0"/>
    <w:rPr>
      <w:rFonts w:hint="eastAsia" w:ascii="仿宋_GB2312" w:eastAsia="仿宋_GB2312"/>
      <w:color w:val="000000"/>
      <w:sz w:val="32"/>
      <w:szCs w:val="32"/>
    </w:rPr>
  </w:style>
  <w:style w:type="character" w:customStyle="1" w:styleId="21">
    <w:name w:val="fontstyle21"/>
    <w:autoRedefine/>
    <w:qFormat/>
    <w:uiPriority w:val="0"/>
    <w:rPr>
      <w:rFonts w:hint="default" w:ascii="TimesNewRomanPSMT" w:hAnsi="TimesNewRomanPSMT"/>
      <w:color w:val="000000"/>
      <w:sz w:val="32"/>
      <w:szCs w:val="32"/>
    </w:rPr>
  </w:style>
  <w:style w:type="character" w:customStyle="1" w:styleId="22">
    <w:name w:val="fontstyle11"/>
    <w:autoRedefine/>
    <w:qFormat/>
    <w:uiPriority w:val="0"/>
    <w:rPr>
      <w:rFonts w:hint="eastAsia" w:ascii="仿宋_GB2312" w:eastAsia="仿宋_GB2312"/>
      <w:color w:val="000000"/>
      <w:sz w:val="32"/>
      <w:szCs w:val="32"/>
    </w:rPr>
  </w:style>
  <w:style w:type="character" w:customStyle="1" w:styleId="23">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12</Pages>
  <Words>35</Words>
  <Characters>38</Characters>
  <Lines>68</Lines>
  <Paragraphs>19</Paragraphs>
  <TotalTime>58</TotalTime>
  <ScaleCrop>false</ScaleCrop>
  <LinksUpToDate>false</LinksUpToDate>
  <CharactersWithSpaces>42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Suriy</cp:lastModifiedBy>
  <cp:lastPrinted>2022-02-15T15:45:00Z</cp:lastPrinted>
  <dcterms:modified xsi:type="dcterms:W3CDTF">2026-03-11T02:40:34Z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B838B531BE944EAC8B26F392AD9E5141_13</vt:lpwstr>
  </property>
  <property fmtid="{D5CDD505-2E9C-101B-9397-08002B2CF9AE}" pid="4" name="KSOTemplateDocerSaveRecord">
    <vt:lpwstr>eyJoZGlkIjoiOTg4NWRmNTMxM2IzNWEyMzU0YjZlNTBmOWU0ODkxMTYiLCJ1c2VySWQiOiI0NzQzMzYwNTgifQ==</vt:lpwstr>
  </property>
</Properties>
</file>