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10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C4B21A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35BD813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46854EA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642AD42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kern w:val="0"/>
          <w:sz w:val="44"/>
          <w:szCs w:val="44"/>
          <w:lang w:val="en-US" w:eastAsia="zh-CN"/>
        </w:rPr>
        <w:t>华池县乔川乡人民政府</w:t>
      </w:r>
    </w:p>
    <w:p w14:paraId="017C137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20" w:lineRule="exact"/>
        <w:jc w:val="center"/>
        <w:textAlignment w:val="auto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方正小标宋简体" w:hAnsi="方正小标宋简体" w:eastAsia="方正小标宋简体" w:cs="方正小标宋简体"/>
          <w:b/>
          <w:bCs/>
          <w:kern w:val="0"/>
          <w:sz w:val="44"/>
          <w:szCs w:val="44"/>
          <w:lang w:val="en-US" w:eastAsia="zh-CN"/>
        </w:rPr>
        <w:t>2026</w:t>
      </w:r>
      <w:r>
        <w:rPr>
          <w:rFonts w:hint="eastAsia" w:ascii="方正小标宋简体" w:hAnsi="方正小标宋简体" w:eastAsia="方正小标宋简体" w:cs="方正小标宋简体"/>
          <w:b/>
          <w:bCs/>
          <w:kern w:val="0"/>
          <w:sz w:val="44"/>
          <w:szCs w:val="44"/>
        </w:rPr>
        <w:t>年</w:t>
      </w:r>
      <w:r>
        <w:rPr>
          <w:rFonts w:hint="eastAsia" w:ascii="方正小标宋简体" w:hAnsi="方正小标宋简体" w:eastAsia="方正小标宋简体" w:cs="方正小标宋简体"/>
          <w:b/>
          <w:bCs/>
          <w:kern w:val="0"/>
          <w:sz w:val="44"/>
          <w:szCs w:val="44"/>
          <w:lang w:val="en-US" w:eastAsia="zh-CN"/>
        </w:rPr>
        <w:t>部门</w:t>
      </w:r>
      <w:r>
        <w:rPr>
          <w:rFonts w:hint="eastAsia" w:ascii="方正小标宋简体" w:hAnsi="方正小标宋简体" w:eastAsia="方正小标宋简体" w:cs="方正小标宋简体"/>
          <w:b/>
          <w:bCs/>
          <w:kern w:val="0"/>
          <w:sz w:val="44"/>
          <w:szCs w:val="44"/>
        </w:rPr>
        <w:t>预算公开情况说明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 </w:t>
      </w:r>
    </w:p>
    <w:p w14:paraId="487D8E3F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6B92D923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22E9064C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554627B6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 w14:paraId="4076ED8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 w14:paraId="702972E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656203F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val="en-US" w:eastAsia="zh-CN"/>
        </w:rPr>
        <w:t>2026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 w14:paraId="6F2ADBD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429D6018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64AAE1C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1F265F8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726803F2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60DFBE9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0EDD8AE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3206D49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4C4B79A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147F848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val="en-US" w:eastAsia="zh-CN"/>
        </w:rPr>
        <w:t>2026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 w14:paraId="0E3CCE3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 w14:paraId="24483B0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 w14:paraId="751AEA7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 w14:paraId="06A89C8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6563588D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78423D43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0CAEDE4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33A20B6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7C75F62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427F3C8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2E64DEB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6CE1153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328F71DD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03292895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6A17628F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183D2989">
      <w:pPr>
        <w:spacing w:line="600" w:lineRule="exact"/>
        <w:ind w:firstLine="643" w:firstLineChars="200"/>
        <w:jc w:val="center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</w:t>
      </w:r>
      <w:r>
        <w:rPr>
          <w:rFonts w:hint="eastAsia" w:ascii="仿宋_GB2312" w:hAnsi="黑体" w:eastAsia="仿宋_GB2312" w:cs="宋体"/>
          <w:b/>
          <w:kern w:val="0"/>
          <w:sz w:val="32"/>
          <w:szCs w:val="32"/>
          <w:lang w:val="en-US" w:eastAsia="zh-CN"/>
        </w:rPr>
        <w:t xml:space="preserve">            </w:t>
      </w: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言</w:t>
      </w:r>
    </w:p>
    <w:p w14:paraId="35FD43E1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2026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38864E85">
      <w:pPr>
        <w:numPr>
          <w:ilvl w:val="0"/>
          <w:numId w:val="1"/>
        </w:numPr>
        <w:spacing w:line="600" w:lineRule="exact"/>
        <w:ind w:firstLine="640" w:firstLineChars="200"/>
        <w:rPr>
          <w:rFonts w:hint="eastAsia"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部门/单位职责</w:t>
      </w:r>
    </w:p>
    <w:p w14:paraId="3DFE1550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1.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贯彻执行党的路线、方针、政策和国家法律法规，贯彻执行上级行政机关的决议、命令及镇党委的决定，执行乡人民代表大会的决议；</w:t>
      </w:r>
    </w:p>
    <w:p w14:paraId="7D6919EF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2.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对乡人民代表大会及其主席团和县政府负责并报告工作；</w:t>
      </w:r>
    </w:p>
    <w:p w14:paraId="2E931B5C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3.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编制和执行乡国民经济和社会发展计划，编制并执行财政预算；</w:t>
      </w:r>
    </w:p>
    <w:p w14:paraId="4516CA95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4.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管理经济和各项社会事业的行政工作；</w:t>
      </w:r>
    </w:p>
    <w:p w14:paraId="2F374317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5.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负责乡行政执法工作，维护社会秩序，保护公民人身、民主、财产等合法权利，保护各种经济组织的合法权益；</w:t>
      </w:r>
    </w:p>
    <w:p w14:paraId="7F29D60E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6.支持和帮助村民委员会工作；</w:t>
      </w:r>
    </w:p>
    <w:p w14:paraId="1512C511">
      <w:pPr>
        <w:spacing w:line="600" w:lineRule="exact"/>
        <w:ind w:firstLine="640" w:firstLineChars="200"/>
        <w:rPr>
          <w:rFonts w:hint="default" w:ascii="黑体" w:hAnsi="黑体" w:eastAsia="黑体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7.法律规定的其他职责。</w:t>
      </w:r>
    </w:p>
    <w:p w14:paraId="3B267B32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472AF7C9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（一）机关内设机构</w:t>
      </w:r>
    </w:p>
    <w:p w14:paraId="2C3BC9C4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乔川乡人民政府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内设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个职能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eastAsia="zh-CN"/>
        </w:rPr>
        <w:t>股室（1.党政综合办公室负责乡党委、人大、政府日常工作和组织人事机构编制工作；2.党建办公室负责乡机关党务、纪检和党风廉政建设、宣传工作；3、经济发展和社会事务办公室负责经济发展规划的制定和落实，第一、二、三产业的指导、管理工作；4、平安法治办公室负责治安防控体系建设、平安创建活动工作，负责网格化管理、网络信息技术平台建设、维护网格化综合管理的事务性、辅助性工作，承担人民来信来访、司法、人民调解、治安联防、协调政法综治、群防群治、安全创建等工作，宣传贯彻安全生产有关法律、法规、政策；协助做好安全生产（含消防安全）综合监管和打非治违、禁毒、反邪教等工作。并设置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eastAsia="zh-CN"/>
        </w:rPr>
        <w:t>个事业机构，分别为农业服务中心负责宣传贯彻农业农村相关法律、法规、政策、农业技术推广应用与指导，动植物病虫害、疫情的监测与防治，农产品质量监管服务；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党群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eastAsia="zh-CN"/>
        </w:rPr>
        <w:t>服务中心负责为群众提供公共服务，宣传贯彻相关政策方针，劳动就业、残疾人事业和基本养老、医疗、工伤、失业等社会保险相关事务性工作，办理本级和经授权行使的相关行政审批服务、证照办理、信息咨询、非涉密文件查询等工作，窗口工作人员的服务评价和绩效考核工作；综合执法队负责依据相关法律法规，统一承担辖区范围内综合行政执法的工作；根据县直有关部门委托，集中行使乡村集镇管理、自然资源、生态环境保护、水利、交通运输、安全生产（含消防安全）、社会保障、农业、林业草原、文化旅游等领域的行政监督权和相对集中的行政处罚权；负责执法信息报送；配合上级执法部门开展联合执法、专项执法等工作。</w:t>
      </w:r>
    </w:p>
    <w:p w14:paraId="56FA62B3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三、部门/单位收支总体情况</w:t>
      </w:r>
    </w:p>
    <w:p w14:paraId="52B13601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2026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年部门（单位）收支包括机关预算和直属单位预算在内的汇总情况。</w:t>
      </w:r>
    </w:p>
    <w:p w14:paraId="653BB54A">
      <w:pPr>
        <w:spacing w:line="600" w:lineRule="exact"/>
        <w:ind w:firstLine="640" w:firstLineChars="200"/>
        <w:rPr>
          <w:rFonts w:ascii="仿宋_GB2312" w:hAnsi="仿宋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2026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704.11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万元。按照综合预算的原则，部门（单位）所有收入和支出均纳入部门预算管理。收入包括：</w:t>
      </w: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</w:rPr>
        <w:t>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 w14:paraId="7F0A343B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15F6DB86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704.11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万元（详见部门/单位预算公开表1,2）。包括：</w:t>
      </w:r>
    </w:p>
    <w:p w14:paraId="3B91F305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704.11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68142732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0D0E746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704.11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万元（详见部门/单位预算公开表3）。</w:t>
      </w:r>
      <w:r>
        <w:rPr>
          <w:rStyle w:val="21"/>
          <w:rFonts w:hint="default" w:hAnsi="仿宋"/>
        </w:rPr>
        <w:t>其中：基本支出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704.11</w:t>
      </w:r>
      <w:r>
        <w:rPr>
          <w:rStyle w:val="21"/>
          <w:rFonts w:hint="default" w:hAnsi="仿宋"/>
        </w:rPr>
        <w:t>万元</w:t>
      </w:r>
      <w:r>
        <w:rPr>
          <w:rStyle w:val="21"/>
          <w:rFonts w:hint="eastAsia" w:hAnsi="仿宋" w:eastAsia="仿宋_GB2312"/>
          <w:lang w:eastAsia="zh-CN"/>
        </w:rPr>
        <w:t>，占</w:t>
      </w:r>
      <w:r>
        <w:rPr>
          <w:rStyle w:val="22"/>
          <w:rFonts w:hint="eastAsia" w:ascii="仿宋_GB2312" w:hAnsi="仿宋" w:eastAsia="仿宋_GB2312"/>
          <w:lang w:val="en-US" w:eastAsia="zh-CN"/>
        </w:rPr>
        <w:t>100</w:t>
      </w:r>
      <w:r>
        <w:rPr>
          <w:rStyle w:val="22"/>
          <w:rFonts w:hint="eastAsia" w:ascii="仿宋_GB2312" w:hAnsi="仿宋" w:eastAsia="仿宋_GB2312"/>
        </w:rPr>
        <w:t>%</w:t>
      </w:r>
      <w:r>
        <w:rPr>
          <w:rStyle w:val="21"/>
          <w:rFonts w:hint="default" w:hAnsi="仿宋"/>
        </w:rPr>
        <w:t>。</w:t>
      </w:r>
    </w:p>
    <w:p w14:paraId="49303BEC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2A3FC5A8">
      <w:pPr>
        <w:widowControl/>
        <w:adjustRightInd w:val="0"/>
        <w:snapToGrid w:val="0"/>
        <w:spacing w:line="640" w:lineRule="exact"/>
        <w:ind w:left="319" w:leftChars="152" w:firstLine="320" w:firstLineChars="100"/>
        <w:contextualSpacing/>
        <w:jc w:val="left"/>
        <w:rPr>
          <w:rFonts w:ascii="仿宋_GB2312" w:hAnsi="仿宋" w:eastAsia="仿宋_GB2312"/>
          <w:color w:val="auto"/>
          <w:sz w:val="32"/>
          <w:szCs w:val="32"/>
        </w:rPr>
      </w:pPr>
      <w:r>
        <w:rPr>
          <w:rStyle w:val="22"/>
          <w:rFonts w:hint="eastAsia" w:ascii="仿宋_GB2312" w:hAnsi="仿宋" w:eastAsia="仿宋_GB2312"/>
          <w:color w:val="auto"/>
          <w:lang w:val="en-US" w:eastAsia="zh-CN"/>
        </w:rPr>
        <w:t>2026</w:t>
      </w:r>
      <w:r>
        <w:rPr>
          <w:rStyle w:val="21"/>
          <w:rFonts w:hint="default" w:hAnsi="仿宋"/>
          <w:color w:val="auto"/>
        </w:rPr>
        <w:t>年一般公共预算当年支出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704.11</w:t>
      </w:r>
      <w:r>
        <w:rPr>
          <w:rStyle w:val="21"/>
          <w:rFonts w:hint="default" w:hAnsi="仿宋"/>
          <w:color w:val="auto"/>
        </w:rPr>
        <w:t>万元，包括：</w:t>
      </w:r>
      <w:r>
        <w:rPr>
          <w:rStyle w:val="21"/>
          <w:rFonts w:hint="eastAsia" w:ascii="仿宋_GB2312" w:hAnsi="仿宋_GB2312" w:eastAsia="仿宋_GB2312" w:cs="仿宋_GB2312"/>
          <w:color w:val="auto"/>
        </w:rPr>
        <w:t>农林水支出</w:t>
      </w:r>
      <w:r>
        <w:rPr>
          <w:rStyle w:val="21"/>
          <w:rFonts w:hint="eastAsia" w:ascii="仿宋_GB2312" w:hAnsi="仿宋_GB2312" w:eastAsia="仿宋_GB2312" w:cs="仿宋_GB2312"/>
          <w:color w:val="auto"/>
          <w:lang w:val="en-US" w:eastAsia="zh-CN"/>
        </w:rPr>
        <w:t xml:space="preserve"> 512.11</w:t>
      </w:r>
      <w:r>
        <w:rPr>
          <w:rStyle w:val="21"/>
          <w:rFonts w:hint="eastAsia" w:ascii="仿宋_GB2312" w:hAnsi="仿宋_GB2312" w:eastAsia="仿宋_GB2312" w:cs="仿宋_GB2312"/>
          <w:color w:val="auto"/>
        </w:rPr>
        <w:t>万元、卫生健康支出</w:t>
      </w:r>
      <w:r>
        <w:rPr>
          <w:rStyle w:val="21"/>
          <w:rFonts w:hint="eastAsia" w:ascii="仿宋_GB2312" w:hAnsi="仿宋_GB2312" w:eastAsia="仿宋_GB2312" w:cs="仿宋_GB2312"/>
          <w:color w:val="auto"/>
          <w:lang w:val="en-US" w:eastAsia="zh-CN"/>
        </w:rPr>
        <w:t>31.06</w:t>
      </w:r>
      <w:r>
        <w:rPr>
          <w:rStyle w:val="21"/>
          <w:rFonts w:hint="eastAsia" w:ascii="仿宋_GB2312" w:hAnsi="仿宋_GB2312" w:eastAsia="仿宋_GB2312" w:cs="仿宋_GB2312"/>
          <w:color w:val="auto"/>
        </w:rPr>
        <w:t>万元</w:t>
      </w:r>
      <w:r>
        <w:rPr>
          <w:rStyle w:val="21"/>
          <w:rFonts w:hint="eastAsia" w:ascii="仿宋_GB2312" w:hAnsi="仿宋_GB2312" w:eastAsia="仿宋_GB2312" w:cs="仿宋_GB2312"/>
          <w:color w:val="auto"/>
          <w:lang w:eastAsia="zh-CN"/>
        </w:rPr>
        <w:t>、</w:t>
      </w:r>
      <w:r>
        <w:rPr>
          <w:rStyle w:val="21"/>
          <w:rFonts w:hint="eastAsia" w:ascii="仿宋_GB2312" w:hAnsi="仿宋_GB2312" w:eastAsia="仿宋_GB2312" w:cs="仿宋_GB2312"/>
          <w:color w:val="auto"/>
        </w:rPr>
        <w:t>社会保障和就业支出</w:t>
      </w:r>
      <w:r>
        <w:rPr>
          <w:rStyle w:val="22"/>
          <w:rFonts w:hint="eastAsia" w:ascii="仿宋_GB2312" w:hAnsi="仿宋" w:eastAsia="仿宋_GB2312"/>
          <w:color w:val="auto"/>
          <w:lang w:val="en-US" w:eastAsia="zh-CN"/>
        </w:rPr>
        <w:t>100.31</w:t>
      </w:r>
      <w:r>
        <w:rPr>
          <w:rStyle w:val="21"/>
          <w:rFonts w:hint="eastAsia" w:ascii="仿宋_GB2312" w:hAnsi="仿宋_GB2312" w:eastAsia="仿宋_GB2312" w:cs="仿宋_GB2312"/>
          <w:color w:val="auto"/>
        </w:rPr>
        <w:t>万元、住房保障支出</w:t>
      </w:r>
      <w:r>
        <w:rPr>
          <w:rStyle w:val="21"/>
          <w:rFonts w:hint="eastAsia" w:ascii="仿宋_GB2312" w:hAnsi="仿宋_GB2312" w:eastAsia="仿宋_GB2312" w:cs="仿宋_GB2312"/>
          <w:color w:val="auto"/>
          <w:lang w:val="en-US" w:eastAsia="zh-CN"/>
        </w:rPr>
        <w:t>44.63</w:t>
      </w:r>
      <w:r>
        <w:rPr>
          <w:rStyle w:val="21"/>
          <w:rFonts w:hint="eastAsia" w:ascii="仿宋_GB2312" w:hAnsi="仿宋_GB2312" w:eastAsia="仿宋_GB2312" w:cs="仿宋_GB2312"/>
          <w:color w:val="auto"/>
        </w:rPr>
        <w:t>万元</w:t>
      </w:r>
      <w:r>
        <w:rPr>
          <w:rStyle w:val="21"/>
          <w:rFonts w:hint="eastAsia" w:ascii="仿宋_GB2312" w:hAnsi="仿宋_GB2312" w:eastAsia="仿宋_GB2312" w:cs="仿宋_GB2312"/>
          <w:color w:val="auto"/>
          <w:lang w:eastAsia="zh-CN"/>
        </w:rPr>
        <w:t>，其他支出</w:t>
      </w:r>
      <w:r>
        <w:rPr>
          <w:rStyle w:val="21"/>
          <w:rFonts w:hint="eastAsia" w:ascii="仿宋_GB2312" w:hAnsi="仿宋_GB2312" w:eastAsia="仿宋_GB2312" w:cs="仿宋_GB2312"/>
          <w:color w:val="auto"/>
          <w:lang w:val="en-US" w:eastAsia="zh-CN"/>
        </w:rPr>
        <w:t>16万元</w:t>
      </w:r>
      <w:r>
        <w:rPr>
          <w:rStyle w:val="21"/>
          <w:rFonts w:hint="eastAsia" w:ascii="仿宋_GB2312" w:hAnsi="仿宋_GB2312" w:eastAsia="仿宋_GB2312" w:cs="仿宋_GB2312"/>
          <w:color w:val="auto"/>
        </w:rPr>
        <w:t>。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color w:val="auto"/>
          <w:sz w:val="32"/>
          <w:szCs w:val="32"/>
        </w:rPr>
        <w:t>（详见部门（单位）预算公开表4,5,6,7）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：</w:t>
      </w:r>
    </w:p>
    <w:p w14:paraId="36186EB3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4B90D53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704.11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45.61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减少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6.08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%，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减少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的主要原因是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</w:t>
      </w:r>
      <w:r>
        <w:rPr>
          <w:rFonts w:hint="eastAsia" w:ascii="仿宋_GB2312" w:hAnsi="仿宋_GB2312" w:eastAsia="仿宋_GB2312" w:cs="仿宋_GB2312"/>
          <w:sz w:val="32"/>
          <w:szCs w:val="32"/>
        </w:rPr>
        <w:t>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减少。</w:t>
      </w:r>
    </w:p>
    <w:p w14:paraId="2BDFCE41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610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、津贴补贴、奖金、伙食补助费、绩效工资、机关事业单位基本养老保险缴费、职业年金缴费、职工基本医疗保险缴费、公务员医疗补助缴费、其他社会保障缴费、住房公积金、医疗费、其他工资福利支出、离休费、退休费、退职（役）费、抚恤金、生活补助、救济费、医疗费补助、奖励金、代缴社会保险费 、其他对个人和家庭的补助等。</w:t>
      </w:r>
    </w:p>
    <w:p w14:paraId="6E915E9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78.11</w:t>
      </w:r>
      <w:r>
        <w:rPr>
          <w:rFonts w:hint="eastAsia" w:ascii="仿宋_GB2312" w:hAnsi="仿宋" w:eastAsia="仿宋_GB2312"/>
          <w:sz w:val="32"/>
          <w:szCs w:val="32"/>
        </w:rPr>
        <w:t>万元，主要包括：办公费、印刷费、咨询费、手续费、水费、电费、邮电费、取暖费、物业管理费、差旅费、因公出国（境）费、维修（护）费、租赁费、会议费、培训费、公务接待费、专用材料费、被装购置费、专用燃料费、劳务费、委托业务费、工会经费、福利费、公务用车运行维护费、其他交通费用、税金及附加费用、其他商品和服务支出、办公设备购置、专用设备购置等。</w:t>
      </w:r>
    </w:p>
    <w:p w14:paraId="44B86DC6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32C88214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39EBC65E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仿宋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“三公”经费预算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3.5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0AD7AA3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1.因公出国（境）费用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7699AC8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2.公务接待费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0.5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4619E57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3.公务用车购置及运行维护费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万元（其中：公务用车购置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   万元，公务用车运行维护费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万元），较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2025</w:t>
      </w:r>
      <w:r>
        <w:rPr>
          <w:rFonts w:hint="eastAsia" w:ascii="仿宋_GB2312" w:hAnsi="仿宋" w:eastAsia="仿宋_GB2312"/>
          <w:sz w:val="32"/>
          <w:szCs w:val="32"/>
        </w:rPr>
        <w:t xml:space="preserve">年预算增加（减少）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10328EAA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 w14:paraId="0FCF566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4.培训费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较202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年预算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无变化。</w:t>
      </w:r>
    </w:p>
    <w:p w14:paraId="63ECA246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 w14:paraId="76578520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5.会议费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较202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年预算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无变化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。</w:t>
      </w:r>
    </w:p>
    <w:p w14:paraId="382643CB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54E6219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contextualSpacing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机关运行经费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48.46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万元，较202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年预算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减少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2.7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万元。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减少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5.23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%，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减少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的主要原因是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2026年人员减少，运行费用降低。</w:t>
      </w:r>
    </w:p>
    <w:p w14:paraId="4AABC1C7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color w:val="auto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auto"/>
          <w:kern w:val="0"/>
          <w:sz w:val="32"/>
          <w:szCs w:val="32"/>
        </w:rPr>
        <w:t>七、政府采购安排情况</w:t>
      </w:r>
    </w:p>
    <w:p w14:paraId="194924B1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2026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年，部门（单位）政府采购预算总额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23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万元，其中：政府采购货物预算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万元，政府采购工程预算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万元，政府采购服务预算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13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万元。</w:t>
      </w:r>
    </w:p>
    <w:p w14:paraId="43850F11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color w:val="auto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auto"/>
          <w:kern w:val="0"/>
          <w:sz w:val="32"/>
          <w:szCs w:val="32"/>
        </w:rPr>
        <w:t>八、国有资产占用情况</w:t>
      </w:r>
    </w:p>
    <w:p w14:paraId="62698F4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上年末固定资产金额为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344.71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万元。其中：办公用房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3744.71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平方米，价值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238.34</w:t>
      </w:r>
      <w:bookmarkStart w:id="0" w:name="_GoBack"/>
      <w:bookmarkEnd w:id="0"/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万元。预算部门（单位）共有公务用车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辆，价值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27.6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万元。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年拟采购固定资产约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万元。</w:t>
      </w:r>
    </w:p>
    <w:p w14:paraId="21B8D5F9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14FF971E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62EEC1CC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未安排预算，政府性基金预算支出情况表为空表。</w:t>
      </w:r>
    </w:p>
    <w:p w14:paraId="2CF3A45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3380305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2025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59FF88B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2A36200C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本</w:t>
      </w:r>
      <w:r>
        <w:rPr>
          <w:rFonts w:hint="eastAsia" w:ascii="仿宋_GB2312" w:hAnsi="仿宋" w:eastAsia="仿宋_GB2312"/>
          <w:sz w:val="32"/>
          <w:szCs w:val="32"/>
        </w:rPr>
        <w:t>单位年初预算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16万元用于支出村级公益性共享共管资金。</w:t>
      </w:r>
    </w:p>
    <w:p w14:paraId="3A7295A1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54AFA21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未安排预算，单位管理转移支付表为空表。</w:t>
      </w:r>
    </w:p>
    <w:p w14:paraId="2F5F15E7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43AC4C9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</w:t>
      </w:r>
    </w:p>
    <w:p w14:paraId="412740C5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76FD950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2025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3CFEAB8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19EE3591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仿宋" w:eastAsia="仿宋_GB2312"/>
          <w:sz w:val="32"/>
          <w:szCs w:val="32"/>
        </w:rPr>
        <w:t>整体支出和项目绩效目标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个，按规定随年度预算一并公开项目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1FDB9F8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3" w:firstLineChars="200"/>
        <w:contextualSpacing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年7月，组织开展1-6月绩效运行监控项目1个，占本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项目的100 %。截至7月底，如期完成预算执行和绩效目标指标值的项目1个，完成率为10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%。“双监控”发现存在的问题和主要原因是填报绩效目标设置过于宏观，具体的量化指标不足，提现绩效目标的实现程度较为模糊。开展1-9月绩效运行监控项目1个，占本部门（单位）项目的 100%。截至10月底，如期完成预算执行和绩效目标指标值的项目1个，完成率为 100 %。“双监控”发现存在的问题和主要原因是：绩效运行监控报表填报不规范，无法监控绩效目标的实现程度。</w:t>
      </w:r>
    </w:p>
    <w:p w14:paraId="11AE0795">
      <w:pPr>
        <w:widowControl/>
        <w:numPr>
          <w:ilvl w:val="0"/>
          <w:numId w:val="0"/>
        </w:numPr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b/>
          <w:sz w:val="32"/>
          <w:szCs w:val="32"/>
          <w:lang w:val="en-US" w:eastAsia="zh-CN"/>
        </w:rPr>
        <w:t>3.</w:t>
      </w:r>
      <w:r>
        <w:rPr>
          <w:rFonts w:hint="eastAsia" w:ascii="仿宋_GB2312" w:hAnsi="仿宋" w:eastAsia="仿宋_GB2312"/>
          <w:b/>
          <w:sz w:val="32"/>
          <w:szCs w:val="32"/>
        </w:rPr>
        <w:t>绩效自评开展情况。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1个，其中，部门（单位）整体支出1个绩效自评覆盖率为100 %。绩效自评结果随部门决算报送财政和随决算公开情况：根据年初设定的绩效目标，绩效自评得分为95分。绩效目标完成情况：一是按时全面完成全年工作任务；二是质量指标：经费使用合规，实际实施中符合政策且支出规范；三是成本指标：降低机关运行成本；四是满意度指标：绩效目标受益群体或服务对象满意度大于95%。自评结果均达到设定的绩效目标，取得良好的社会效益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30AD8159">
      <w:pPr>
        <w:widowControl/>
        <w:numPr>
          <w:ilvl w:val="0"/>
          <w:numId w:val="0"/>
        </w:numPr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2025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年度增加（减少）部门预算项目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个。</w:t>
      </w:r>
    </w:p>
    <w:p w14:paraId="537A3339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2026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153D7AE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" w:eastAsia="仿宋_GB2312"/>
          <w:sz w:val="32"/>
          <w:szCs w:val="32"/>
        </w:rPr>
        <w:t>年，纳入单位预算绩效目标管理的项目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个。其中，部门整体支出绩效目标围绕部门管理、履职效果、能力建设三个维度，设置二级指标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15</w:t>
      </w:r>
      <w:r>
        <w:rPr>
          <w:rFonts w:hint="eastAsia" w:ascii="仿宋_GB2312" w:hAnsi="仿宋" w:eastAsia="仿宋_GB2312"/>
          <w:sz w:val="32"/>
          <w:szCs w:val="32"/>
        </w:rPr>
        <w:t>个。各项绩效目标内容指向明确、细化量化、合理可行，符合规定的格式要求。</w:t>
      </w:r>
    </w:p>
    <w:p w14:paraId="07EEAAC2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11ACCCE6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6E6413D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6607DA96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2823F747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5BE046E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0DAC24B7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2D81633D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478E3E09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49D16986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7B03CD5C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0CEA9D63">
      <w:pPr>
        <w:adjustRightInd w:val="0"/>
        <w:snapToGrid w:val="0"/>
        <w:spacing w:line="640" w:lineRule="exact"/>
        <w:ind w:right="1120"/>
        <w:contextualSpacing/>
        <w:jc w:val="right"/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华池县乔川乡人民政府</w:t>
      </w:r>
    </w:p>
    <w:p w14:paraId="57BE17FE">
      <w:pPr>
        <w:adjustRightInd w:val="0"/>
        <w:snapToGrid w:val="0"/>
        <w:spacing w:line="640" w:lineRule="exact"/>
        <w:ind w:right="1120"/>
        <w:contextualSpacing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 xml:space="preserve">                                              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月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11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日</w:t>
      </w:r>
    </w:p>
    <w:p w14:paraId="58FA35A0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 w14:paraId="7380EC9C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华池县乔川乡人民政府2026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 w14:paraId="30525A1F">
      <w:pPr>
        <w:adjustRightInd w:val="0"/>
        <w:snapToGrid w:val="0"/>
        <w:spacing w:line="640" w:lineRule="exact"/>
        <w:ind w:left="1796" w:leftChars="767" w:hanging="185" w:hangingChars="58"/>
        <w:contextualSpacing/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华池县乔川乡人民政府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2026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2C45352-F686-4053-A74A-9001ACF82702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2D34BC13-861E-459B-A112-A4711EB66642}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8BD7F166-3EAB-4DA9-A6A0-8EB7610CD739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720DD094-325E-47D7-9739-0E2B0CD0E978}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5" w:fontKey="{2AB02CEE-6C23-47C3-A751-B0945ED7B665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6" w:fontKey="{D95C59BE-1A03-4600-92DC-FA54460DA5F0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26BE1E5C-CB5A-47CF-A7C0-CAB4928AEDB0}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  <w:embedRegular r:id="rId8" w:fontKey="{4B4C6765-3B83-4EB2-91C5-FD1A3FB7F6C3}"/>
  </w:font>
  <w:font w:name="CIDFont+F6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  <w:embedRegular r:id="rId9" w:fontKey="{B9843CB2-4ABC-43B0-85E4-A0B129577DD3}"/>
  </w:font>
  <w:font w:name="CIDFont+F4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  <w:embedRegular r:id="rId10" w:fontKey="{B3BAEEE3-8E77-412A-A96F-93F7DE7200DC}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98BAFE">
    <w:pPr>
      <w:pStyle w:val="5"/>
      <w:jc w:val="center"/>
    </w:pPr>
  </w:p>
  <w:p w14:paraId="69F233E8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ECC453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4CDB7838"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7BFAADB"/>
    <w:multiLevelType w:val="singleLevel"/>
    <w:tmpl w:val="47BFAAD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RhMjVlMWQxMTJlNDAzMGQ4OTU4MmIzOWY5MTM4MGE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951DD5"/>
    <w:rsid w:val="02E03DF9"/>
    <w:rsid w:val="030B6598"/>
    <w:rsid w:val="05CC5C68"/>
    <w:rsid w:val="05F920B3"/>
    <w:rsid w:val="099E0166"/>
    <w:rsid w:val="0DFC36AD"/>
    <w:rsid w:val="0E612A9A"/>
    <w:rsid w:val="0E9C279A"/>
    <w:rsid w:val="0F725B93"/>
    <w:rsid w:val="0F9412CB"/>
    <w:rsid w:val="113741D2"/>
    <w:rsid w:val="138A175B"/>
    <w:rsid w:val="13E56991"/>
    <w:rsid w:val="1BF754B3"/>
    <w:rsid w:val="1D34261E"/>
    <w:rsid w:val="1FBA54F7"/>
    <w:rsid w:val="22BC6CE1"/>
    <w:rsid w:val="25F275E8"/>
    <w:rsid w:val="280D378D"/>
    <w:rsid w:val="2AB03DA2"/>
    <w:rsid w:val="2AF552B4"/>
    <w:rsid w:val="2D0E4D65"/>
    <w:rsid w:val="307D6477"/>
    <w:rsid w:val="33352762"/>
    <w:rsid w:val="35847FBF"/>
    <w:rsid w:val="36687282"/>
    <w:rsid w:val="381F1BC2"/>
    <w:rsid w:val="3948288A"/>
    <w:rsid w:val="3AF834CA"/>
    <w:rsid w:val="3B517EE2"/>
    <w:rsid w:val="3CE31410"/>
    <w:rsid w:val="3CF00750"/>
    <w:rsid w:val="3FB25E64"/>
    <w:rsid w:val="42A05423"/>
    <w:rsid w:val="487877F8"/>
    <w:rsid w:val="49A14B2D"/>
    <w:rsid w:val="4A190E05"/>
    <w:rsid w:val="4C433C79"/>
    <w:rsid w:val="4CA74208"/>
    <w:rsid w:val="4D5C4A01"/>
    <w:rsid w:val="4FBB1CF3"/>
    <w:rsid w:val="51A4290D"/>
    <w:rsid w:val="527E074E"/>
    <w:rsid w:val="551C4892"/>
    <w:rsid w:val="56393C72"/>
    <w:rsid w:val="579503FF"/>
    <w:rsid w:val="59C4508E"/>
    <w:rsid w:val="5E2C368E"/>
    <w:rsid w:val="60535296"/>
    <w:rsid w:val="62141EE8"/>
    <w:rsid w:val="6333639E"/>
    <w:rsid w:val="63FE135F"/>
    <w:rsid w:val="674C036C"/>
    <w:rsid w:val="67753B8C"/>
    <w:rsid w:val="6844700C"/>
    <w:rsid w:val="69415BEE"/>
    <w:rsid w:val="6BD975ED"/>
    <w:rsid w:val="6D9007DD"/>
    <w:rsid w:val="6F9570D8"/>
    <w:rsid w:val="702A5C34"/>
    <w:rsid w:val="72FD2525"/>
    <w:rsid w:val="78106856"/>
    <w:rsid w:val="78176E68"/>
    <w:rsid w:val="7C907F65"/>
    <w:rsid w:val="7EE92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autoRedefine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autoRedefine/>
    <w:qFormat/>
    <w:uiPriority w:val="0"/>
    <w:pPr>
      <w:jc w:val="left"/>
    </w:pPr>
  </w:style>
  <w:style w:type="paragraph" w:styleId="4">
    <w:name w:val="Balloon Text"/>
    <w:basedOn w:val="1"/>
    <w:link w:val="16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annotation subject"/>
    <w:basedOn w:val="3"/>
    <w:next w:val="3"/>
    <w:link w:val="20"/>
    <w:autoRedefine/>
    <w:qFormat/>
    <w:uiPriority w:val="0"/>
    <w:rPr>
      <w:b/>
      <w:bCs/>
    </w:rPr>
  </w:style>
  <w:style w:type="character" w:styleId="11">
    <w:name w:val="line number"/>
    <w:autoRedefine/>
    <w:qFormat/>
    <w:uiPriority w:val="0"/>
  </w:style>
  <w:style w:type="character" w:styleId="12">
    <w:name w:val="annotation reference"/>
    <w:autoRedefine/>
    <w:qFormat/>
    <w:uiPriority w:val="0"/>
    <w:rPr>
      <w:sz w:val="21"/>
      <w:szCs w:val="21"/>
    </w:rPr>
  </w:style>
  <w:style w:type="character" w:customStyle="1" w:styleId="13">
    <w:name w:val="页脚 Char"/>
    <w:link w:val="5"/>
    <w:autoRedefine/>
    <w:qFormat/>
    <w:uiPriority w:val="0"/>
    <w:rPr>
      <w:sz w:val="18"/>
      <w:szCs w:val="18"/>
    </w:rPr>
  </w:style>
  <w:style w:type="character" w:customStyle="1" w:styleId="14">
    <w:name w:val="页眉 Char"/>
    <w:link w:val="6"/>
    <w:autoRedefine/>
    <w:qFormat/>
    <w:uiPriority w:val="0"/>
    <w:rPr>
      <w:sz w:val="18"/>
      <w:szCs w:val="18"/>
    </w:rPr>
  </w:style>
  <w:style w:type="paragraph" w:styleId="15">
    <w:name w:val="List Paragraph"/>
    <w:basedOn w:val="1"/>
    <w:autoRedefine/>
    <w:qFormat/>
    <w:uiPriority w:val="0"/>
    <w:pPr>
      <w:ind w:firstLine="420" w:firstLineChars="200"/>
    </w:pPr>
  </w:style>
  <w:style w:type="character" w:customStyle="1" w:styleId="16">
    <w:name w:val="批注框文本 Char"/>
    <w:link w:val="4"/>
    <w:autoRedefine/>
    <w:qFormat/>
    <w:uiPriority w:val="0"/>
    <w:rPr>
      <w:kern w:val="2"/>
      <w:sz w:val="18"/>
      <w:szCs w:val="18"/>
    </w:rPr>
  </w:style>
  <w:style w:type="character" w:customStyle="1" w:styleId="17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8">
    <w:name w:val="TOC Heading"/>
    <w:basedOn w:val="2"/>
    <w:next w:val="1"/>
    <w:autoRedefine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9">
    <w:name w:val="批注文字 Char"/>
    <w:link w:val="3"/>
    <w:autoRedefine/>
    <w:qFormat/>
    <w:uiPriority w:val="0"/>
    <w:rPr>
      <w:kern w:val="2"/>
      <w:sz w:val="21"/>
      <w:szCs w:val="22"/>
    </w:rPr>
  </w:style>
  <w:style w:type="character" w:customStyle="1" w:styleId="20">
    <w:name w:val="批注主题 Char"/>
    <w:link w:val="8"/>
    <w:autoRedefine/>
    <w:qFormat/>
    <w:uiPriority w:val="0"/>
    <w:rPr>
      <w:b/>
      <w:bCs/>
      <w:kern w:val="2"/>
      <w:sz w:val="21"/>
      <w:szCs w:val="22"/>
    </w:rPr>
  </w:style>
  <w:style w:type="character" w:customStyle="1" w:styleId="21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2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3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4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0" Type="http://schemas.openxmlformats.org/officeDocument/2006/relationships/font" Target="fonts/font10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11</Pages>
  <Words>4381</Words>
  <Characters>4642</Characters>
  <Lines>68</Lines>
  <Paragraphs>19</Paragraphs>
  <TotalTime>75</TotalTime>
  <ScaleCrop>false</ScaleCrop>
  <LinksUpToDate>false</LinksUpToDate>
  <CharactersWithSpaces>4730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2024-01-30T09:03:00Z</dcterms:created>
  <dc:creator>home</dc:creator>
  <cp:lastModifiedBy>WPS_1528078082</cp:lastModifiedBy>
  <cp:lastPrinted>2022-02-15T07:45:00Z</cp:lastPrinted>
  <dcterms:modified xsi:type="dcterms:W3CDTF">2026-03-11T09:56:52Z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DB957D3126474A2380143888ADBD2978_13</vt:lpwstr>
  </property>
  <property fmtid="{D5CDD505-2E9C-101B-9397-08002B2CF9AE}" pid="4" name="KSOTemplateDocerSaveRecord">
    <vt:lpwstr>eyJoZGlkIjoiZDAyNWQzMmMxOWY4N2UwZWViYTJmY2Q2YzIzOGJmNmUiLCJ1c2VySWQiOiIzNzU4NDY2NzAifQ==</vt:lpwstr>
  </property>
</Properties>
</file>