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元城镇人民政府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numPr>
          <w:ilvl w:val="0"/>
          <w:numId w:val="1"/>
        </w:numPr>
        <w:spacing w:line="600" w:lineRule="exact"/>
        <w:ind w:firstLine="640"/>
        <w:rPr>
          <w:rFonts w:hint="eastAsia"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部门/单位职责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sz w:val="32"/>
          <w:szCs w:val="32"/>
        </w:rPr>
        <w:t>贯彻执行党的路线、方针、政策和国家法律法规，贯彻执行上级行政机关的决议、命令及镇党委的决定，执行乡人民代表大会的决议；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sz w:val="32"/>
          <w:szCs w:val="32"/>
        </w:rPr>
        <w:t>对乡人民代表大会及其主席团和县政府负责并报告工作；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 w:cs="宋体"/>
          <w:sz w:val="32"/>
          <w:szCs w:val="32"/>
        </w:rPr>
        <w:t>编制和执行乡国民经济和社会发展计划，编制并执行财政预算；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sz w:val="32"/>
          <w:szCs w:val="32"/>
        </w:rPr>
        <w:t>管理经济和各项社会事业的行政工作；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5.</w:t>
      </w:r>
      <w:r>
        <w:rPr>
          <w:rFonts w:hint="eastAsia" w:ascii="仿宋_GB2312" w:hAnsi="仿宋" w:eastAsia="仿宋_GB2312" w:cs="宋体"/>
          <w:sz w:val="32"/>
          <w:szCs w:val="32"/>
        </w:rPr>
        <w:t>负责乡行政执法工作，维护社会秩序，保护公民人身、民主、财产等合法权利，保护各种经济组织的合法权益；</w:t>
      </w:r>
    </w:p>
    <w:p>
      <w:pPr>
        <w:spacing w:line="600" w:lineRule="exact"/>
        <w:ind w:firstLine="64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6.支持和帮助村民委员会工作；</w:t>
      </w:r>
    </w:p>
    <w:p>
      <w:pPr>
        <w:spacing w:line="600" w:lineRule="exact"/>
        <w:ind w:firstLine="640"/>
        <w:rPr>
          <w:rFonts w:hint="default" w:ascii="黑体" w:hAnsi="黑体" w:eastAsia="黑体" w:cs="宋体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sz w:val="32"/>
          <w:szCs w:val="32"/>
        </w:rPr>
        <w:t>7.法律规定的其他职责。</w:t>
      </w:r>
    </w:p>
    <w:p>
      <w:pPr>
        <w:spacing w:line="600" w:lineRule="exact"/>
        <w:ind w:firstLine="640"/>
        <w:rPr>
          <w:rFonts w:ascii="黑体" w:hAnsi="黑体" w:eastAsia="黑体" w:cs="宋体"/>
          <w:sz w:val="32"/>
          <w:szCs w:val="32"/>
        </w:rPr>
      </w:pPr>
      <w:r>
        <w:rPr>
          <w:rFonts w:hint="eastAsia" w:ascii="黑体" w:hAnsi="黑体" w:eastAsia="黑体" w:cs="宋体"/>
          <w:sz w:val="32"/>
          <w:szCs w:val="32"/>
        </w:rPr>
        <w:t>二、机构设置情况</w:t>
      </w:r>
    </w:p>
    <w:p>
      <w:pPr>
        <w:spacing w:line="600" w:lineRule="exact"/>
        <w:ind w:firstLine="643"/>
        <w:rPr>
          <w:rFonts w:ascii="楷体_GB2312" w:hAnsi="楷体" w:eastAsia="楷体_GB2312" w:cs="宋体"/>
          <w:b/>
          <w:bCs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sz w:val="32"/>
          <w:szCs w:val="32"/>
        </w:rPr>
        <w:t>（一）机关内设机构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元城镇人民政府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内设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内设机构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个事业机构，分别为农业服务中心负责宣传贯彻农业农村相关法律、法规、政策、农业技术推广应用与指导，动植物病虫害、疫情的监测与防治，农产品质量监管服务；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党群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877.91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877.91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877.91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877.91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865.91</w:t>
      </w:r>
      <w:r>
        <w:rPr>
          <w:rStyle w:val="20"/>
          <w:rFonts w:hint="default" w:hAnsi="仿宋"/>
        </w:rPr>
        <w:t>万元，</w:t>
      </w:r>
      <w:r>
        <w:rPr>
          <w:rStyle w:val="20"/>
          <w:rFonts w:hint="eastAsia" w:hAnsi="仿宋" w:eastAsia="仿宋_GB2312"/>
          <w:lang w:val="en-US" w:eastAsia="zh-CN"/>
        </w:rPr>
        <w:t>98.6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12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1.4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eastAsia="zh-CN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877.91</w:t>
      </w:r>
      <w:r>
        <w:rPr>
          <w:rStyle w:val="20"/>
          <w:rFonts w:hint="default" w:hAnsi="仿宋"/>
        </w:rPr>
        <w:t>万元，包括</w:t>
      </w:r>
      <w:r>
        <w:rPr>
          <w:rFonts w:hint="default" w:ascii="仿宋_GB2312" w:hAnsi="仿宋" w:eastAsia="仿宋_GB2312"/>
          <w:sz w:val="32"/>
          <w:szCs w:val="32"/>
          <w:lang w:eastAsia="zh-CN"/>
        </w:rPr>
        <w:t>：农林水支</w:t>
      </w:r>
    </w:p>
    <w:p>
      <w:pPr>
        <w:widowControl/>
        <w:spacing w:line="640" w:lineRule="exact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default" w:ascii="仿宋_GB2312" w:hAnsi="仿宋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657.46</w:t>
      </w:r>
      <w:r>
        <w:rPr>
          <w:rStyle w:val="20"/>
          <w:rFonts w:hint="default" w:hAnsi="仿宋_GB2312" w:cs="仿宋_GB2312"/>
        </w:rPr>
        <w:t>元、</w:t>
      </w:r>
      <w:r>
        <w:rPr>
          <w:rStyle w:val="20"/>
          <w:rFonts w:hint="default" w:hAnsi="仿宋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38.22</w:t>
      </w:r>
      <w:r>
        <w:rPr>
          <w:rStyle w:val="20"/>
          <w:rFonts w:hint="default" w:hAnsi="仿宋"/>
        </w:rPr>
        <w:t>万元，社会保障和就业支出</w:t>
      </w:r>
      <w:r>
        <w:rPr>
          <w:rStyle w:val="21"/>
          <w:rFonts w:hint="eastAsia" w:ascii="仿宋_GB2312" w:hAnsi="仿宋_GB2312" w:eastAsia="仿宋_GB2312" w:cs="仿宋_GB2312"/>
          <w:lang w:val="en-US" w:eastAsia="zh-CN"/>
        </w:rPr>
        <w:t>126.63</w:t>
      </w:r>
      <w:r>
        <w:rPr>
          <w:rStyle w:val="20"/>
          <w:rFonts w:hint="default" w:hAnsi="仿宋_GB2312" w:cs="仿宋_GB2312"/>
        </w:rPr>
        <w:t>万元、住房保障支出</w:t>
      </w:r>
      <w:r>
        <w:rPr>
          <w:rStyle w:val="20"/>
          <w:rFonts w:hint="eastAsia" w:hAnsi="仿宋_GB2312" w:eastAsia="仿宋_GB2312" w:cs="仿宋_GB2312"/>
          <w:lang w:val="en-US" w:eastAsia="zh-CN"/>
        </w:rPr>
        <w:t>55.6</w:t>
      </w:r>
      <w:r>
        <w:rPr>
          <w:rStyle w:val="20"/>
          <w:rFonts w:hint="default" w:hAnsi="仿宋_GB2312" w:cs="仿宋_GB2312"/>
        </w:rPr>
        <w:t>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。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865.91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38.71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6.3</w:t>
      </w:r>
      <w:r>
        <w:rPr>
          <w:rFonts w:hint="eastAsia" w:ascii="仿宋_GB2312" w:hAnsi="仿宋" w:eastAsia="仿宋_GB2312"/>
          <w:sz w:val="32"/>
          <w:szCs w:val="32"/>
        </w:rPr>
        <w:t>%，增长的主要原因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768.91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万元，增长的主要原因是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个，主要是项目村级公益性共享共管基金。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无增减变化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.公务用车购置及运行维护费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万元（其中：公务用车运行维护费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kern w:val="0"/>
          <w:sz w:val="32"/>
          <w:szCs w:val="32"/>
          <w:highlight w:val="none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62.14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万元，较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年预算减少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9.14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万元，下降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压缩办公支出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16.9</w:t>
      </w:r>
      <w:r>
        <w:rPr>
          <w:rFonts w:hint="eastAsia" w:ascii="仿宋_GB2312" w:hAnsi="仿宋" w:eastAsia="仿宋_GB2312"/>
          <w:sz w:val="32"/>
          <w:szCs w:val="32"/>
        </w:rPr>
        <w:t xml:space="preserve"> 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 xml:space="preserve"> 万元，政府采购服务预算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6.9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365.51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万元。其中：办公用房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1909.7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165.42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万元。预算部门（单位）共有公务用车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40.87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万元。单价20万元以上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的设备价值23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29万元。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年拟采购固定资产约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kern w:val="0"/>
          <w:sz w:val="32"/>
          <w:szCs w:val="32"/>
          <w:highlight w:val="none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年预算绩效管理工作情况。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1个，占本1单位项目的100%。截至7月底，如期完成预算执行和绩效目标指标值的项目1个，完成率为100 %。“双监控”发现存在的问题和主要原因是：填报绩效目标设置过于宏观，具体的量化指标不足，提现绩效目标的实现程度较为模糊。开展1-9月绩效运行监控项目1个，占本部门（单位）项目的100%。截至10月底，如期完成预算执行和绩效目标指标值的项目1个，完成率为100%。“双监控”发现存在的问题和主要原因是：绩效运行监控报表填报不规范，无法监控绩效目标的实现程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整体支出1个，项目支出0个，转移支付项目0个，绩效自评覆盖率为100 %。绩效自评结果随部门决算报送财政和随决算公开情况：根据年初设定的绩效目标，绩效自评得分为91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年度绩效运行监控、绩效自评等情况，当年盘活财政资金0万元，202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年度增加部门预算项目0个。同时对政策和项目资金管理作出调整的0个。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  <w:highlight w:val="yellow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纳入部门/单位预算绩效目标管理的项目1个。其中，部门整体支出绩效目标围绕部门管理、履职效果、能力建设三个维度，设置二级指标3个、三级指标15 个。各项绩效目标内容指向明确、细化量化、合理可行，符合规定的格式要求。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元城镇人民政府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年 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 xml:space="preserve"> 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元城镇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人民政府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元城镇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bullet"/>
      <w:suff w:val="space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suff w:val="space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suff w:val="space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suff w:val="space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suff w:val="space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suff w:val="space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suff w:val="space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suff w:val="space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DB25485"/>
    <w:rsid w:val="113741D2"/>
    <w:rsid w:val="18330BA7"/>
    <w:rsid w:val="1D34261E"/>
    <w:rsid w:val="29820CBB"/>
    <w:rsid w:val="42A05423"/>
    <w:rsid w:val="4C433C79"/>
    <w:rsid w:val="527E074E"/>
    <w:rsid w:val="54192C94"/>
    <w:rsid w:val="5426302F"/>
    <w:rsid w:val="56393C72"/>
    <w:rsid w:val="579503FF"/>
    <w:rsid w:val="60535296"/>
    <w:rsid w:val="67AD3E7B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4336</Words>
  <Characters>4556</Characters>
  <Lines>68</Lines>
  <Paragraphs>19</Paragraphs>
  <TotalTime>5</TotalTime>
  <ScaleCrop>false</ScaleCrop>
  <LinksUpToDate>false</LinksUpToDate>
  <CharactersWithSpaces>4695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HP</cp:lastModifiedBy>
  <cp:lastPrinted>2022-02-15T15:45:00Z</cp:lastPrinted>
  <dcterms:modified xsi:type="dcterms:W3CDTF">2026-03-13T08:26:00Z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F0CF5BEF025C45AC86AABCD74038AB27_13</vt:lpwstr>
  </property>
  <property fmtid="{D5CDD505-2E9C-101B-9397-08002B2CF9AE}" pid="4" name="KSOTemplateDocerSaveRecord">
    <vt:lpwstr>eyJoZGlkIjoiZTQwYmI5NTFjMWY1OWYyYWQwOTllNzllY2VmZWM3MTYiLCJ1c2VySWQiOiI1NDM2NzI0MzIifQ==</vt:lpwstr>
  </property>
</Properties>
</file>