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76A15">
      <w:pPr>
        <w:spacing w:line="660" w:lineRule="exact"/>
        <w:jc w:val="center"/>
        <w:rPr>
          <w:rFonts w:ascii="宋体" w:hAnsi="宋体" w:cs="宋体"/>
          <w:b/>
          <w:bCs/>
          <w:kern w:val="0"/>
          <w:sz w:val="44"/>
          <w:szCs w:val="44"/>
        </w:rPr>
      </w:pPr>
    </w:p>
    <w:p w14:paraId="269C48F5">
      <w:pPr>
        <w:spacing w:line="660" w:lineRule="exact"/>
        <w:jc w:val="center"/>
        <w:rPr>
          <w:rFonts w:ascii="宋体" w:hAnsi="宋体" w:cs="宋体"/>
          <w:b/>
          <w:bCs/>
          <w:kern w:val="0"/>
          <w:sz w:val="44"/>
          <w:szCs w:val="44"/>
        </w:rPr>
      </w:pPr>
    </w:p>
    <w:p w14:paraId="73176B8F">
      <w:pPr>
        <w:spacing w:line="660" w:lineRule="exact"/>
        <w:jc w:val="center"/>
        <w:rPr>
          <w:rFonts w:ascii="宋体" w:hAnsi="宋体" w:cs="宋体"/>
          <w:b/>
          <w:bCs/>
          <w:kern w:val="0"/>
          <w:sz w:val="44"/>
          <w:szCs w:val="44"/>
        </w:rPr>
      </w:pPr>
    </w:p>
    <w:p w14:paraId="36C53483">
      <w:pPr>
        <w:spacing w:line="660" w:lineRule="exact"/>
        <w:jc w:val="center"/>
        <w:rPr>
          <w:rFonts w:hint="eastAsia" w:ascii="宋体" w:hAnsi="宋体" w:cs="宋体"/>
          <w:b/>
          <w:bCs/>
          <w:kern w:val="0"/>
          <w:sz w:val="44"/>
          <w:szCs w:val="44"/>
          <w:lang w:eastAsia="zh-CN"/>
        </w:rPr>
      </w:pPr>
      <w:r>
        <w:rPr>
          <w:rFonts w:hint="eastAsia" w:ascii="宋体" w:hAnsi="宋体" w:cs="宋体"/>
          <w:b/>
          <w:bCs/>
          <w:kern w:val="0"/>
          <w:sz w:val="44"/>
          <w:szCs w:val="44"/>
          <w:lang w:eastAsia="zh-CN"/>
        </w:rPr>
        <w:t>华池县乔川乡卫生院</w:t>
      </w:r>
    </w:p>
    <w:p w14:paraId="6C7A9ABA">
      <w:pPr>
        <w:spacing w:line="660" w:lineRule="exact"/>
        <w:jc w:val="center"/>
        <w:rPr>
          <w:rFonts w:ascii="宋体" w:hAnsi="宋体" w:cs="宋体"/>
          <w:b/>
          <w:bCs/>
          <w:kern w:val="0"/>
          <w:sz w:val="44"/>
          <w:szCs w:val="44"/>
        </w:rPr>
        <w:sectPr>
          <w:footerReference r:id="rId3" w:type="default"/>
          <w:pgSz w:w="11906" w:h="16838"/>
          <w:pgMar w:top="1134" w:right="1134" w:bottom="1440" w:left="1276" w:header="851" w:footer="992" w:gutter="0"/>
          <w:cols w:space="720" w:num="1"/>
          <w:docGrid w:type="lines" w:linePitch="312" w:charSpace="0"/>
        </w:sectPr>
      </w:pPr>
      <w:r>
        <w:rPr>
          <w:rFonts w:hint="eastAsia" w:ascii="宋体" w:hAnsi="宋体" w:cs="宋体"/>
          <w:b/>
          <w:bCs/>
          <w:kern w:val="0"/>
          <w:sz w:val="44"/>
          <w:szCs w:val="44"/>
          <w:lang w:eastAsia="zh-CN"/>
        </w:rPr>
        <w:t>202</w:t>
      </w:r>
      <w:r>
        <w:rPr>
          <w:rFonts w:hint="default" w:ascii="宋体" w:hAnsi="宋体" w:cs="宋体"/>
          <w:b/>
          <w:bCs/>
          <w:kern w:val="0"/>
          <w:sz w:val="44"/>
          <w:szCs w:val="44"/>
          <w:lang w:val="en-US" w:eastAsia="zh-CN"/>
        </w:rPr>
        <w:t>6</w:t>
      </w:r>
      <w:r>
        <w:rPr>
          <w:rFonts w:hint="eastAsia" w:ascii="宋体" w:hAnsi="宋体" w:cs="宋体"/>
          <w:b/>
          <w:bCs/>
          <w:kern w:val="0"/>
          <w:sz w:val="44"/>
          <w:szCs w:val="44"/>
        </w:rPr>
        <w:t xml:space="preserve">年单位预算公开情况说明 </w:t>
      </w:r>
    </w:p>
    <w:p w14:paraId="74B34547">
      <w:pPr>
        <w:spacing w:line="660" w:lineRule="exact"/>
        <w:jc w:val="center"/>
        <w:rPr>
          <w:rFonts w:ascii="宋体" w:hAnsi="宋体" w:cs="宋体"/>
          <w:b/>
          <w:bCs/>
          <w:kern w:val="0"/>
          <w:sz w:val="44"/>
          <w:szCs w:val="44"/>
        </w:rPr>
      </w:pPr>
      <w:r>
        <w:rPr>
          <w:rFonts w:hint="eastAsia" w:ascii="宋体" w:hAnsi="宋体" w:cs="宋体"/>
          <w:b/>
          <w:bCs/>
          <w:kern w:val="0"/>
          <w:sz w:val="44"/>
          <w:szCs w:val="44"/>
        </w:rPr>
        <w:t>目  录</w:t>
      </w:r>
    </w:p>
    <w:p w14:paraId="4E16493C">
      <w:pPr>
        <w:spacing w:line="660" w:lineRule="exact"/>
        <w:jc w:val="center"/>
        <w:rPr>
          <w:rFonts w:ascii="宋体" w:hAnsi="宋体" w:cs="宋体"/>
          <w:b/>
          <w:bCs/>
          <w:kern w:val="0"/>
          <w:sz w:val="44"/>
          <w:szCs w:val="44"/>
        </w:rPr>
      </w:pPr>
    </w:p>
    <w:p w14:paraId="3E3BCB21">
      <w:pPr>
        <w:spacing w:line="30" w:lineRule="exact"/>
        <w:jc w:val="center"/>
        <w:rPr>
          <w:rFonts w:ascii="黑体" w:eastAsia="黑体"/>
          <w:color w:val="000000"/>
          <w:sz w:val="18"/>
          <w:szCs w:val="18"/>
        </w:rPr>
      </w:pPr>
    </w:p>
    <w:p w14:paraId="44980D76">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第一部分 部门/单位基本概况</w:t>
      </w:r>
    </w:p>
    <w:p w14:paraId="27392C0D">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一、部门/单位职责</w:t>
      </w:r>
    </w:p>
    <w:p w14:paraId="5CE6316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二、机构设置情况</w:t>
      </w:r>
    </w:p>
    <w:p w14:paraId="16EC813A">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第二部分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年部门/单位预算情况说明</w:t>
      </w:r>
    </w:p>
    <w:p w14:paraId="79A07063">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三</w:t>
      </w:r>
      <w:r>
        <w:rPr>
          <w:rFonts w:hint="eastAsia" w:ascii="仿宋_GB2312" w:hAnsi="仿宋" w:eastAsia="仿宋_GB2312"/>
          <w:color w:val="000000"/>
          <w:sz w:val="30"/>
          <w:szCs w:val="30"/>
        </w:rPr>
        <w:t>、收支总体情况</w:t>
      </w:r>
    </w:p>
    <w:p w14:paraId="3BC5A26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四</w:t>
      </w:r>
      <w:r>
        <w:rPr>
          <w:rFonts w:hint="eastAsia" w:ascii="仿宋_GB2312" w:hAnsi="仿宋" w:eastAsia="仿宋_GB2312"/>
          <w:color w:val="000000"/>
          <w:sz w:val="30"/>
          <w:szCs w:val="30"/>
        </w:rPr>
        <w:t>、一般公共预算情况</w:t>
      </w:r>
    </w:p>
    <w:p w14:paraId="6D2DAB9D">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五</w:t>
      </w:r>
      <w:r>
        <w:rPr>
          <w:rFonts w:hint="eastAsia" w:ascii="仿宋_GB2312" w:hAnsi="仿宋" w:eastAsia="仿宋_GB2312"/>
          <w:color w:val="000000"/>
          <w:sz w:val="30"/>
          <w:szCs w:val="30"/>
        </w:rPr>
        <w:t>、一般公共预算财政拨款“三公”经费、培训费、会议费等情况</w:t>
      </w:r>
    </w:p>
    <w:p w14:paraId="0AAD5D3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六</w:t>
      </w:r>
      <w:r>
        <w:rPr>
          <w:rFonts w:hint="eastAsia" w:ascii="仿宋_GB2312" w:hAnsi="仿宋" w:eastAsia="仿宋_GB2312"/>
          <w:color w:val="000000"/>
          <w:sz w:val="30"/>
          <w:szCs w:val="30"/>
        </w:rPr>
        <w:t>、一般公共预算财政拨款机关运行经费情况</w:t>
      </w:r>
    </w:p>
    <w:p w14:paraId="1397651A">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七</w:t>
      </w:r>
      <w:r>
        <w:rPr>
          <w:rFonts w:hint="eastAsia" w:ascii="仿宋_GB2312" w:hAnsi="仿宋" w:eastAsia="仿宋_GB2312"/>
          <w:color w:val="000000"/>
          <w:sz w:val="30"/>
          <w:szCs w:val="30"/>
        </w:rPr>
        <w:t>、政府采购安排情况</w:t>
      </w:r>
    </w:p>
    <w:p w14:paraId="38BB8398">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八</w:t>
      </w:r>
      <w:r>
        <w:rPr>
          <w:rFonts w:hint="eastAsia" w:ascii="仿宋_GB2312" w:hAnsi="仿宋" w:eastAsia="仿宋_GB2312"/>
          <w:color w:val="000000"/>
          <w:sz w:val="30"/>
          <w:szCs w:val="30"/>
        </w:rPr>
        <w:t>、国有资产占用情况</w:t>
      </w:r>
    </w:p>
    <w:p w14:paraId="61914F0F">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九</w:t>
      </w:r>
      <w:r>
        <w:rPr>
          <w:rFonts w:hint="eastAsia" w:ascii="仿宋_GB2312" w:hAnsi="仿宋" w:eastAsia="仿宋_GB2312"/>
          <w:color w:val="000000"/>
          <w:sz w:val="30"/>
          <w:szCs w:val="30"/>
        </w:rPr>
        <w:t>、其他重要事项情况说明</w:t>
      </w:r>
    </w:p>
    <w:p w14:paraId="547615EB">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w:t>
      </w:r>
      <w:r>
        <w:rPr>
          <w:rFonts w:hint="eastAsia" w:ascii="仿宋_GB2312" w:hAnsi="仿宋" w:eastAsia="仿宋_GB2312"/>
          <w:color w:val="000000"/>
          <w:sz w:val="30"/>
          <w:szCs w:val="30"/>
        </w:rPr>
        <w:t>、预算绩效管理情况</w:t>
      </w:r>
    </w:p>
    <w:p w14:paraId="43A12A26">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lang w:val="en-US" w:eastAsia="zh-CN"/>
        </w:rPr>
        <w:t>十一</w:t>
      </w:r>
      <w:r>
        <w:rPr>
          <w:rFonts w:hint="eastAsia" w:ascii="仿宋_GB2312" w:hAnsi="仿宋" w:eastAsia="仿宋_GB2312"/>
          <w:color w:val="000000"/>
          <w:sz w:val="30"/>
          <w:szCs w:val="30"/>
        </w:rPr>
        <w:t>、名词解释</w:t>
      </w:r>
    </w:p>
    <w:p w14:paraId="28C1E8D5">
      <w:pPr>
        <w:spacing w:line="560" w:lineRule="exact"/>
        <w:ind w:firstLine="602" w:firstLineChars="200"/>
        <w:jc w:val="left"/>
        <w:rPr>
          <w:rFonts w:ascii="仿宋_GB2312" w:hAnsi="仿宋" w:eastAsia="仿宋_GB2312"/>
          <w:b/>
          <w:color w:val="000000"/>
          <w:sz w:val="30"/>
          <w:szCs w:val="30"/>
        </w:rPr>
      </w:pPr>
      <w:r>
        <w:rPr>
          <w:rFonts w:hint="eastAsia" w:ascii="仿宋_GB2312" w:hAnsi="仿宋" w:eastAsia="仿宋_GB2312"/>
          <w:b/>
          <w:color w:val="000000"/>
          <w:sz w:val="30"/>
          <w:szCs w:val="30"/>
        </w:rPr>
        <w:t xml:space="preserve">第三部分 </w:t>
      </w:r>
      <w:r>
        <w:rPr>
          <w:rFonts w:hint="eastAsia" w:ascii="仿宋_GB2312" w:hAnsi="仿宋" w:eastAsia="仿宋_GB2312"/>
          <w:b/>
          <w:color w:val="000000"/>
          <w:sz w:val="30"/>
          <w:szCs w:val="30"/>
          <w:lang w:eastAsia="zh-CN"/>
        </w:rPr>
        <w:t>202</w:t>
      </w:r>
      <w:r>
        <w:rPr>
          <w:rFonts w:hint="default" w:ascii="仿宋_GB2312" w:hAnsi="仿宋" w:eastAsia="仿宋_GB2312"/>
          <w:b/>
          <w:color w:val="000000"/>
          <w:sz w:val="30"/>
          <w:szCs w:val="30"/>
          <w:lang w:val="en-US" w:eastAsia="zh-CN"/>
        </w:rPr>
        <w:t>6</w:t>
      </w:r>
      <w:r>
        <w:rPr>
          <w:rFonts w:hint="eastAsia" w:ascii="仿宋_GB2312" w:hAnsi="仿宋" w:eastAsia="仿宋_GB2312"/>
          <w:b/>
          <w:color w:val="000000"/>
          <w:sz w:val="30"/>
          <w:szCs w:val="30"/>
        </w:rPr>
        <w:t>年部门（单位）预算公开表</w:t>
      </w:r>
    </w:p>
    <w:p w14:paraId="2665118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一、部门/单位收支总体情况表</w:t>
      </w:r>
    </w:p>
    <w:p w14:paraId="0F419E39">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二、部门/单位收入总体情况表</w:t>
      </w:r>
    </w:p>
    <w:p w14:paraId="4C57FD0E">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三、部门/单位支出总体情况表</w:t>
      </w:r>
    </w:p>
    <w:p w14:paraId="438D8BD5">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四、财政拨款收支总体情况表</w:t>
      </w:r>
    </w:p>
    <w:p w14:paraId="1F7254A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五、财政拨款支出表</w:t>
      </w:r>
    </w:p>
    <w:p w14:paraId="0A130098">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六、一般公共预算支出情况表</w:t>
      </w:r>
    </w:p>
    <w:p w14:paraId="6691BFCC">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七、一般公共预算基本支出情况表</w:t>
      </w:r>
    </w:p>
    <w:p w14:paraId="02E0C3AF">
      <w:pPr>
        <w:spacing w:line="560" w:lineRule="exact"/>
        <w:ind w:firstLine="600" w:firstLineChars="200"/>
        <w:jc w:val="left"/>
        <w:rPr>
          <w:rFonts w:ascii="仿宋_GB2312" w:hAnsi="仿宋" w:eastAsia="仿宋_GB2312"/>
          <w:color w:val="000000"/>
          <w:spacing w:val="-20"/>
          <w:sz w:val="30"/>
          <w:szCs w:val="30"/>
        </w:rPr>
      </w:pPr>
      <w:r>
        <w:rPr>
          <w:rFonts w:hint="eastAsia" w:ascii="仿宋_GB2312" w:hAnsi="仿宋" w:eastAsia="仿宋_GB2312"/>
          <w:color w:val="000000"/>
          <w:sz w:val="30"/>
          <w:szCs w:val="30"/>
        </w:rPr>
        <w:t>八、</w:t>
      </w:r>
      <w:r>
        <w:rPr>
          <w:rFonts w:hint="eastAsia" w:ascii="仿宋_GB2312" w:hAnsi="仿宋" w:eastAsia="仿宋_GB2312"/>
          <w:color w:val="000000"/>
          <w:spacing w:val="-20"/>
          <w:sz w:val="30"/>
          <w:szCs w:val="30"/>
        </w:rPr>
        <w:t>一般公共预算财政拨款“三公”经费、会议费、培训费支出情况表</w:t>
      </w:r>
    </w:p>
    <w:p w14:paraId="465671A3">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九、一般公共预算财政拨款机关运行经费表</w:t>
      </w:r>
    </w:p>
    <w:p w14:paraId="7E9E6DF7">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十、政府性基金预算支出情况表</w:t>
      </w:r>
    </w:p>
    <w:p w14:paraId="73F20EC1">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十一、部门管理转移支付表</w:t>
      </w:r>
    </w:p>
    <w:p w14:paraId="248E585D">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十二、国有资本经营预算支出情况表</w:t>
      </w:r>
    </w:p>
    <w:p w14:paraId="6B6BF4B4">
      <w:pPr>
        <w:spacing w:line="560" w:lineRule="exact"/>
        <w:ind w:firstLine="600" w:firstLineChars="200"/>
        <w:jc w:val="left"/>
        <w:rPr>
          <w:rFonts w:ascii="仿宋_GB2312" w:hAnsi="仿宋" w:eastAsia="仿宋_GB2312"/>
          <w:color w:val="000000"/>
          <w:sz w:val="30"/>
          <w:szCs w:val="30"/>
        </w:rPr>
      </w:pPr>
      <w:r>
        <w:rPr>
          <w:rFonts w:hint="eastAsia" w:ascii="仿宋_GB2312" w:hAnsi="仿宋" w:eastAsia="仿宋_GB2312"/>
          <w:color w:val="000000"/>
          <w:sz w:val="30"/>
          <w:szCs w:val="30"/>
        </w:rPr>
        <w:t>十三、部门/单位整体支出绩效目标表和项目支出绩效目标表</w:t>
      </w:r>
    </w:p>
    <w:p w14:paraId="44D5853E">
      <w:pPr>
        <w:spacing w:line="660" w:lineRule="exact"/>
        <w:jc w:val="center"/>
        <w:rPr>
          <w:rFonts w:ascii="仿宋_GB2312" w:hAnsi="宋体" w:eastAsia="仿宋_GB2312" w:cs="宋体"/>
          <w:b/>
          <w:bCs/>
          <w:kern w:val="0"/>
          <w:sz w:val="44"/>
          <w:szCs w:val="44"/>
        </w:rPr>
      </w:pPr>
    </w:p>
    <w:p w14:paraId="11D11613">
      <w:pPr>
        <w:spacing w:line="600" w:lineRule="exact"/>
        <w:ind w:firstLine="562" w:firstLineChars="200"/>
        <w:rPr>
          <w:rFonts w:ascii="仿宋_GB2312" w:hAnsi="仿宋" w:eastAsia="仿宋_GB2312" w:cs="宋体"/>
          <w:b/>
          <w:kern w:val="0"/>
          <w:sz w:val="28"/>
          <w:szCs w:val="28"/>
        </w:rPr>
        <w:sectPr>
          <w:footerReference r:id="rId4" w:type="default"/>
          <w:pgSz w:w="11906" w:h="16838"/>
          <w:pgMar w:top="1134" w:right="1134" w:bottom="1440" w:left="1276" w:header="851" w:footer="992" w:gutter="0"/>
          <w:pgNumType w:start="1"/>
          <w:cols w:space="720" w:num="1"/>
          <w:docGrid w:type="lines" w:linePitch="312" w:charSpace="0"/>
        </w:sectPr>
      </w:pPr>
    </w:p>
    <w:p w14:paraId="3A38F57D">
      <w:pPr>
        <w:spacing w:line="600" w:lineRule="exact"/>
        <w:ind w:firstLine="643" w:firstLineChars="200"/>
        <w:rPr>
          <w:rFonts w:ascii="仿宋_GB2312" w:hAnsi="黑体" w:eastAsia="仿宋_GB2312" w:cs="宋体"/>
          <w:b/>
          <w:kern w:val="0"/>
          <w:sz w:val="32"/>
          <w:szCs w:val="32"/>
        </w:rPr>
      </w:pPr>
      <w:r>
        <w:rPr>
          <w:rFonts w:hint="eastAsia" w:ascii="仿宋_GB2312" w:hAnsi="黑体" w:eastAsia="仿宋_GB2312" w:cs="宋体"/>
          <w:b/>
          <w:kern w:val="0"/>
          <w:sz w:val="32"/>
          <w:szCs w:val="32"/>
        </w:rPr>
        <w:t>前言</w:t>
      </w:r>
    </w:p>
    <w:p w14:paraId="3FCBD4EC">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按照《中华人民共和国预算法》《中华人民共和国预算法实施条例》以及</w:t>
      </w:r>
      <w:r>
        <w:rPr>
          <w:rFonts w:ascii="仿宋_GB2312" w:hAnsi="仿宋" w:eastAsia="仿宋_GB2312" w:cs="宋体"/>
          <w:kern w:val="0"/>
          <w:sz w:val="32"/>
          <w:szCs w:val="32"/>
        </w:rPr>
        <w:t>财政部</w:t>
      </w:r>
      <w:r>
        <w:rPr>
          <w:rFonts w:hint="eastAsia" w:ascii="仿宋_GB2312" w:hAnsi="仿宋" w:eastAsia="仿宋_GB2312" w:cs="宋体"/>
          <w:kern w:val="0"/>
          <w:sz w:val="32"/>
          <w:szCs w:val="32"/>
        </w:rPr>
        <w:t>《地方预决算公开操作规程》《关于推进部门所属单位预算公开的指导意见》和《中共甘肃省委办公厅 甘肃省人民政府办公厅关于进一步推进预算公开工作的实施方案》要求，现将</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年部门预算公开如下：</w:t>
      </w:r>
    </w:p>
    <w:p w14:paraId="05AA4261">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一、单位职责</w:t>
      </w:r>
    </w:p>
    <w:p w14:paraId="742FDA2A">
      <w:pPr>
        <w:spacing w:line="600" w:lineRule="exact"/>
        <w:ind w:firstLine="640" w:firstLineChars="200"/>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lang w:eastAsia="zh-CN"/>
        </w:rPr>
        <w:t>华池县乔川乡卫生院</w:t>
      </w:r>
      <w:r>
        <w:rPr>
          <w:rFonts w:hint="eastAsia" w:ascii="仿宋_GB2312" w:hAnsi="仿宋" w:eastAsia="仿宋_GB2312" w:cs="宋体"/>
          <w:kern w:val="0"/>
          <w:sz w:val="32"/>
          <w:szCs w:val="32"/>
          <w:highlight w:val="none"/>
        </w:rPr>
        <w:t>是以公共卫生服务为主，综合提供预防、保健和基本医疗等服务的职能部门。主要职责是:承担本辖区各项医疗卫生服务和公共卫生服务。</w:t>
      </w:r>
    </w:p>
    <w:p w14:paraId="5948F6CD">
      <w:pPr>
        <w:spacing w:line="600" w:lineRule="exact"/>
        <w:ind w:firstLine="643" w:firstLineChars="200"/>
        <w:rPr>
          <w:rFonts w:hint="eastAsia" w:ascii="楷体_GB2312" w:hAnsi="楷体" w:eastAsia="楷体_GB2312" w:cs="宋体"/>
          <w:b/>
          <w:bCs/>
          <w:kern w:val="0"/>
          <w:sz w:val="32"/>
          <w:szCs w:val="32"/>
        </w:rPr>
      </w:pPr>
      <w:r>
        <w:rPr>
          <w:rFonts w:hint="eastAsia" w:ascii="楷体_GB2312" w:hAnsi="楷体" w:eastAsia="楷体_GB2312" w:cs="宋体"/>
          <w:b/>
          <w:bCs/>
          <w:kern w:val="0"/>
          <w:sz w:val="32"/>
          <w:szCs w:val="32"/>
          <w:lang w:eastAsia="zh-CN"/>
        </w:rPr>
        <w:t>（一）</w:t>
      </w:r>
      <w:r>
        <w:rPr>
          <w:rFonts w:hint="eastAsia" w:ascii="楷体_GB2312" w:hAnsi="楷体" w:eastAsia="楷体_GB2312" w:cs="宋体"/>
          <w:b/>
          <w:bCs/>
          <w:kern w:val="0"/>
          <w:sz w:val="32"/>
          <w:szCs w:val="32"/>
        </w:rPr>
        <w:t>提供基本医疗服务</w:t>
      </w:r>
    </w:p>
    <w:p w14:paraId="7D2AA59F">
      <w:pPr>
        <w:spacing w:line="600" w:lineRule="exact"/>
        <w:ind w:firstLine="640" w:firstLineChars="200"/>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 xml:space="preserve">1、开展内、外、中医等各科常见病、多发病的诊疗；  </w:t>
      </w:r>
    </w:p>
    <w:p w14:paraId="31C30159">
      <w:pPr>
        <w:spacing w:line="600" w:lineRule="exact"/>
        <w:ind w:firstLine="640" w:firstLineChars="200"/>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2、承担着本</w:t>
      </w:r>
      <w:r>
        <w:rPr>
          <w:rFonts w:hint="eastAsia" w:ascii="仿宋_GB2312" w:hAnsi="仿宋" w:eastAsia="仿宋_GB2312" w:cs="宋体"/>
          <w:kern w:val="0"/>
          <w:sz w:val="32"/>
          <w:szCs w:val="32"/>
          <w:highlight w:val="none"/>
          <w:lang w:eastAsia="zh-CN"/>
        </w:rPr>
        <w:t>乡</w:t>
      </w:r>
      <w:r>
        <w:rPr>
          <w:rFonts w:hint="eastAsia" w:ascii="仿宋_GB2312" w:hAnsi="仿宋" w:eastAsia="仿宋_GB2312" w:cs="宋体"/>
          <w:kern w:val="0"/>
          <w:sz w:val="32"/>
          <w:szCs w:val="32"/>
          <w:highlight w:val="none"/>
        </w:rPr>
        <w:t>及周边乡镇的现场应急救护和转诊服务。</w:t>
      </w:r>
    </w:p>
    <w:p w14:paraId="468DD888">
      <w:pPr>
        <w:spacing w:line="600" w:lineRule="exact"/>
        <w:ind w:firstLine="640" w:firstLineChars="200"/>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3、提供政府卫生行政部门批准的其他医疗服务。</w:t>
      </w:r>
    </w:p>
    <w:p w14:paraId="6B5574C8">
      <w:pPr>
        <w:spacing w:line="600" w:lineRule="exact"/>
        <w:ind w:firstLine="643" w:firstLineChars="200"/>
        <w:rPr>
          <w:rFonts w:hint="eastAsia" w:ascii="楷体_GB2312" w:hAnsi="楷体" w:eastAsia="楷体_GB2312" w:cs="宋体"/>
          <w:b/>
          <w:bCs/>
          <w:kern w:val="0"/>
          <w:sz w:val="32"/>
          <w:szCs w:val="32"/>
        </w:rPr>
      </w:pPr>
      <w:r>
        <w:rPr>
          <w:rFonts w:hint="eastAsia" w:ascii="楷体_GB2312" w:hAnsi="楷体" w:eastAsia="楷体_GB2312" w:cs="宋体"/>
          <w:b/>
          <w:bCs/>
          <w:kern w:val="0"/>
          <w:sz w:val="32"/>
          <w:szCs w:val="32"/>
          <w:lang w:eastAsia="zh-CN"/>
        </w:rPr>
        <w:t>（二）</w:t>
      </w:r>
      <w:r>
        <w:rPr>
          <w:rFonts w:hint="eastAsia" w:ascii="楷体_GB2312" w:hAnsi="楷体" w:eastAsia="楷体_GB2312" w:cs="宋体"/>
          <w:b/>
          <w:bCs/>
          <w:kern w:val="0"/>
          <w:sz w:val="32"/>
          <w:szCs w:val="32"/>
        </w:rPr>
        <w:t>提供公共卫生服务</w:t>
      </w:r>
    </w:p>
    <w:p w14:paraId="0CC67311">
      <w:pPr>
        <w:spacing w:line="600" w:lineRule="exact"/>
        <w:ind w:firstLine="640" w:firstLineChars="200"/>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 xml:space="preserve">1、承担着本乡居民的十四项基本公共卫生服务工作（如健康档案的管理，爱国卫生工作，预防接种，孕产妇保健，65岁及以上老年人、传染病、高血压、糖尿病、精神病等重点人群管理及随访等）；                                                     </w:t>
      </w:r>
    </w:p>
    <w:p w14:paraId="66F49B7D">
      <w:pPr>
        <w:spacing w:line="600" w:lineRule="exact"/>
        <w:ind w:firstLine="640" w:firstLineChars="200"/>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 xml:space="preserve">2、负责我院辖区内突发公共卫生事件的报告并协助处理；                                                      </w:t>
      </w:r>
    </w:p>
    <w:p w14:paraId="5BB932B5">
      <w:pPr>
        <w:spacing w:line="600" w:lineRule="exact"/>
        <w:ind w:firstLine="640" w:firstLineChars="200"/>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3、做好卫生行政部门规定的其他公共卫生服务；</w:t>
      </w:r>
    </w:p>
    <w:p w14:paraId="5006A4C6">
      <w:pPr>
        <w:spacing w:line="600" w:lineRule="exact"/>
        <w:ind w:firstLine="643" w:firstLineChars="200"/>
        <w:rPr>
          <w:rFonts w:hint="eastAsia" w:ascii="楷体_GB2312" w:hAnsi="楷体" w:eastAsia="楷体_GB2312" w:cs="宋体"/>
          <w:b/>
          <w:bCs/>
          <w:kern w:val="0"/>
          <w:sz w:val="32"/>
          <w:szCs w:val="32"/>
        </w:rPr>
      </w:pPr>
      <w:r>
        <w:rPr>
          <w:rFonts w:hint="eastAsia" w:ascii="楷体_GB2312" w:hAnsi="楷体" w:eastAsia="楷体_GB2312" w:cs="宋体"/>
          <w:b/>
          <w:bCs/>
          <w:kern w:val="0"/>
          <w:sz w:val="32"/>
          <w:szCs w:val="32"/>
          <w:lang w:eastAsia="zh-CN"/>
        </w:rPr>
        <w:t>（三）</w:t>
      </w:r>
      <w:r>
        <w:rPr>
          <w:rFonts w:hint="eastAsia" w:ascii="楷体_GB2312" w:hAnsi="楷体" w:eastAsia="楷体_GB2312" w:cs="宋体"/>
          <w:b/>
          <w:bCs/>
          <w:kern w:val="0"/>
          <w:sz w:val="32"/>
          <w:szCs w:val="32"/>
        </w:rPr>
        <w:t>承担公共卫生服务管理</w:t>
      </w:r>
    </w:p>
    <w:p w14:paraId="1CFD8F0F">
      <w:pPr>
        <w:spacing w:line="600" w:lineRule="exact"/>
        <w:ind w:firstLine="640" w:firstLineChars="200"/>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 xml:space="preserve">1、对我院辖区内传染病防治、学校卫生、食品卫生以及村级预防保健工作进行指导、培训、考核与监督；                                                                  </w:t>
      </w:r>
    </w:p>
    <w:p w14:paraId="3A2DA944">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highlight w:val="none"/>
        </w:rPr>
        <w:t>2、深入推进乡村卫生一体化管理，对村卫生所实行以行政、人员、业务、药品、财产、绩效为基本内容的“六统一”规范管理，负责村卫生所的技术指导和乡村医生培训等工作。</w:t>
      </w:r>
    </w:p>
    <w:p w14:paraId="2577D403">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二、机构设置情况</w:t>
      </w:r>
    </w:p>
    <w:p w14:paraId="1B3EFCDD">
      <w:pPr>
        <w:spacing w:line="600" w:lineRule="exact"/>
        <w:ind w:firstLine="643" w:firstLineChars="200"/>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（一）机关内设机构</w:t>
      </w:r>
    </w:p>
    <w:p w14:paraId="6F83564C">
      <w:pPr>
        <w:spacing w:line="600" w:lineRule="exact"/>
        <w:ind w:firstLine="640" w:firstLineChars="200"/>
        <w:rPr>
          <w:rFonts w:hint="eastAsia" w:ascii="楷体_GB2312" w:hAnsi="楷体" w:eastAsia="楷体_GB2312" w:cs="宋体"/>
          <w:b/>
          <w:bCs/>
          <w:kern w:val="0"/>
          <w:sz w:val="32"/>
          <w:szCs w:val="32"/>
          <w:highlight w:val="none"/>
        </w:rPr>
      </w:pPr>
      <w:r>
        <w:rPr>
          <w:rFonts w:hint="eastAsia" w:ascii="仿宋_GB2312" w:hAnsi="仿宋" w:eastAsia="仿宋_GB2312" w:cs="宋体"/>
          <w:kern w:val="0"/>
          <w:sz w:val="32"/>
          <w:szCs w:val="32"/>
          <w:highlight w:val="none"/>
          <w:lang w:eastAsia="zh-CN"/>
        </w:rPr>
        <w:t>华池县乔川乡卫生院</w:t>
      </w:r>
      <w:r>
        <w:rPr>
          <w:rFonts w:hint="eastAsia" w:ascii="仿宋_GB2312" w:hAnsi="仿宋" w:eastAsia="仿宋_GB2312" w:cs="宋体"/>
          <w:kern w:val="0"/>
          <w:sz w:val="32"/>
          <w:szCs w:val="32"/>
          <w:highlight w:val="none"/>
        </w:rPr>
        <w:t>内设中西医门诊部、住院部、中西药房、心电图室，B超室、化验室、公卫科、收费室、疫苗接种室。</w:t>
      </w:r>
    </w:p>
    <w:p w14:paraId="02D399FB">
      <w:pPr>
        <w:spacing w:line="600" w:lineRule="exact"/>
        <w:ind w:firstLine="640" w:firstLineChars="200"/>
        <w:rPr>
          <w:rFonts w:hint="eastAsia" w:ascii="仿宋_GB2312" w:hAnsi="仿宋" w:eastAsia="仿宋_GB2312" w:cs="宋体"/>
          <w:kern w:val="0"/>
          <w:sz w:val="32"/>
          <w:szCs w:val="32"/>
          <w:highlight w:val="none"/>
        </w:rPr>
      </w:pPr>
      <w:r>
        <w:rPr>
          <w:rFonts w:hint="eastAsia" w:ascii="仿宋_GB2312" w:hAnsi="仿宋" w:eastAsia="仿宋_GB2312" w:cs="宋体"/>
          <w:kern w:val="0"/>
          <w:sz w:val="32"/>
          <w:szCs w:val="32"/>
          <w:highlight w:val="none"/>
        </w:rPr>
        <w:t>辖区下属卫生室</w:t>
      </w:r>
      <w:r>
        <w:rPr>
          <w:rFonts w:hint="eastAsia" w:ascii="仿宋_GB2312" w:hAnsi="仿宋" w:eastAsia="仿宋_GB2312" w:cs="宋体"/>
          <w:kern w:val="0"/>
          <w:sz w:val="32"/>
          <w:szCs w:val="32"/>
          <w:highlight w:val="none"/>
          <w:lang w:val="en-US" w:eastAsia="zh-CN"/>
        </w:rPr>
        <w:t>8</w:t>
      </w:r>
      <w:r>
        <w:rPr>
          <w:rFonts w:hint="eastAsia" w:ascii="仿宋_GB2312" w:hAnsi="仿宋" w:eastAsia="仿宋_GB2312" w:cs="宋体"/>
          <w:kern w:val="0"/>
          <w:sz w:val="32"/>
          <w:szCs w:val="32"/>
          <w:highlight w:val="none"/>
        </w:rPr>
        <w:t>所。</w:t>
      </w:r>
    </w:p>
    <w:p w14:paraId="6564E7C7">
      <w:pPr>
        <w:spacing w:line="600" w:lineRule="exact"/>
        <w:ind w:firstLine="640" w:firstLineChars="200"/>
        <w:rPr>
          <w:rFonts w:ascii="黑体" w:hAnsi="黑体" w:eastAsia="黑体" w:cs="宋体"/>
          <w:kern w:val="0"/>
          <w:sz w:val="32"/>
          <w:szCs w:val="32"/>
        </w:rPr>
      </w:pPr>
      <w:r>
        <w:rPr>
          <w:rFonts w:hint="eastAsia" w:ascii="黑体" w:hAnsi="黑体" w:eastAsia="黑体" w:cs="宋体"/>
          <w:kern w:val="0"/>
          <w:sz w:val="32"/>
          <w:szCs w:val="32"/>
        </w:rPr>
        <w:t>三、单位收支总体情况</w:t>
      </w:r>
    </w:p>
    <w:p w14:paraId="0E89D7ED">
      <w:pPr>
        <w:spacing w:line="600" w:lineRule="exact"/>
        <w:ind w:firstLine="640" w:firstLineChars="200"/>
        <w:rPr>
          <w:rFonts w:ascii="仿宋_GB2312" w:hAnsi="仿宋" w:eastAsia="仿宋_GB2312" w:cs="宋体"/>
          <w:kern w:val="0"/>
          <w:sz w:val="32"/>
          <w:szCs w:val="32"/>
        </w:rPr>
      </w:pPr>
      <w:r>
        <w:rPr>
          <w:rFonts w:hint="eastAsia" w:ascii="仿宋_GB2312" w:hAnsi="仿宋" w:eastAsia="仿宋_GB2312" w:cs="宋体"/>
          <w:kern w:val="0"/>
          <w:sz w:val="32"/>
          <w:szCs w:val="32"/>
        </w:rPr>
        <w:t>按照预算管理有关规定，</w:t>
      </w:r>
      <w:r>
        <w:rPr>
          <w:rFonts w:hint="eastAsia" w:ascii="仿宋_GB2312" w:hAnsi="仿宋" w:eastAsia="仿宋_GB2312" w:cs="宋体"/>
          <w:kern w:val="0"/>
          <w:sz w:val="32"/>
          <w:szCs w:val="32"/>
          <w:lang w:eastAsia="zh-CN"/>
        </w:rPr>
        <w:t>202</w:t>
      </w:r>
      <w:r>
        <w:rPr>
          <w:rFonts w:hint="default" w:ascii="仿宋_GB2312" w:hAnsi="仿宋" w:eastAsia="仿宋_GB2312" w:cs="宋体"/>
          <w:kern w:val="0"/>
          <w:sz w:val="32"/>
          <w:szCs w:val="32"/>
          <w:lang w:val="en-US" w:eastAsia="zh-CN"/>
        </w:rPr>
        <w:t>6</w:t>
      </w:r>
      <w:r>
        <w:rPr>
          <w:rFonts w:hint="eastAsia" w:ascii="仿宋_GB2312" w:hAnsi="仿宋" w:eastAsia="仿宋_GB2312" w:cs="宋体"/>
          <w:kern w:val="0"/>
          <w:sz w:val="32"/>
          <w:szCs w:val="32"/>
        </w:rPr>
        <w:t>年</w:t>
      </w:r>
      <w:r>
        <w:rPr>
          <w:rFonts w:hint="eastAsia" w:ascii="仿宋_GB2312" w:hAnsi="仿宋" w:eastAsia="仿宋_GB2312" w:cs="宋体"/>
          <w:kern w:val="0"/>
          <w:sz w:val="32"/>
          <w:szCs w:val="32"/>
          <w:lang w:eastAsia="zh-CN"/>
        </w:rPr>
        <w:t>我单位</w:t>
      </w:r>
      <w:r>
        <w:rPr>
          <w:rFonts w:hint="eastAsia" w:ascii="仿宋_GB2312" w:hAnsi="仿宋" w:eastAsia="仿宋_GB2312" w:cs="宋体"/>
          <w:kern w:val="0"/>
          <w:sz w:val="32"/>
          <w:szCs w:val="32"/>
        </w:rPr>
        <w:t>收支总预算</w:t>
      </w:r>
      <w:r>
        <w:rPr>
          <w:rFonts w:hint="eastAsia" w:ascii="仿宋_GB2312" w:hAnsi="仿宋" w:eastAsia="仿宋_GB2312" w:cs="宋体"/>
          <w:kern w:val="0"/>
          <w:sz w:val="32"/>
          <w:szCs w:val="32"/>
          <w:lang w:val="en-US" w:eastAsia="zh-CN"/>
        </w:rPr>
        <w:t>158.11</w:t>
      </w:r>
      <w:r>
        <w:rPr>
          <w:rFonts w:hint="eastAsia" w:ascii="仿宋_GB2312" w:hAnsi="仿宋" w:eastAsia="仿宋_GB2312" w:cs="宋体"/>
          <w:kern w:val="0"/>
          <w:sz w:val="32"/>
          <w:szCs w:val="32"/>
        </w:rPr>
        <w:t>万元。按照综合预算的原则，单位所有收入和支出均纳入</w:t>
      </w:r>
      <w:r>
        <w:rPr>
          <w:rFonts w:hint="eastAsia" w:ascii="仿宋_GB2312" w:hAnsi="仿宋" w:eastAsia="仿宋_GB2312" w:cs="宋体"/>
          <w:kern w:val="0"/>
          <w:sz w:val="32"/>
          <w:szCs w:val="32"/>
          <w:lang w:eastAsia="zh-CN"/>
        </w:rPr>
        <w:t>我单位</w:t>
      </w:r>
      <w:r>
        <w:rPr>
          <w:rFonts w:hint="eastAsia" w:ascii="仿宋_GB2312" w:hAnsi="仿宋" w:eastAsia="仿宋_GB2312" w:cs="宋体"/>
          <w:kern w:val="0"/>
          <w:sz w:val="32"/>
          <w:szCs w:val="32"/>
        </w:rPr>
        <w:t>预算管理。收入包括：一般公共预算拨款收入；支出包括：社会保障和就业支出、卫生健康支出、住房保障支出。</w:t>
      </w:r>
    </w:p>
    <w:p w14:paraId="2D3D12BC">
      <w:pPr>
        <w:spacing w:line="600" w:lineRule="exact"/>
        <w:ind w:firstLine="643" w:firstLineChars="200"/>
        <w:rPr>
          <w:rFonts w:ascii="楷体_GB2312" w:hAnsi="楷体" w:eastAsia="楷体_GB2312"/>
          <w:sz w:val="32"/>
          <w:szCs w:val="32"/>
        </w:rPr>
      </w:pPr>
      <w:r>
        <w:rPr>
          <w:rFonts w:hint="eastAsia" w:ascii="楷体_GB2312" w:hAnsi="楷体" w:eastAsia="楷体_GB2312" w:cs="宋体"/>
          <w:b/>
          <w:bCs/>
          <w:kern w:val="0"/>
          <w:sz w:val="32"/>
          <w:szCs w:val="32"/>
        </w:rPr>
        <w:t>（一）收入预算</w:t>
      </w:r>
    </w:p>
    <w:p w14:paraId="029ABA3C">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年收入预算</w:t>
      </w:r>
      <w:r>
        <w:rPr>
          <w:rFonts w:hint="eastAsia" w:ascii="仿宋_GB2312" w:hAnsi="仿宋" w:eastAsia="仿宋_GB2312"/>
          <w:sz w:val="32"/>
          <w:szCs w:val="32"/>
          <w:lang w:val="en-US" w:eastAsia="zh-CN"/>
        </w:rPr>
        <w:t>158.11</w:t>
      </w:r>
      <w:r>
        <w:rPr>
          <w:rFonts w:hint="eastAsia" w:ascii="仿宋_GB2312" w:hAnsi="仿宋" w:eastAsia="仿宋_GB2312"/>
          <w:sz w:val="32"/>
          <w:szCs w:val="32"/>
        </w:rPr>
        <w:t>万元（详见单位预算公开表1,2）。包括：</w:t>
      </w:r>
    </w:p>
    <w:p w14:paraId="61D0955E">
      <w:pPr>
        <w:widowControl/>
        <w:spacing w:line="560" w:lineRule="exact"/>
        <w:ind w:firstLine="640" w:firstLineChars="200"/>
        <w:jc w:val="left"/>
        <w:rPr>
          <w:rFonts w:ascii="仿宋_GB2312" w:hAnsi="仿宋" w:eastAsia="仿宋_GB2312"/>
          <w:sz w:val="32"/>
          <w:szCs w:val="32"/>
        </w:rPr>
      </w:pPr>
      <w:r>
        <w:rPr>
          <w:rFonts w:hint="eastAsia" w:ascii="仿宋_GB2312" w:hAnsi="仿宋" w:eastAsia="仿宋_GB2312"/>
          <w:sz w:val="32"/>
          <w:szCs w:val="32"/>
        </w:rPr>
        <w:t>一般公共预算收入</w:t>
      </w:r>
      <w:r>
        <w:rPr>
          <w:rFonts w:hint="eastAsia" w:ascii="仿宋_GB2312" w:hAnsi="仿宋" w:eastAsia="仿宋_GB2312"/>
          <w:sz w:val="32"/>
          <w:szCs w:val="32"/>
          <w:lang w:val="en-US" w:eastAsia="zh-CN"/>
        </w:rPr>
        <w:t>158.11</w:t>
      </w:r>
      <w:r>
        <w:rPr>
          <w:rFonts w:hint="eastAsia" w:ascii="仿宋_GB2312" w:hAnsi="仿宋" w:eastAsia="仿宋_GB2312"/>
          <w:sz w:val="32"/>
          <w:szCs w:val="32"/>
        </w:rPr>
        <w:t>万元，占</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76DB7D22">
      <w:pPr>
        <w:numPr>
          <w:ilvl w:val="0"/>
          <w:numId w:val="1"/>
        </w:numPr>
        <w:adjustRightInd w:val="0"/>
        <w:snapToGrid w:val="0"/>
        <w:spacing w:line="640" w:lineRule="exact"/>
        <w:ind w:firstLine="643" w:firstLineChars="200"/>
        <w:contextualSpacing/>
        <w:rPr>
          <w:rFonts w:hint="eastAsia" w:ascii="楷体_GB2312" w:hAnsi="楷体" w:eastAsia="楷体_GB2312" w:cs="宋体"/>
          <w:b/>
          <w:bCs/>
          <w:kern w:val="0"/>
          <w:sz w:val="32"/>
          <w:szCs w:val="32"/>
        </w:rPr>
      </w:pPr>
      <w:r>
        <w:rPr>
          <w:rFonts w:hint="eastAsia" w:ascii="楷体_GB2312" w:hAnsi="楷体" w:eastAsia="楷体_GB2312" w:cs="宋体"/>
          <w:b/>
          <w:bCs/>
          <w:kern w:val="0"/>
          <w:sz w:val="32"/>
          <w:szCs w:val="32"/>
        </w:rPr>
        <w:t>支出预算</w:t>
      </w:r>
    </w:p>
    <w:p w14:paraId="256856CD">
      <w:pPr>
        <w:numPr>
          <w:ilvl w:val="0"/>
          <w:numId w:val="0"/>
        </w:numPr>
        <w:adjustRightInd w:val="0"/>
        <w:snapToGrid w:val="0"/>
        <w:spacing w:line="640" w:lineRule="exact"/>
        <w:ind w:firstLine="640" w:firstLineChars="200"/>
        <w:contextualSpacing/>
        <w:rPr>
          <w:rFonts w:ascii="仿宋_GB2312" w:hAnsi="仿宋" w:eastAsia="仿宋_GB2312"/>
          <w:sz w:val="32"/>
          <w:szCs w:val="32"/>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年支出预算</w:t>
      </w:r>
      <w:r>
        <w:rPr>
          <w:rFonts w:hint="eastAsia" w:ascii="仿宋_GB2312" w:hAnsi="仿宋" w:eastAsia="仿宋_GB2312"/>
          <w:sz w:val="32"/>
          <w:szCs w:val="32"/>
          <w:lang w:val="en-US" w:eastAsia="zh-CN"/>
        </w:rPr>
        <w:t>158.11</w:t>
      </w:r>
      <w:r>
        <w:rPr>
          <w:rFonts w:hint="eastAsia" w:ascii="仿宋_GB2312" w:hAnsi="仿宋" w:eastAsia="仿宋_GB2312"/>
          <w:sz w:val="32"/>
          <w:szCs w:val="32"/>
        </w:rPr>
        <w:t>万元（详见单位预算公开表3）。</w:t>
      </w:r>
      <w:r>
        <w:rPr>
          <w:rStyle w:val="20"/>
          <w:rFonts w:hint="default" w:hAnsi="仿宋"/>
        </w:rPr>
        <w:t>其中：基本支出</w:t>
      </w:r>
      <w:r>
        <w:rPr>
          <w:rStyle w:val="21"/>
          <w:rFonts w:hint="eastAsia" w:ascii="仿宋_GB2312" w:hAnsi="仿宋" w:eastAsia="仿宋_GB2312"/>
          <w:lang w:val="en-US" w:eastAsia="zh-CN"/>
        </w:rPr>
        <w:t>158.11</w:t>
      </w:r>
      <w:r>
        <w:rPr>
          <w:rStyle w:val="20"/>
          <w:rFonts w:hint="default" w:hAnsi="仿宋"/>
        </w:rPr>
        <w:t>万元</w:t>
      </w:r>
      <w:r>
        <w:rPr>
          <w:rStyle w:val="20"/>
          <w:rFonts w:hint="eastAsia" w:hAnsi="仿宋" w:eastAsia="仿宋_GB2312"/>
          <w:lang w:eastAsia="zh-CN"/>
        </w:rPr>
        <w:t>，</w:t>
      </w:r>
      <w:r>
        <w:rPr>
          <w:rStyle w:val="20"/>
          <w:rFonts w:hint="default" w:hAnsi="仿宋"/>
        </w:rPr>
        <w:t>占</w:t>
      </w:r>
      <w:r>
        <w:rPr>
          <w:rStyle w:val="20"/>
          <w:rFonts w:hint="eastAsia" w:hAnsi="仿宋" w:eastAsia="仿宋_GB2312"/>
          <w:lang w:val="en-US" w:eastAsia="zh-CN"/>
        </w:rPr>
        <w:t>100</w:t>
      </w:r>
      <w:r>
        <w:rPr>
          <w:rStyle w:val="21"/>
          <w:rFonts w:hint="eastAsia" w:ascii="仿宋_GB2312" w:hAnsi="仿宋" w:eastAsia="仿宋_GB2312"/>
        </w:rPr>
        <w:t>%</w:t>
      </w:r>
      <w:r>
        <w:rPr>
          <w:rStyle w:val="20"/>
          <w:rFonts w:hint="default" w:hAnsi="仿宋"/>
        </w:rPr>
        <w:t>。</w:t>
      </w:r>
    </w:p>
    <w:p w14:paraId="4C639E4F">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四、一般公共预算情况</w:t>
      </w:r>
    </w:p>
    <w:p w14:paraId="2286D3DF">
      <w:pPr>
        <w:widowControl/>
        <w:adjustRightInd w:val="0"/>
        <w:snapToGrid w:val="0"/>
        <w:spacing w:line="640" w:lineRule="exact"/>
        <w:ind w:firstLine="640" w:firstLineChars="200"/>
        <w:contextualSpacing/>
        <w:jc w:val="left"/>
        <w:rPr>
          <w:rFonts w:ascii="仿宋_GB2312" w:hAnsi="仿宋" w:eastAsia="仿宋_GB2312"/>
          <w:sz w:val="32"/>
          <w:szCs w:val="32"/>
        </w:rPr>
      </w:pPr>
      <w:r>
        <w:rPr>
          <w:rStyle w:val="21"/>
          <w:rFonts w:hint="eastAsia" w:ascii="仿宋_GB2312" w:hAnsi="仿宋" w:eastAsia="仿宋_GB2312"/>
          <w:lang w:eastAsia="zh-CN"/>
        </w:rPr>
        <w:t>202</w:t>
      </w:r>
      <w:r>
        <w:rPr>
          <w:rStyle w:val="21"/>
          <w:rFonts w:hint="default" w:ascii="仿宋_GB2312" w:hAnsi="仿宋" w:eastAsia="仿宋_GB2312"/>
          <w:lang w:val="en-US" w:eastAsia="zh-CN"/>
        </w:rPr>
        <w:t>6</w:t>
      </w:r>
      <w:r>
        <w:rPr>
          <w:rStyle w:val="20"/>
          <w:rFonts w:hint="default" w:hAnsi="仿宋"/>
        </w:rPr>
        <w:t>年一般公共预算当年支出</w:t>
      </w:r>
      <w:r>
        <w:rPr>
          <w:rStyle w:val="21"/>
          <w:rFonts w:hint="eastAsia" w:ascii="仿宋_GB2312" w:hAnsi="仿宋" w:eastAsia="仿宋_GB2312"/>
          <w:lang w:val="en-US" w:eastAsia="zh-CN"/>
        </w:rPr>
        <w:t>158.11</w:t>
      </w:r>
      <w:r>
        <w:rPr>
          <w:rStyle w:val="20"/>
          <w:rFonts w:hint="default" w:hAnsi="仿宋"/>
        </w:rPr>
        <w:t>万元，包括：社会保障和就业支出</w:t>
      </w:r>
      <w:r>
        <w:rPr>
          <w:rStyle w:val="21"/>
          <w:rFonts w:hint="eastAsia" w:ascii="仿宋_GB2312" w:hAnsi="仿宋" w:eastAsia="仿宋_GB2312"/>
          <w:lang w:val="en-US" w:eastAsia="zh-CN"/>
        </w:rPr>
        <w:t>24.6</w:t>
      </w:r>
      <w:r>
        <w:rPr>
          <w:rStyle w:val="20"/>
          <w:rFonts w:hint="default" w:hAnsi="仿宋"/>
        </w:rPr>
        <w:t>万元、</w:t>
      </w:r>
      <w:r>
        <w:rPr>
          <w:rStyle w:val="20"/>
          <w:rFonts w:hint="eastAsia" w:hAnsi="仿宋" w:eastAsia="仿宋_GB2312"/>
          <w:highlight w:val="none"/>
          <w:lang w:val="en-US" w:eastAsia="zh-CN"/>
        </w:rPr>
        <w:t>卫生健康</w:t>
      </w:r>
      <w:r>
        <w:rPr>
          <w:rStyle w:val="20"/>
          <w:rFonts w:hint="default" w:hAnsi="仿宋"/>
          <w:highlight w:val="none"/>
        </w:rPr>
        <w:t>支出</w:t>
      </w:r>
      <w:r>
        <w:rPr>
          <w:rStyle w:val="21"/>
          <w:rFonts w:hint="eastAsia" w:ascii="仿宋_GB2312" w:hAnsi="仿宋" w:eastAsia="仿宋_GB2312"/>
          <w:highlight w:val="none"/>
          <w:lang w:val="en-US" w:eastAsia="zh-CN"/>
        </w:rPr>
        <w:t>122.21</w:t>
      </w:r>
      <w:r>
        <w:rPr>
          <w:rStyle w:val="20"/>
          <w:rFonts w:hint="default" w:hAnsi="仿宋"/>
          <w:highlight w:val="none"/>
        </w:rPr>
        <w:t>万元</w:t>
      </w:r>
      <w:r>
        <w:rPr>
          <w:rStyle w:val="20"/>
          <w:rFonts w:hint="eastAsia" w:hAnsi="仿宋" w:eastAsia="仿宋_GB2312"/>
          <w:highlight w:val="none"/>
          <w:lang w:eastAsia="zh-CN"/>
        </w:rPr>
        <w:t>；</w:t>
      </w:r>
      <w:r>
        <w:rPr>
          <w:rStyle w:val="20"/>
          <w:rFonts w:hint="eastAsia" w:hAnsi="仿宋" w:eastAsia="仿宋_GB2312"/>
          <w:highlight w:val="none"/>
          <w:lang w:val="en-US" w:eastAsia="zh-CN"/>
        </w:rPr>
        <w:t>住房保障支出11.29万元</w:t>
      </w:r>
      <w:r>
        <w:rPr>
          <w:rStyle w:val="20"/>
          <w:rFonts w:hint="default" w:hAnsi="仿宋"/>
          <w:highlight w:val="none"/>
        </w:rPr>
        <w:t>。</w:t>
      </w:r>
      <w:r>
        <w:rPr>
          <w:rFonts w:hint="eastAsia" w:ascii="仿宋_GB2312" w:hAnsi="仿宋" w:eastAsia="仿宋_GB2312"/>
          <w:sz w:val="32"/>
          <w:szCs w:val="32"/>
        </w:rPr>
        <w:t>具体安排情况如下</w:t>
      </w:r>
      <w:r>
        <w:rPr>
          <w:rFonts w:hint="eastAsia" w:ascii="仿宋_GB2312" w:hAnsi="微软雅黑" w:eastAsia="仿宋_GB2312"/>
          <w:sz w:val="32"/>
          <w:szCs w:val="32"/>
        </w:rPr>
        <w:t>（详见单位预算公开表4,5,6,7）</w:t>
      </w:r>
      <w:r>
        <w:rPr>
          <w:rFonts w:hint="eastAsia" w:ascii="仿宋_GB2312" w:hAnsi="仿宋" w:eastAsia="仿宋_GB2312"/>
          <w:sz w:val="32"/>
          <w:szCs w:val="32"/>
        </w:rPr>
        <w:t>：</w:t>
      </w:r>
    </w:p>
    <w:p w14:paraId="604CBFA1">
      <w:pPr>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（一）基本支出</w:t>
      </w:r>
    </w:p>
    <w:p w14:paraId="564FD094">
      <w:pPr>
        <w:widowControl/>
        <w:adjustRightInd w:val="0"/>
        <w:snapToGrid w:val="0"/>
        <w:spacing w:line="640" w:lineRule="exact"/>
        <w:ind w:firstLine="640" w:firstLineChars="200"/>
        <w:contextualSpacing/>
        <w:jc w:val="left"/>
        <w:rPr>
          <w:rFonts w:hint="eastAsia" w:ascii="仿宋_GB2312" w:hAnsi="仿宋" w:eastAsia="仿宋_GB2312"/>
          <w:sz w:val="32"/>
          <w:szCs w:val="32"/>
          <w:highlight w:val="none"/>
          <w:lang w:val="en-US" w:eastAsia="zh-CN"/>
        </w:rPr>
      </w:pP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6</w:t>
      </w:r>
      <w:r>
        <w:rPr>
          <w:rFonts w:hint="eastAsia" w:ascii="仿宋_GB2312" w:hAnsi="仿宋" w:eastAsia="仿宋_GB2312"/>
          <w:sz w:val="32"/>
          <w:szCs w:val="32"/>
        </w:rPr>
        <w:t>年基本支出</w:t>
      </w:r>
      <w:r>
        <w:rPr>
          <w:rFonts w:hint="eastAsia" w:ascii="仿宋_GB2312" w:hAnsi="仿宋" w:eastAsia="仿宋_GB2312"/>
          <w:sz w:val="32"/>
          <w:szCs w:val="32"/>
          <w:lang w:val="en-US" w:eastAsia="zh-CN"/>
        </w:rPr>
        <w:t>158.11</w:t>
      </w:r>
      <w:r>
        <w:rPr>
          <w:rFonts w:hint="eastAsia" w:ascii="仿宋_GB2312" w:hAnsi="仿宋" w:eastAsia="仿宋_GB2312"/>
          <w:sz w:val="32"/>
          <w:szCs w:val="32"/>
        </w:rPr>
        <w:t>万元，比</w:t>
      </w:r>
      <w:r>
        <w:rPr>
          <w:rFonts w:hint="eastAsia" w:ascii="仿宋_GB2312" w:hAnsi="仿宋" w:eastAsia="仿宋_GB2312"/>
          <w:sz w:val="32"/>
          <w:szCs w:val="32"/>
          <w:lang w:eastAsia="zh-CN"/>
        </w:rPr>
        <w:t>202</w:t>
      </w:r>
      <w:r>
        <w:rPr>
          <w:rFonts w:hint="default" w:ascii="仿宋_GB2312" w:hAnsi="仿宋" w:eastAsia="仿宋_GB2312"/>
          <w:sz w:val="32"/>
          <w:szCs w:val="32"/>
          <w:lang w:val="en-US" w:eastAsia="zh-CN"/>
        </w:rPr>
        <w:t>5</w:t>
      </w:r>
      <w:r>
        <w:rPr>
          <w:rFonts w:hint="eastAsia" w:ascii="仿宋_GB2312" w:hAnsi="仿宋" w:eastAsia="仿宋_GB2312"/>
          <w:sz w:val="32"/>
          <w:szCs w:val="32"/>
        </w:rPr>
        <w:t>年预算</w:t>
      </w:r>
      <w:r>
        <w:rPr>
          <w:rFonts w:hint="eastAsia" w:ascii="仿宋_GB2312" w:hAnsi="仿宋" w:eastAsia="仿宋_GB2312"/>
          <w:sz w:val="32"/>
          <w:szCs w:val="32"/>
          <w:lang w:val="en-US" w:eastAsia="zh-CN"/>
        </w:rPr>
        <w:t>增加44.75</w:t>
      </w:r>
      <w:r>
        <w:rPr>
          <w:rFonts w:hint="eastAsia" w:ascii="仿宋_GB2312" w:hAnsi="仿宋" w:eastAsia="仿宋_GB2312"/>
          <w:sz w:val="32"/>
          <w:szCs w:val="32"/>
        </w:rPr>
        <w:t>万元，</w:t>
      </w:r>
      <w:r>
        <w:rPr>
          <w:rFonts w:hint="eastAsia" w:ascii="仿宋_GB2312" w:hAnsi="仿宋" w:eastAsia="仿宋_GB2312"/>
          <w:sz w:val="32"/>
          <w:szCs w:val="32"/>
          <w:lang w:val="en-US" w:eastAsia="zh-CN"/>
        </w:rPr>
        <w:t>上升28.3</w:t>
      </w:r>
      <w:r>
        <w:rPr>
          <w:rFonts w:hint="eastAsia" w:ascii="仿宋_GB2312" w:hAnsi="仿宋" w:eastAsia="仿宋_GB2312"/>
          <w:sz w:val="32"/>
          <w:szCs w:val="32"/>
        </w:rPr>
        <w:t>%，</w:t>
      </w:r>
      <w:r>
        <w:rPr>
          <w:rFonts w:hint="eastAsia" w:ascii="仿宋_GB2312" w:hAnsi="仿宋" w:eastAsia="仿宋_GB2312"/>
          <w:sz w:val="32"/>
          <w:szCs w:val="32"/>
          <w:lang w:val="en-US" w:eastAsia="zh-CN"/>
        </w:rPr>
        <w:t>上升</w:t>
      </w:r>
      <w:r>
        <w:rPr>
          <w:rFonts w:hint="eastAsia" w:ascii="仿宋_GB2312" w:hAnsi="仿宋" w:eastAsia="仿宋_GB2312"/>
          <w:sz w:val="32"/>
          <w:szCs w:val="32"/>
        </w:rPr>
        <w:t>的主要原因是</w:t>
      </w:r>
      <w:r>
        <w:rPr>
          <w:rFonts w:hint="eastAsia" w:ascii="仿宋_GB2312" w:hAnsi="仿宋" w:eastAsia="仿宋_GB2312"/>
          <w:sz w:val="32"/>
          <w:szCs w:val="32"/>
          <w:highlight w:val="none"/>
          <w:lang w:val="en-US" w:eastAsia="zh-CN"/>
        </w:rPr>
        <w:t>人员变动后支出增加。</w:t>
      </w:r>
    </w:p>
    <w:p w14:paraId="51A73ED2">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其中：人员经费支出</w:t>
      </w:r>
      <w:r>
        <w:rPr>
          <w:rFonts w:hint="eastAsia" w:ascii="仿宋_GB2312" w:hAnsi="仿宋" w:eastAsia="仿宋_GB2312"/>
          <w:sz w:val="32"/>
          <w:szCs w:val="32"/>
          <w:lang w:val="en-US" w:eastAsia="zh-CN"/>
        </w:rPr>
        <w:t>156.34</w:t>
      </w:r>
      <w:r>
        <w:rPr>
          <w:rFonts w:hint="eastAsia" w:ascii="仿宋_GB2312" w:hAnsi="仿宋" w:eastAsia="仿宋_GB2312"/>
          <w:sz w:val="32"/>
          <w:szCs w:val="32"/>
        </w:rPr>
        <w:t>万元，主要包括：基本工资、津贴补贴、奖金、机关事业单位基本养老保险缴费</w:t>
      </w:r>
      <w:bookmarkStart w:id="0" w:name="_GoBack"/>
      <w:bookmarkEnd w:id="0"/>
      <w:r>
        <w:rPr>
          <w:rFonts w:hint="eastAsia" w:ascii="仿宋_GB2312" w:hAnsi="仿宋" w:eastAsia="仿宋_GB2312"/>
          <w:sz w:val="32"/>
          <w:szCs w:val="32"/>
        </w:rPr>
        <w:t>、职业年金缴费、职工基本医疗保险缴费、其他社会保障缴费、住房公积金。</w:t>
      </w:r>
    </w:p>
    <w:p w14:paraId="478968C3">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公用经费支出</w:t>
      </w:r>
      <w:r>
        <w:rPr>
          <w:rFonts w:hint="eastAsia" w:ascii="仿宋_GB2312" w:hAnsi="仿宋" w:eastAsia="仿宋_GB2312"/>
          <w:sz w:val="32"/>
          <w:szCs w:val="32"/>
          <w:lang w:val="en-US" w:eastAsia="zh-CN"/>
        </w:rPr>
        <w:t>1.77</w:t>
      </w:r>
      <w:r>
        <w:rPr>
          <w:rFonts w:hint="eastAsia" w:ascii="仿宋_GB2312" w:hAnsi="仿宋" w:eastAsia="仿宋_GB2312"/>
          <w:sz w:val="32"/>
          <w:szCs w:val="32"/>
        </w:rPr>
        <w:t>万元，主要包括：工会经费、福利费</w:t>
      </w:r>
      <w:r>
        <w:rPr>
          <w:rFonts w:hint="eastAsia" w:ascii="仿宋_GB2312" w:hAnsi="仿宋" w:eastAsia="仿宋_GB2312"/>
          <w:sz w:val="32"/>
          <w:szCs w:val="32"/>
          <w:lang w:eastAsia="zh-CN"/>
        </w:rPr>
        <w:t>、</w:t>
      </w:r>
      <w:r>
        <w:rPr>
          <w:rFonts w:hint="eastAsia" w:ascii="仿宋_GB2312" w:hAnsi="仿宋" w:eastAsia="仿宋_GB2312"/>
          <w:sz w:val="32"/>
          <w:szCs w:val="32"/>
          <w:highlight w:val="none"/>
        </w:rPr>
        <w:t>其他商品和服务支出</w:t>
      </w:r>
      <w:r>
        <w:rPr>
          <w:rFonts w:hint="eastAsia" w:ascii="仿宋_GB2312" w:hAnsi="仿宋" w:eastAsia="仿宋_GB2312"/>
          <w:sz w:val="32"/>
          <w:szCs w:val="32"/>
        </w:rPr>
        <w:t>。</w:t>
      </w:r>
    </w:p>
    <w:p w14:paraId="28AD23CA">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（二）项目支出</w:t>
      </w:r>
    </w:p>
    <w:p w14:paraId="6B195594">
      <w:pPr>
        <w:adjustRightInd w:val="0"/>
        <w:snapToGrid w:val="0"/>
        <w:spacing w:line="640" w:lineRule="exact"/>
        <w:ind w:firstLine="640" w:firstLineChars="200"/>
        <w:contextualSpacing/>
        <w:rPr>
          <w:rFonts w:hint="eastAsia" w:ascii="仿宋_GB2312" w:hAnsi="仿宋" w:eastAsia="仿宋_GB2312"/>
          <w:sz w:val="32"/>
          <w:szCs w:val="32"/>
          <w:highlight w:val="none"/>
        </w:rPr>
      </w:pPr>
      <w:r>
        <w:rPr>
          <w:rFonts w:hint="eastAsia" w:ascii="仿宋_GB2312" w:hAnsi="仿宋" w:eastAsia="仿宋_GB2312"/>
          <w:sz w:val="32"/>
          <w:szCs w:val="32"/>
          <w:highlight w:val="none"/>
          <w:lang w:eastAsia="zh-CN"/>
        </w:rPr>
        <w:t>202</w:t>
      </w:r>
      <w:r>
        <w:rPr>
          <w:rFonts w:hint="eastAsia" w:ascii="仿宋_GB2312" w:hAnsi="仿宋" w:eastAsia="仿宋_GB2312"/>
          <w:sz w:val="32"/>
          <w:szCs w:val="32"/>
          <w:highlight w:val="none"/>
          <w:lang w:val="en-US" w:eastAsia="zh-CN"/>
        </w:rPr>
        <w:t>6</w:t>
      </w:r>
      <w:r>
        <w:rPr>
          <w:rFonts w:hint="eastAsia" w:ascii="仿宋_GB2312" w:hAnsi="仿宋" w:eastAsia="仿宋_GB2312"/>
          <w:sz w:val="32"/>
          <w:szCs w:val="32"/>
          <w:highlight w:val="none"/>
        </w:rPr>
        <w:t>年</w:t>
      </w:r>
      <w:r>
        <w:rPr>
          <w:rFonts w:hint="eastAsia" w:ascii="仿宋_GB2312" w:hAnsi="仿宋" w:eastAsia="仿宋_GB2312"/>
          <w:sz w:val="32"/>
          <w:szCs w:val="32"/>
          <w:highlight w:val="none"/>
          <w:lang w:val="en-US" w:eastAsia="zh-CN"/>
        </w:rPr>
        <w:t>本单位无项目预算支出</w:t>
      </w:r>
      <w:r>
        <w:rPr>
          <w:rFonts w:hint="eastAsia" w:ascii="仿宋_GB2312" w:hAnsi="仿宋" w:eastAsia="仿宋_GB2312"/>
          <w:sz w:val="32"/>
          <w:szCs w:val="32"/>
          <w:highlight w:val="none"/>
        </w:rPr>
        <w:t>。</w:t>
      </w:r>
    </w:p>
    <w:p w14:paraId="5292EC2A">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（三）支出功能分类说明</w:t>
      </w:r>
    </w:p>
    <w:p w14:paraId="7CEE151C">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highlight w:val="none"/>
        </w:rPr>
      </w:pPr>
      <w:r>
        <w:rPr>
          <w:rFonts w:hint="eastAsia" w:ascii="仿宋_GB2312" w:hAnsi="TimesNewRomanPS-BoldMT" w:eastAsia="仿宋_GB2312"/>
          <w:bCs/>
          <w:color w:val="000000"/>
          <w:sz w:val="32"/>
          <w:szCs w:val="32"/>
          <w:highlight w:val="none"/>
        </w:rPr>
        <w:t>1.社会保障和就业支出202</w:t>
      </w:r>
      <w:r>
        <w:rPr>
          <w:rFonts w:hint="eastAsia" w:ascii="仿宋_GB2312" w:hAnsi="TimesNewRomanPS-BoldMT" w:eastAsia="仿宋_GB2312"/>
          <w:bCs/>
          <w:color w:val="000000"/>
          <w:sz w:val="32"/>
          <w:szCs w:val="32"/>
          <w:highlight w:val="none"/>
          <w:lang w:val="en-US" w:eastAsia="zh-CN"/>
        </w:rPr>
        <w:t>6</w:t>
      </w:r>
      <w:r>
        <w:rPr>
          <w:rFonts w:hint="eastAsia" w:ascii="仿宋_GB2312" w:hAnsi="TimesNewRomanPS-BoldMT" w:eastAsia="仿宋_GB2312"/>
          <w:bCs/>
          <w:color w:val="000000"/>
          <w:sz w:val="32"/>
          <w:szCs w:val="32"/>
          <w:highlight w:val="none"/>
        </w:rPr>
        <w:t>年预算数为</w:t>
      </w:r>
      <w:r>
        <w:rPr>
          <w:rFonts w:hint="eastAsia" w:ascii="仿宋_GB2312" w:hAnsi="TimesNewRomanPS-BoldMT" w:eastAsia="仿宋_GB2312"/>
          <w:bCs/>
          <w:color w:val="000000"/>
          <w:sz w:val="32"/>
          <w:szCs w:val="32"/>
          <w:highlight w:val="none"/>
          <w:lang w:val="en-US" w:eastAsia="zh-CN"/>
        </w:rPr>
        <w:t>24.6</w:t>
      </w:r>
      <w:r>
        <w:rPr>
          <w:rFonts w:hint="eastAsia" w:ascii="仿宋_GB2312" w:hAnsi="TimesNewRomanPS-BoldMT" w:eastAsia="仿宋_GB2312"/>
          <w:bCs/>
          <w:color w:val="000000"/>
          <w:sz w:val="32"/>
          <w:szCs w:val="32"/>
          <w:highlight w:val="none"/>
        </w:rPr>
        <w:t>万元，比202</w:t>
      </w:r>
      <w:r>
        <w:rPr>
          <w:rFonts w:hint="eastAsia" w:ascii="仿宋_GB2312" w:hAnsi="TimesNewRomanPS-BoldMT" w:eastAsia="仿宋_GB2312"/>
          <w:bCs/>
          <w:color w:val="000000"/>
          <w:sz w:val="32"/>
          <w:szCs w:val="32"/>
          <w:highlight w:val="none"/>
          <w:lang w:val="en-US" w:eastAsia="zh-CN"/>
        </w:rPr>
        <w:t>5</w:t>
      </w:r>
      <w:r>
        <w:rPr>
          <w:rFonts w:hint="eastAsia" w:ascii="仿宋_GB2312" w:hAnsi="TimesNewRomanPS-BoldMT" w:eastAsia="仿宋_GB2312"/>
          <w:bCs/>
          <w:color w:val="000000"/>
          <w:sz w:val="32"/>
          <w:szCs w:val="32"/>
          <w:highlight w:val="none"/>
        </w:rPr>
        <w:t>年</w:t>
      </w:r>
      <w:r>
        <w:rPr>
          <w:rFonts w:hint="eastAsia" w:ascii="仿宋_GB2312" w:hAnsi="TimesNewRomanPS-BoldMT" w:eastAsia="仿宋_GB2312"/>
          <w:bCs/>
          <w:color w:val="000000"/>
          <w:sz w:val="32"/>
          <w:szCs w:val="32"/>
          <w:highlight w:val="none"/>
          <w:lang w:val="en-US" w:eastAsia="zh-CN"/>
        </w:rPr>
        <w:t>预算增加6.81</w:t>
      </w:r>
      <w:r>
        <w:rPr>
          <w:rFonts w:hint="eastAsia" w:ascii="仿宋_GB2312" w:hAnsi="TimesNewRomanPS-BoldMT" w:eastAsia="仿宋_GB2312"/>
          <w:bCs/>
          <w:color w:val="000000"/>
          <w:sz w:val="32"/>
          <w:szCs w:val="32"/>
          <w:highlight w:val="none"/>
        </w:rPr>
        <w:t>万元，主要原因是单位人员</w:t>
      </w:r>
      <w:r>
        <w:rPr>
          <w:rFonts w:hint="eastAsia" w:ascii="仿宋_GB2312" w:hAnsi="TimesNewRomanPS-BoldMT" w:eastAsia="仿宋_GB2312"/>
          <w:bCs/>
          <w:color w:val="000000"/>
          <w:sz w:val="32"/>
          <w:szCs w:val="32"/>
          <w:highlight w:val="none"/>
          <w:lang w:val="en-US" w:eastAsia="zh-CN"/>
        </w:rPr>
        <w:t>增加</w:t>
      </w:r>
      <w:r>
        <w:rPr>
          <w:rFonts w:hint="eastAsia" w:ascii="仿宋_GB2312" w:hAnsi="TimesNewRomanPS-BoldMT" w:eastAsia="仿宋_GB2312"/>
          <w:bCs/>
          <w:color w:val="000000"/>
          <w:sz w:val="32"/>
          <w:szCs w:val="32"/>
          <w:highlight w:val="none"/>
        </w:rPr>
        <w:t>，经费</w:t>
      </w:r>
      <w:r>
        <w:rPr>
          <w:rFonts w:hint="eastAsia" w:ascii="仿宋_GB2312" w:hAnsi="TimesNewRomanPS-BoldMT" w:eastAsia="仿宋_GB2312"/>
          <w:bCs/>
          <w:color w:val="000000"/>
          <w:sz w:val="32"/>
          <w:szCs w:val="32"/>
          <w:highlight w:val="none"/>
          <w:lang w:val="en-US" w:eastAsia="zh-CN"/>
        </w:rPr>
        <w:t>增加</w:t>
      </w:r>
      <w:r>
        <w:rPr>
          <w:rFonts w:hint="eastAsia" w:ascii="仿宋_GB2312" w:hAnsi="TimesNewRomanPS-BoldMT" w:eastAsia="仿宋_GB2312"/>
          <w:bCs/>
          <w:color w:val="000000"/>
          <w:sz w:val="32"/>
          <w:szCs w:val="32"/>
          <w:highlight w:val="none"/>
        </w:rPr>
        <w:t>；</w:t>
      </w:r>
    </w:p>
    <w:p w14:paraId="65E1A566">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highlight w:val="none"/>
        </w:rPr>
      </w:pPr>
      <w:r>
        <w:rPr>
          <w:rFonts w:hint="eastAsia" w:ascii="仿宋_GB2312" w:hAnsi="TimesNewRomanPS-BoldMT" w:eastAsia="仿宋_GB2312"/>
          <w:bCs/>
          <w:color w:val="000000"/>
          <w:sz w:val="32"/>
          <w:szCs w:val="32"/>
          <w:highlight w:val="none"/>
        </w:rPr>
        <w:t>2.卫生健康支出202</w:t>
      </w:r>
      <w:r>
        <w:rPr>
          <w:rFonts w:hint="eastAsia" w:ascii="仿宋_GB2312" w:hAnsi="TimesNewRomanPS-BoldMT" w:eastAsia="仿宋_GB2312"/>
          <w:bCs/>
          <w:color w:val="000000"/>
          <w:sz w:val="32"/>
          <w:szCs w:val="32"/>
          <w:highlight w:val="none"/>
          <w:lang w:val="en-US" w:eastAsia="zh-CN"/>
        </w:rPr>
        <w:t>6</w:t>
      </w:r>
      <w:r>
        <w:rPr>
          <w:rFonts w:hint="eastAsia" w:ascii="仿宋_GB2312" w:hAnsi="TimesNewRomanPS-BoldMT" w:eastAsia="仿宋_GB2312"/>
          <w:bCs/>
          <w:color w:val="000000"/>
          <w:sz w:val="32"/>
          <w:szCs w:val="32"/>
          <w:highlight w:val="none"/>
        </w:rPr>
        <w:t>年预算数为</w:t>
      </w:r>
      <w:r>
        <w:rPr>
          <w:rFonts w:hint="eastAsia" w:ascii="仿宋_GB2312" w:hAnsi="TimesNewRomanPS-BoldMT" w:eastAsia="仿宋_GB2312"/>
          <w:bCs/>
          <w:color w:val="000000"/>
          <w:sz w:val="32"/>
          <w:szCs w:val="32"/>
          <w:highlight w:val="none"/>
          <w:lang w:val="en-US" w:eastAsia="zh-CN"/>
        </w:rPr>
        <w:t>122.21</w:t>
      </w:r>
      <w:r>
        <w:rPr>
          <w:rFonts w:hint="eastAsia" w:ascii="仿宋_GB2312" w:hAnsi="TimesNewRomanPS-BoldMT" w:eastAsia="仿宋_GB2312"/>
          <w:bCs/>
          <w:color w:val="000000"/>
          <w:sz w:val="32"/>
          <w:szCs w:val="32"/>
          <w:highlight w:val="none"/>
        </w:rPr>
        <w:t>万元，比202</w:t>
      </w:r>
      <w:r>
        <w:rPr>
          <w:rFonts w:hint="eastAsia" w:ascii="仿宋_GB2312" w:hAnsi="TimesNewRomanPS-BoldMT" w:eastAsia="仿宋_GB2312"/>
          <w:bCs/>
          <w:color w:val="000000"/>
          <w:sz w:val="32"/>
          <w:szCs w:val="32"/>
          <w:highlight w:val="none"/>
          <w:lang w:val="en-US" w:eastAsia="zh-CN"/>
        </w:rPr>
        <w:t>5</w:t>
      </w:r>
      <w:r>
        <w:rPr>
          <w:rFonts w:hint="eastAsia" w:ascii="仿宋_GB2312" w:hAnsi="TimesNewRomanPS-BoldMT" w:eastAsia="仿宋_GB2312"/>
          <w:bCs/>
          <w:color w:val="000000"/>
          <w:sz w:val="32"/>
          <w:szCs w:val="32"/>
          <w:highlight w:val="none"/>
        </w:rPr>
        <w:t>年预算</w:t>
      </w:r>
      <w:r>
        <w:rPr>
          <w:rFonts w:hint="eastAsia" w:ascii="仿宋_GB2312" w:hAnsi="TimesNewRomanPS-BoldMT" w:eastAsia="仿宋_GB2312"/>
          <w:bCs/>
          <w:color w:val="000000"/>
          <w:sz w:val="32"/>
          <w:szCs w:val="32"/>
          <w:highlight w:val="none"/>
          <w:lang w:val="en-US" w:eastAsia="zh-CN"/>
        </w:rPr>
        <w:t>增加34.72</w:t>
      </w:r>
      <w:r>
        <w:rPr>
          <w:rFonts w:hint="eastAsia" w:ascii="仿宋_GB2312" w:hAnsi="TimesNewRomanPS-BoldMT" w:eastAsia="仿宋_GB2312"/>
          <w:bCs/>
          <w:color w:val="000000"/>
          <w:sz w:val="32"/>
          <w:szCs w:val="32"/>
          <w:highlight w:val="none"/>
        </w:rPr>
        <w:t>万元，主要原因是单位人员</w:t>
      </w:r>
      <w:r>
        <w:rPr>
          <w:rFonts w:hint="eastAsia" w:ascii="仿宋_GB2312" w:hAnsi="TimesNewRomanPS-BoldMT" w:eastAsia="仿宋_GB2312"/>
          <w:bCs/>
          <w:color w:val="000000"/>
          <w:sz w:val="32"/>
          <w:szCs w:val="32"/>
          <w:highlight w:val="none"/>
          <w:lang w:val="en-US" w:eastAsia="zh-CN"/>
        </w:rPr>
        <w:t>增加</w:t>
      </w:r>
      <w:r>
        <w:rPr>
          <w:rFonts w:hint="eastAsia" w:ascii="仿宋_GB2312" w:hAnsi="TimesNewRomanPS-BoldMT" w:eastAsia="仿宋_GB2312"/>
          <w:bCs/>
          <w:color w:val="000000"/>
          <w:sz w:val="32"/>
          <w:szCs w:val="32"/>
          <w:highlight w:val="none"/>
        </w:rPr>
        <w:t>，经费</w:t>
      </w:r>
      <w:r>
        <w:rPr>
          <w:rFonts w:hint="eastAsia" w:ascii="仿宋_GB2312" w:hAnsi="TimesNewRomanPS-BoldMT" w:eastAsia="仿宋_GB2312"/>
          <w:bCs/>
          <w:color w:val="000000"/>
          <w:sz w:val="32"/>
          <w:szCs w:val="32"/>
          <w:highlight w:val="none"/>
          <w:lang w:val="en-US" w:eastAsia="zh-CN"/>
        </w:rPr>
        <w:t>增加</w:t>
      </w:r>
      <w:r>
        <w:rPr>
          <w:rFonts w:hint="eastAsia" w:ascii="仿宋_GB2312" w:hAnsi="TimesNewRomanPS-BoldMT" w:eastAsia="仿宋_GB2312"/>
          <w:bCs/>
          <w:color w:val="000000"/>
          <w:sz w:val="32"/>
          <w:szCs w:val="32"/>
          <w:highlight w:val="none"/>
        </w:rPr>
        <w:t>；</w:t>
      </w:r>
    </w:p>
    <w:p w14:paraId="6F01B201">
      <w:pPr>
        <w:adjustRightInd w:val="0"/>
        <w:snapToGrid w:val="0"/>
        <w:spacing w:line="640" w:lineRule="exact"/>
        <w:ind w:firstLine="640" w:firstLineChars="200"/>
        <w:contextualSpacing/>
        <w:rPr>
          <w:rFonts w:hint="eastAsia" w:ascii="仿宋_GB2312" w:hAnsi="TimesNewRomanPS-BoldMT" w:eastAsia="仿宋_GB2312"/>
          <w:bCs/>
          <w:color w:val="000000"/>
          <w:sz w:val="32"/>
          <w:szCs w:val="32"/>
          <w:highlight w:val="none"/>
        </w:rPr>
      </w:pPr>
      <w:r>
        <w:rPr>
          <w:rFonts w:hint="eastAsia" w:ascii="仿宋_GB2312" w:hAnsi="TimesNewRomanPS-BoldMT" w:eastAsia="仿宋_GB2312"/>
          <w:bCs/>
          <w:color w:val="000000"/>
          <w:sz w:val="32"/>
          <w:szCs w:val="32"/>
          <w:highlight w:val="none"/>
        </w:rPr>
        <w:t>3.住房保障202</w:t>
      </w:r>
      <w:r>
        <w:rPr>
          <w:rFonts w:hint="eastAsia" w:ascii="仿宋_GB2312" w:hAnsi="TimesNewRomanPS-BoldMT" w:eastAsia="仿宋_GB2312"/>
          <w:bCs/>
          <w:color w:val="000000"/>
          <w:sz w:val="32"/>
          <w:szCs w:val="32"/>
          <w:highlight w:val="none"/>
          <w:lang w:val="en-US" w:eastAsia="zh-CN"/>
        </w:rPr>
        <w:t>6</w:t>
      </w:r>
      <w:r>
        <w:rPr>
          <w:rFonts w:hint="eastAsia" w:ascii="仿宋_GB2312" w:hAnsi="TimesNewRomanPS-BoldMT" w:eastAsia="仿宋_GB2312"/>
          <w:bCs/>
          <w:color w:val="000000"/>
          <w:sz w:val="32"/>
          <w:szCs w:val="32"/>
          <w:highlight w:val="none"/>
        </w:rPr>
        <w:t>年预算数为</w:t>
      </w:r>
      <w:r>
        <w:rPr>
          <w:rFonts w:hint="eastAsia" w:ascii="仿宋_GB2312" w:hAnsi="TimesNewRomanPS-BoldMT" w:eastAsia="仿宋_GB2312"/>
          <w:bCs/>
          <w:color w:val="000000"/>
          <w:sz w:val="32"/>
          <w:szCs w:val="32"/>
          <w:highlight w:val="none"/>
          <w:lang w:val="en-US" w:eastAsia="zh-CN"/>
        </w:rPr>
        <w:t>11.29</w:t>
      </w:r>
      <w:r>
        <w:rPr>
          <w:rFonts w:hint="eastAsia" w:ascii="仿宋_GB2312" w:hAnsi="TimesNewRomanPS-BoldMT" w:eastAsia="仿宋_GB2312"/>
          <w:bCs/>
          <w:color w:val="000000"/>
          <w:sz w:val="32"/>
          <w:szCs w:val="32"/>
          <w:highlight w:val="none"/>
        </w:rPr>
        <w:t>万元，比202</w:t>
      </w:r>
      <w:r>
        <w:rPr>
          <w:rFonts w:hint="eastAsia" w:ascii="仿宋_GB2312" w:hAnsi="TimesNewRomanPS-BoldMT" w:eastAsia="仿宋_GB2312"/>
          <w:bCs/>
          <w:color w:val="000000"/>
          <w:sz w:val="32"/>
          <w:szCs w:val="32"/>
          <w:highlight w:val="none"/>
          <w:lang w:val="en-US" w:eastAsia="zh-CN"/>
        </w:rPr>
        <w:t>5</w:t>
      </w:r>
      <w:r>
        <w:rPr>
          <w:rFonts w:hint="eastAsia" w:ascii="仿宋_GB2312" w:hAnsi="TimesNewRomanPS-BoldMT" w:eastAsia="仿宋_GB2312"/>
          <w:bCs/>
          <w:color w:val="000000"/>
          <w:sz w:val="32"/>
          <w:szCs w:val="32"/>
          <w:highlight w:val="none"/>
        </w:rPr>
        <w:t>年预算</w:t>
      </w:r>
      <w:r>
        <w:rPr>
          <w:rFonts w:hint="eastAsia" w:ascii="仿宋_GB2312" w:hAnsi="TimesNewRomanPS-BoldMT" w:eastAsia="仿宋_GB2312"/>
          <w:bCs/>
          <w:color w:val="000000"/>
          <w:sz w:val="32"/>
          <w:szCs w:val="32"/>
          <w:highlight w:val="none"/>
          <w:lang w:val="en-US" w:eastAsia="zh-CN"/>
        </w:rPr>
        <w:t>增加3.4</w:t>
      </w:r>
      <w:r>
        <w:rPr>
          <w:rFonts w:hint="eastAsia" w:ascii="仿宋_GB2312" w:hAnsi="TimesNewRomanPS-BoldMT" w:eastAsia="仿宋_GB2312"/>
          <w:bCs/>
          <w:color w:val="000000"/>
          <w:sz w:val="32"/>
          <w:szCs w:val="32"/>
          <w:highlight w:val="none"/>
        </w:rPr>
        <w:t>万元，主要原因是单位人员</w:t>
      </w:r>
      <w:r>
        <w:rPr>
          <w:rFonts w:hint="eastAsia" w:ascii="仿宋_GB2312" w:hAnsi="TimesNewRomanPS-BoldMT" w:eastAsia="仿宋_GB2312"/>
          <w:bCs/>
          <w:color w:val="000000"/>
          <w:sz w:val="32"/>
          <w:szCs w:val="32"/>
          <w:highlight w:val="none"/>
          <w:lang w:val="en-US" w:eastAsia="zh-CN"/>
        </w:rPr>
        <w:t>增加</w:t>
      </w:r>
      <w:r>
        <w:rPr>
          <w:rFonts w:hint="eastAsia" w:ascii="仿宋_GB2312" w:hAnsi="TimesNewRomanPS-BoldMT" w:eastAsia="仿宋_GB2312"/>
          <w:bCs/>
          <w:color w:val="000000"/>
          <w:sz w:val="32"/>
          <w:szCs w:val="32"/>
          <w:highlight w:val="none"/>
        </w:rPr>
        <w:t>，经费</w:t>
      </w:r>
      <w:r>
        <w:rPr>
          <w:rFonts w:hint="eastAsia" w:ascii="仿宋_GB2312" w:hAnsi="TimesNewRomanPS-BoldMT" w:eastAsia="仿宋_GB2312"/>
          <w:bCs/>
          <w:color w:val="000000"/>
          <w:sz w:val="32"/>
          <w:szCs w:val="32"/>
          <w:highlight w:val="none"/>
          <w:lang w:val="en-US" w:eastAsia="zh-CN"/>
        </w:rPr>
        <w:t>增加</w:t>
      </w:r>
      <w:r>
        <w:rPr>
          <w:rFonts w:hint="eastAsia" w:ascii="仿宋_GB2312" w:hAnsi="TimesNewRomanPS-BoldMT" w:eastAsia="仿宋_GB2312"/>
          <w:bCs/>
          <w:color w:val="000000"/>
          <w:sz w:val="32"/>
          <w:szCs w:val="32"/>
          <w:highlight w:val="none"/>
        </w:rPr>
        <w:t>；</w:t>
      </w:r>
    </w:p>
    <w:p w14:paraId="28FD1C3B">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五、单位一般公共预算财政拨款“三公”经费、培训费、会议费等情况</w:t>
      </w:r>
    </w:p>
    <w:p w14:paraId="7451791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（一）“三公”经费情况说明</w:t>
      </w:r>
    </w:p>
    <w:p w14:paraId="46C9292B">
      <w:pPr>
        <w:adjustRightInd w:val="0"/>
        <w:snapToGrid w:val="0"/>
        <w:spacing w:line="640" w:lineRule="exact"/>
        <w:ind w:firstLine="640" w:firstLineChars="200"/>
        <w:contextualSpacing/>
        <w:rPr>
          <w:rFonts w:hint="eastAsia" w:ascii="仿宋_GB2312" w:hAnsi="仿宋" w:eastAsia="仿宋_GB2312"/>
          <w:sz w:val="32"/>
          <w:szCs w:val="32"/>
          <w:lang w:val="en-US" w:eastAsia="zh-CN"/>
        </w:rPr>
      </w:pPr>
      <w:r>
        <w:rPr>
          <w:rFonts w:hint="eastAsia" w:ascii="仿宋_GB2312" w:hAnsi="仿宋" w:eastAsia="仿宋_GB2312"/>
          <w:sz w:val="32"/>
          <w:szCs w:val="32"/>
          <w:lang w:val="en-US" w:eastAsia="zh-CN"/>
        </w:rPr>
        <w:t>无</w:t>
      </w:r>
    </w:p>
    <w:p w14:paraId="403F1172">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六、一般公共预算财政拨款机关运行经费情况</w:t>
      </w:r>
    </w:p>
    <w:p w14:paraId="757CE866">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val="en-US" w:eastAsia="zh-CN"/>
        </w:rPr>
        <w:t>无</w:t>
      </w:r>
      <w:r>
        <w:rPr>
          <w:rFonts w:hint="eastAsia" w:ascii="仿宋_GB2312" w:hAnsi="仿宋" w:eastAsia="仿宋_GB2312"/>
          <w:sz w:val="32"/>
          <w:szCs w:val="32"/>
        </w:rPr>
        <w:t>。</w:t>
      </w:r>
    </w:p>
    <w:p w14:paraId="24A4265A">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七、政府采购安排情况</w:t>
      </w:r>
    </w:p>
    <w:p w14:paraId="3CEBFCE7">
      <w:pPr>
        <w:adjustRightInd w:val="0"/>
        <w:snapToGrid w:val="0"/>
        <w:spacing w:line="640" w:lineRule="exact"/>
        <w:ind w:firstLine="640" w:firstLineChars="200"/>
        <w:contextualSpacing/>
        <w:rPr>
          <w:rFonts w:hint="eastAsia" w:ascii="仿宋_GB2312" w:hAnsi="仿宋" w:eastAsia="仿宋_GB2312"/>
          <w:sz w:val="32"/>
          <w:szCs w:val="32"/>
        </w:rPr>
      </w:pPr>
      <w:r>
        <w:rPr>
          <w:rFonts w:hint="eastAsia" w:ascii="仿宋_GB2312" w:hAnsi="仿宋" w:eastAsia="仿宋_GB2312"/>
          <w:sz w:val="32"/>
          <w:szCs w:val="32"/>
          <w:lang w:eastAsia="zh-CN"/>
        </w:rPr>
        <w:t>20</w:t>
      </w:r>
      <w:r>
        <w:rPr>
          <w:rFonts w:hint="eastAsia" w:ascii="仿宋_GB2312" w:hAnsi="仿宋" w:eastAsia="仿宋_GB2312"/>
          <w:sz w:val="32"/>
          <w:szCs w:val="32"/>
          <w:lang w:val="en-US" w:eastAsia="zh-CN"/>
        </w:rPr>
        <w:t>26</w:t>
      </w:r>
      <w:r>
        <w:rPr>
          <w:rFonts w:hint="eastAsia" w:ascii="仿宋_GB2312" w:hAnsi="仿宋" w:eastAsia="仿宋_GB2312"/>
          <w:sz w:val="32"/>
          <w:szCs w:val="32"/>
        </w:rPr>
        <w:t>年，</w:t>
      </w:r>
      <w:r>
        <w:rPr>
          <w:rFonts w:hint="eastAsia" w:ascii="仿宋_GB2312" w:hAnsi="仿宋" w:eastAsia="仿宋_GB2312"/>
          <w:sz w:val="32"/>
          <w:szCs w:val="32"/>
          <w:lang w:eastAsia="zh-CN"/>
        </w:rPr>
        <w:t>华池县</w:t>
      </w:r>
      <w:r>
        <w:rPr>
          <w:rFonts w:hint="eastAsia" w:ascii="仿宋_GB2312" w:hAnsi="仿宋" w:eastAsia="仿宋_GB2312"/>
          <w:sz w:val="32"/>
          <w:szCs w:val="32"/>
          <w:lang w:val="en-US" w:eastAsia="zh-CN"/>
        </w:rPr>
        <w:t>乔川乡卫生院无</w:t>
      </w:r>
      <w:r>
        <w:rPr>
          <w:rFonts w:hint="eastAsia" w:ascii="仿宋_GB2312" w:hAnsi="仿宋" w:eastAsia="仿宋_GB2312"/>
          <w:sz w:val="32"/>
          <w:szCs w:val="32"/>
        </w:rPr>
        <w:t>政府采购预算。</w:t>
      </w:r>
    </w:p>
    <w:p w14:paraId="5182885B">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八、国有资产占用情况</w:t>
      </w:r>
    </w:p>
    <w:p w14:paraId="776E7156">
      <w:pPr>
        <w:widowControl/>
        <w:adjustRightInd w:val="0"/>
        <w:snapToGrid w:val="0"/>
        <w:spacing w:line="640" w:lineRule="exact"/>
        <w:ind w:firstLine="640" w:firstLineChars="200"/>
        <w:contextualSpacing/>
        <w:jc w:val="left"/>
        <w:rPr>
          <w:rFonts w:ascii="仿宋_GB2312" w:hAnsi="仿宋" w:eastAsia="仿宋_GB2312"/>
          <w:sz w:val="32"/>
          <w:szCs w:val="32"/>
          <w:highlight w:val="green"/>
        </w:rPr>
      </w:pPr>
      <w:r>
        <w:rPr>
          <w:rFonts w:hint="eastAsia" w:ascii="仿宋_GB2312" w:hAnsi="仿宋" w:eastAsia="仿宋_GB2312"/>
          <w:sz w:val="32"/>
          <w:szCs w:val="32"/>
          <w:highlight w:val="none"/>
        </w:rPr>
        <w:t>上年末固定资产金额为</w:t>
      </w:r>
      <w:r>
        <w:rPr>
          <w:rFonts w:hint="eastAsia" w:ascii="仿宋_GB2312" w:hAnsi="仿宋" w:eastAsia="仿宋_GB2312"/>
          <w:sz w:val="32"/>
          <w:szCs w:val="32"/>
          <w:highlight w:val="none"/>
          <w:lang w:val="en-US" w:eastAsia="zh-CN"/>
        </w:rPr>
        <w:t>65.99</w:t>
      </w:r>
      <w:r>
        <w:rPr>
          <w:rFonts w:hint="eastAsia" w:ascii="仿宋_GB2312" w:hAnsi="仿宋" w:eastAsia="仿宋_GB2312"/>
          <w:sz w:val="32"/>
          <w:szCs w:val="32"/>
          <w:highlight w:val="none"/>
        </w:rPr>
        <w:t>元。其中：办公用房</w:t>
      </w:r>
      <w:r>
        <w:rPr>
          <w:rFonts w:hint="eastAsia" w:ascii="仿宋_GB2312" w:hAnsi="仿宋" w:eastAsia="仿宋_GB2312"/>
          <w:sz w:val="32"/>
          <w:szCs w:val="32"/>
          <w:highlight w:val="none"/>
          <w:lang w:val="en-US" w:eastAsia="zh-CN"/>
        </w:rPr>
        <w:t>656.82</w:t>
      </w:r>
      <w:r>
        <w:rPr>
          <w:rFonts w:hint="eastAsia" w:ascii="仿宋_GB2312" w:hAnsi="仿宋" w:eastAsia="仿宋_GB2312"/>
          <w:sz w:val="32"/>
          <w:szCs w:val="32"/>
          <w:highlight w:val="none"/>
        </w:rPr>
        <w:t>平方米。单价20万元以上的设备价值</w:t>
      </w:r>
      <w:r>
        <w:rPr>
          <w:rFonts w:hint="eastAsia" w:ascii="仿宋_GB2312" w:hAnsi="仿宋" w:eastAsia="仿宋_GB2312"/>
          <w:sz w:val="32"/>
          <w:szCs w:val="32"/>
          <w:highlight w:val="none"/>
          <w:lang w:val="en-US" w:eastAsia="zh-CN"/>
        </w:rPr>
        <w:t>0</w:t>
      </w:r>
      <w:r>
        <w:rPr>
          <w:rFonts w:hint="eastAsia" w:ascii="仿宋_GB2312" w:hAnsi="仿宋" w:eastAsia="仿宋_GB2312"/>
          <w:sz w:val="32"/>
          <w:szCs w:val="32"/>
          <w:highlight w:val="none"/>
        </w:rPr>
        <w:t>万元。</w:t>
      </w:r>
    </w:p>
    <w:p w14:paraId="4EBACD50">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九、其他重要事项情况说明</w:t>
      </w:r>
    </w:p>
    <w:p w14:paraId="3C067F87">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（一）政府性基金预算支出情况</w:t>
      </w:r>
    </w:p>
    <w:p w14:paraId="2E05CFBB">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未安排预算，政府性基金预算支出情况表为空表</w:t>
      </w:r>
      <w:r>
        <w:rPr>
          <w:rFonts w:hint="eastAsia" w:ascii="仿宋_GB2312" w:hAnsi="仿宋" w:eastAsia="仿宋_GB2312"/>
          <w:sz w:val="32"/>
          <w:szCs w:val="32"/>
          <w:lang w:eastAsia="zh-CN"/>
        </w:rPr>
        <w:t>。</w:t>
      </w:r>
    </w:p>
    <w:p w14:paraId="3FE679AF">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（二）非税收入情况</w:t>
      </w:r>
    </w:p>
    <w:p w14:paraId="599FD9D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本单位</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w:t>
      </w:r>
      <w:r>
        <w:rPr>
          <w:rFonts w:ascii="仿宋_GB2312" w:hAnsi="仿宋" w:eastAsia="仿宋_GB2312"/>
          <w:sz w:val="32"/>
          <w:szCs w:val="32"/>
        </w:rPr>
        <w:t>无非税收入</w:t>
      </w:r>
      <w:r>
        <w:rPr>
          <w:rFonts w:hint="eastAsia" w:ascii="仿宋_GB2312" w:hAnsi="仿宋" w:eastAsia="仿宋_GB2312"/>
          <w:sz w:val="32"/>
          <w:szCs w:val="32"/>
        </w:rPr>
        <w:t>。</w:t>
      </w:r>
    </w:p>
    <w:p w14:paraId="0E12AB16">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（三）重点项目情况</w:t>
      </w:r>
    </w:p>
    <w:p w14:paraId="428BADBE">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本</w:t>
      </w:r>
      <w:r>
        <w:rPr>
          <w:rFonts w:hint="eastAsia" w:ascii="仿宋_GB2312" w:hAnsi="仿宋" w:eastAsia="仿宋_GB2312"/>
          <w:sz w:val="32"/>
          <w:szCs w:val="32"/>
          <w:lang w:eastAsia="zh-CN"/>
        </w:rPr>
        <w:t>单位</w:t>
      </w:r>
      <w:r>
        <w:rPr>
          <w:rFonts w:hint="eastAsia" w:ascii="仿宋_GB2312" w:hAnsi="仿宋" w:eastAsia="仿宋_GB2312"/>
          <w:sz w:val="32"/>
          <w:szCs w:val="32"/>
        </w:rPr>
        <w:t>年初预算未安排项目支出，无重点项目说明。</w:t>
      </w:r>
    </w:p>
    <w:p w14:paraId="0252E6B2">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（四）部门管理转移支付情况</w:t>
      </w:r>
    </w:p>
    <w:p w14:paraId="31840CDA">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未安排预算，</w:t>
      </w:r>
      <w:r>
        <w:rPr>
          <w:rFonts w:hint="eastAsia" w:ascii="仿宋_GB2312" w:hAnsi="仿宋" w:eastAsia="仿宋_GB2312"/>
          <w:sz w:val="32"/>
          <w:szCs w:val="32"/>
          <w:lang w:eastAsia="zh-CN"/>
        </w:rPr>
        <w:t>单位</w:t>
      </w:r>
      <w:r>
        <w:rPr>
          <w:rFonts w:hint="eastAsia" w:ascii="仿宋_GB2312" w:hAnsi="仿宋" w:eastAsia="仿宋_GB2312"/>
          <w:sz w:val="32"/>
          <w:szCs w:val="32"/>
        </w:rPr>
        <w:t>管理转移支付表为空表。</w:t>
      </w:r>
    </w:p>
    <w:p w14:paraId="50F21410">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（五）国有资本经营预算支出情况</w:t>
      </w:r>
    </w:p>
    <w:p w14:paraId="2A0B7464">
      <w:pPr>
        <w:widowControl/>
        <w:adjustRightInd w:val="0"/>
        <w:snapToGrid w:val="0"/>
        <w:spacing w:line="640" w:lineRule="exact"/>
        <w:ind w:firstLine="640" w:firstLineChars="200"/>
        <w:contextualSpacing/>
        <w:jc w:val="left"/>
        <w:rPr>
          <w:rFonts w:ascii="仿宋_GB2312" w:hAnsi="楷体" w:eastAsia="仿宋_GB2312"/>
          <w:sz w:val="32"/>
          <w:szCs w:val="32"/>
        </w:rPr>
      </w:pPr>
      <w:r>
        <w:rPr>
          <w:rFonts w:hint="eastAsia" w:ascii="仿宋_GB2312" w:hAnsi="楷体" w:eastAsia="仿宋_GB2312"/>
          <w:sz w:val="32"/>
          <w:szCs w:val="32"/>
        </w:rPr>
        <w:t>未安排预算，国有资本经营预算支出情况表为空表。</w:t>
      </w:r>
    </w:p>
    <w:p w14:paraId="276ED593">
      <w:pPr>
        <w:adjustRightInd w:val="0"/>
        <w:snapToGrid w:val="0"/>
        <w:spacing w:line="640" w:lineRule="exact"/>
        <w:ind w:firstLine="640" w:firstLineChars="200"/>
        <w:contextualSpacing/>
        <w:rPr>
          <w:rFonts w:ascii="黑体" w:hAnsi="黑体" w:eastAsia="黑体" w:cs="宋体"/>
          <w:kern w:val="0"/>
          <w:sz w:val="32"/>
          <w:szCs w:val="32"/>
        </w:rPr>
      </w:pPr>
      <w:r>
        <w:rPr>
          <w:rFonts w:hint="eastAsia" w:ascii="黑体" w:hAnsi="黑体" w:eastAsia="黑体" w:cs="宋体"/>
          <w:kern w:val="0"/>
          <w:sz w:val="32"/>
          <w:szCs w:val="32"/>
        </w:rPr>
        <w:t>十、预算绩效管理情况</w:t>
      </w:r>
    </w:p>
    <w:p w14:paraId="5F4209FC">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（一）</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5</w:t>
      </w:r>
      <w:r>
        <w:rPr>
          <w:rFonts w:hint="eastAsia" w:ascii="楷体_GB2312" w:hAnsi="楷体" w:eastAsia="楷体_GB2312" w:cs="宋体"/>
          <w:b/>
          <w:bCs/>
          <w:kern w:val="0"/>
          <w:sz w:val="32"/>
          <w:szCs w:val="32"/>
        </w:rPr>
        <w:t>年预算绩效管理工作情况。</w:t>
      </w:r>
    </w:p>
    <w:p w14:paraId="0452DB40">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rPr>
        <w:t>按照《中共中央国务院关于全面实施预算绩效管理的意见》《中共甘肃省委甘肃省人民政府关于全面实施预算绩效管理的实施意见》等相关要求，我们将绩效理念和方法融入预算编制、执行、决算和监督全过程认真开展各项工作。</w:t>
      </w:r>
    </w:p>
    <w:p w14:paraId="7C3DE05B">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1.绩效目标管理情况。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年度，按照“谁申请资金，谁设置目标”的原则，纳入部门预算管理的</w:t>
      </w:r>
      <w:r>
        <w:rPr>
          <w:rFonts w:hint="eastAsia" w:ascii="仿宋_GB2312" w:hAnsi="CIDFont+F6" w:eastAsia="仿宋_GB2312"/>
          <w:color w:val="000000"/>
          <w:sz w:val="32"/>
          <w:szCs w:val="32"/>
        </w:rPr>
        <w:t>单位</w:t>
      </w:r>
      <w:r>
        <w:rPr>
          <w:rFonts w:hint="eastAsia" w:ascii="仿宋_GB2312" w:hAnsi="仿宋" w:eastAsia="仿宋_GB2312"/>
          <w:sz w:val="32"/>
          <w:szCs w:val="32"/>
        </w:rPr>
        <w:t>整体支出和项目绩效目标</w:t>
      </w:r>
      <w:r>
        <w:rPr>
          <w:rFonts w:hint="eastAsia" w:ascii="仿宋_GB2312" w:hAnsi="仿宋" w:eastAsia="仿宋_GB2312"/>
          <w:sz w:val="32"/>
          <w:szCs w:val="32"/>
          <w:lang w:val="en-US" w:eastAsia="zh-CN"/>
        </w:rPr>
        <w:t>1</w:t>
      </w:r>
      <w:r>
        <w:rPr>
          <w:rFonts w:hint="eastAsia" w:ascii="仿宋_GB2312" w:hAnsi="仿宋" w:eastAsia="仿宋_GB2312"/>
          <w:sz w:val="32"/>
          <w:szCs w:val="32"/>
        </w:rPr>
        <w:t>个，按规定随年度预算一并公开项目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个，公开率为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w:t>
      </w:r>
    </w:p>
    <w:p w14:paraId="0FDF4537">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2.绩效运行监控情况。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w:t>
      </w:r>
      <w:r>
        <w:rPr>
          <w:rFonts w:hint="eastAsia" w:ascii="仿宋_GB2312" w:hAnsi="仿宋" w:eastAsia="仿宋_GB2312"/>
          <w:sz w:val="32"/>
          <w:szCs w:val="32"/>
          <w:lang w:val="en-US" w:eastAsia="zh-CN"/>
        </w:rPr>
        <w:t>7</w:t>
      </w:r>
      <w:r>
        <w:rPr>
          <w:rFonts w:hint="eastAsia" w:ascii="仿宋_GB2312" w:hAnsi="仿宋" w:eastAsia="仿宋_GB2312"/>
          <w:sz w:val="32"/>
          <w:szCs w:val="32"/>
        </w:rPr>
        <w:t>月，组织开展</w:t>
      </w:r>
      <w:r>
        <w:rPr>
          <w:rFonts w:hint="eastAsia" w:ascii="仿宋_GB2312" w:hAnsi="仿宋" w:eastAsia="仿宋_GB2312"/>
          <w:sz w:val="32"/>
          <w:szCs w:val="32"/>
          <w:lang w:val="en-US" w:eastAsia="zh-CN"/>
        </w:rPr>
        <w:t>1-6</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个，占本</w:t>
      </w:r>
      <w:r>
        <w:rPr>
          <w:rFonts w:hint="eastAsia" w:ascii="仿宋_GB2312" w:hAnsi="CIDFont+F6" w:eastAsia="仿宋_GB2312"/>
          <w:color w:val="000000"/>
          <w:sz w:val="32"/>
          <w:szCs w:val="32"/>
        </w:rPr>
        <w:t>单位</w:t>
      </w:r>
      <w:r>
        <w:rPr>
          <w:rFonts w:hint="eastAsia" w:ascii="仿宋_GB2312" w:hAnsi="仿宋" w:eastAsia="仿宋_GB2312"/>
          <w:sz w:val="32"/>
          <w:szCs w:val="32"/>
        </w:rPr>
        <w:t>项目的</w:t>
      </w:r>
      <w:r>
        <w:rPr>
          <w:rFonts w:hint="eastAsia" w:ascii="仿宋_GB2312" w:hAnsi="仿宋" w:eastAsia="仿宋_GB2312"/>
          <w:sz w:val="32"/>
          <w:szCs w:val="32"/>
          <w:lang w:val="en-US" w:eastAsia="zh-CN"/>
        </w:rPr>
        <w:t>47.83</w:t>
      </w:r>
      <w:r>
        <w:rPr>
          <w:rFonts w:hint="eastAsia" w:ascii="仿宋_GB2312" w:hAnsi="仿宋" w:eastAsia="仿宋_GB2312"/>
          <w:sz w:val="32"/>
          <w:szCs w:val="32"/>
        </w:rPr>
        <w:t>%。截至</w:t>
      </w:r>
      <w:r>
        <w:rPr>
          <w:rFonts w:hint="eastAsia" w:ascii="仿宋_GB2312" w:hAnsi="仿宋" w:eastAsia="仿宋_GB2312"/>
          <w:sz w:val="32"/>
          <w:szCs w:val="32"/>
          <w:lang w:val="en-US" w:eastAsia="zh-CN"/>
        </w:rPr>
        <w:t>6</w:t>
      </w:r>
      <w:r>
        <w:rPr>
          <w:rFonts w:hint="eastAsia" w:ascii="仿宋_GB2312" w:hAnsi="仿宋" w:eastAsia="仿宋_GB2312"/>
          <w:sz w:val="32"/>
          <w:szCs w:val="32"/>
        </w:rPr>
        <w:t>月底，如期完成预算执行和绩效目标指标值的项目</w:t>
      </w:r>
      <w:r>
        <w:rPr>
          <w:rFonts w:hint="eastAsia" w:ascii="仿宋_GB2312" w:hAnsi="仿宋" w:eastAsia="仿宋_GB2312"/>
          <w:sz w:val="32"/>
          <w:szCs w:val="32"/>
          <w:lang w:val="en-US" w:eastAsia="zh-CN"/>
        </w:rPr>
        <w:t>11</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w:t>
      </w:r>
      <w:r>
        <w:rPr>
          <w:rFonts w:hint="eastAsia" w:ascii="仿宋_GB2312" w:hAnsi="仿宋" w:eastAsia="仿宋_GB2312"/>
          <w:sz w:val="32"/>
          <w:szCs w:val="32"/>
          <w:lang w:val="en-US" w:eastAsia="zh-CN"/>
        </w:rPr>
        <w:t>和</w:t>
      </w:r>
      <w:r>
        <w:rPr>
          <w:rFonts w:hint="eastAsia" w:ascii="仿宋_GB2312" w:hAnsi="仿宋" w:eastAsia="仿宋_GB2312"/>
          <w:sz w:val="32"/>
          <w:szCs w:val="32"/>
          <w:lang w:eastAsia="zh-CN"/>
        </w:rPr>
        <w:t>主要原因</w:t>
      </w:r>
      <w:r>
        <w:rPr>
          <w:rFonts w:hint="eastAsia" w:ascii="仿宋_GB2312" w:hAnsi="仿宋" w:eastAsia="仿宋_GB2312"/>
          <w:sz w:val="32"/>
          <w:szCs w:val="32"/>
          <w:lang w:val="en-US" w:eastAsia="zh-CN"/>
        </w:rPr>
        <w:t>是</w:t>
      </w:r>
      <w:r>
        <w:rPr>
          <w:rFonts w:hint="eastAsia" w:ascii="仿宋_GB2312" w:hAnsi="仿宋" w:eastAsia="仿宋_GB2312"/>
          <w:sz w:val="32"/>
          <w:szCs w:val="32"/>
          <w:lang w:eastAsia="zh-CN"/>
        </w:rPr>
        <w:t>：</w:t>
      </w:r>
      <w:r>
        <w:rPr>
          <w:rFonts w:hint="eastAsia" w:ascii="仿宋_GB2312" w:hAnsi="仿宋" w:eastAsia="仿宋_GB2312"/>
          <w:sz w:val="32"/>
          <w:szCs w:val="32"/>
          <w:lang w:val="en-US" w:eastAsia="zh-CN"/>
        </w:rPr>
        <w:t>无</w:t>
      </w:r>
      <w:r>
        <w:rPr>
          <w:rFonts w:hint="eastAsia" w:ascii="仿宋_GB2312" w:hAnsi="仿宋" w:eastAsia="仿宋_GB2312"/>
          <w:sz w:val="32"/>
          <w:szCs w:val="32"/>
        </w:rPr>
        <w:t>。开展</w:t>
      </w:r>
      <w:r>
        <w:rPr>
          <w:rFonts w:hint="eastAsia" w:ascii="仿宋_GB2312" w:hAnsi="仿宋" w:eastAsia="仿宋_GB2312"/>
          <w:sz w:val="32"/>
          <w:szCs w:val="32"/>
          <w:lang w:val="en-US" w:eastAsia="zh-CN"/>
        </w:rPr>
        <w:t>1-9</w:t>
      </w:r>
      <w:r>
        <w:rPr>
          <w:rFonts w:hint="eastAsia" w:ascii="仿宋_GB2312" w:hAnsi="仿宋" w:eastAsia="仿宋_GB2312"/>
          <w:sz w:val="32"/>
          <w:szCs w:val="32"/>
        </w:rPr>
        <w:t>月绩效运行监控项目</w:t>
      </w:r>
      <w:r>
        <w:rPr>
          <w:rFonts w:hint="eastAsia" w:ascii="仿宋_GB2312" w:hAnsi="仿宋" w:eastAsia="仿宋_GB2312"/>
          <w:sz w:val="32"/>
          <w:szCs w:val="32"/>
          <w:lang w:val="en-US" w:eastAsia="zh-CN"/>
        </w:rPr>
        <w:t>23</w:t>
      </w:r>
      <w:r>
        <w:rPr>
          <w:rFonts w:hint="eastAsia" w:ascii="仿宋_GB2312" w:hAnsi="仿宋" w:eastAsia="仿宋_GB2312"/>
          <w:sz w:val="32"/>
          <w:szCs w:val="32"/>
        </w:rPr>
        <w:t>个，占本单位项目的</w:t>
      </w:r>
      <w:r>
        <w:rPr>
          <w:rFonts w:hint="eastAsia" w:ascii="仿宋_GB2312" w:hAnsi="仿宋" w:eastAsia="仿宋_GB2312"/>
          <w:sz w:val="32"/>
          <w:szCs w:val="32"/>
          <w:lang w:val="en-US" w:eastAsia="zh-CN"/>
        </w:rPr>
        <w:t>100</w:t>
      </w:r>
      <w:r>
        <w:rPr>
          <w:rFonts w:hint="eastAsia" w:ascii="仿宋_GB2312" w:hAnsi="仿宋" w:eastAsia="仿宋_GB2312"/>
          <w:sz w:val="32"/>
          <w:szCs w:val="32"/>
        </w:rPr>
        <w:t>%。截至10月底，如期完成预算执行和绩效目标指标值的项目</w:t>
      </w:r>
      <w:r>
        <w:rPr>
          <w:rFonts w:hint="eastAsia" w:ascii="仿宋_GB2312" w:hAnsi="仿宋" w:eastAsia="仿宋_GB2312"/>
          <w:sz w:val="32"/>
          <w:szCs w:val="32"/>
          <w:lang w:val="en-US" w:eastAsia="zh-CN"/>
        </w:rPr>
        <w:t>23</w:t>
      </w:r>
      <w:r>
        <w:rPr>
          <w:rFonts w:hint="eastAsia" w:ascii="仿宋_GB2312" w:hAnsi="仿宋" w:eastAsia="仿宋_GB2312"/>
          <w:sz w:val="32"/>
          <w:szCs w:val="32"/>
        </w:rPr>
        <w:t>个，完成率为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%。“双监控”发现存在的问题和主要原因是：</w:t>
      </w:r>
      <w:r>
        <w:rPr>
          <w:rFonts w:hint="eastAsia" w:ascii="仿宋_GB2312" w:hAnsi="仿宋" w:eastAsia="仿宋_GB2312"/>
          <w:sz w:val="32"/>
          <w:szCs w:val="32"/>
          <w:lang w:val="en-US" w:eastAsia="zh-CN"/>
        </w:rPr>
        <w:t>无</w:t>
      </w:r>
      <w:r>
        <w:rPr>
          <w:rFonts w:hint="eastAsia" w:ascii="仿宋_GB2312" w:hAnsi="仿宋" w:eastAsia="仿宋_GB2312"/>
          <w:sz w:val="32"/>
          <w:szCs w:val="32"/>
        </w:rPr>
        <w:t>。绩效运行监控在部门内部通报整改情况：</w:t>
      </w:r>
      <w:r>
        <w:rPr>
          <w:rFonts w:hint="eastAsia" w:ascii="仿宋_GB2312" w:hAnsi="仿宋" w:eastAsia="仿宋_GB2312"/>
          <w:sz w:val="32"/>
          <w:szCs w:val="32"/>
          <w:lang w:val="en-US" w:eastAsia="zh-CN"/>
        </w:rPr>
        <w:t>无</w:t>
      </w:r>
      <w:r>
        <w:rPr>
          <w:rFonts w:hint="eastAsia" w:ascii="仿宋_GB2312" w:hAnsi="仿宋" w:eastAsia="仿宋_GB2312"/>
          <w:sz w:val="32"/>
          <w:szCs w:val="32"/>
        </w:rPr>
        <w:t>。</w:t>
      </w:r>
    </w:p>
    <w:p w14:paraId="7F769E81">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3.绩效自评开展情况。</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年度，组织开展绩效自评项目共</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个，其中，单位整体支出</w:t>
      </w:r>
      <w:r>
        <w:rPr>
          <w:rFonts w:hint="eastAsia" w:ascii="仿宋_GB2312" w:hAnsi="仿宋" w:eastAsia="仿宋_GB2312"/>
          <w:sz w:val="32"/>
          <w:szCs w:val="32"/>
          <w:lang w:val="en-US" w:eastAsia="zh-CN"/>
        </w:rPr>
        <w:t>1</w:t>
      </w:r>
      <w:r>
        <w:rPr>
          <w:rFonts w:hint="eastAsia" w:ascii="仿宋_GB2312" w:hAnsi="仿宋" w:eastAsia="仿宋_GB2312"/>
          <w:sz w:val="32"/>
          <w:szCs w:val="32"/>
        </w:rPr>
        <w:t>个，项目支出</w:t>
      </w:r>
      <w:r>
        <w:rPr>
          <w:rFonts w:hint="eastAsia" w:ascii="仿宋_GB2312" w:hAnsi="仿宋" w:eastAsia="仿宋_GB2312"/>
          <w:sz w:val="32"/>
          <w:szCs w:val="32"/>
          <w:lang w:val="en-US" w:eastAsia="zh-CN"/>
        </w:rPr>
        <w:t>0</w:t>
      </w:r>
      <w:r>
        <w:rPr>
          <w:rFonts w:hint="eastAsia" w:ascii="仿宋_GB2312" w:hAnsi="仿宋" w:eastAsia="仿宋_GB2312"/>
          <w:sz w:val="32"/>
          <w:szCs w:val="32"/>
        </w:rPr>
        <w:t>个，转移支付项目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个，绩效自评覆盖率为</w:t>
      </w:r>
      <w:r>
        <w:rPr>
          <w:rFonts w:hint="eastAsia" w:ascii="仿宋_GB2312" w:hAnsi="仿宋" w:eastAsia="仿宋_GB2312"/>
          <w:sz w:val="32"/>
          <w:szCs w:val="32"/>
          <w:lang w:val="en-US" w:eastAsia="zh-CN"/>
        </w:rPr>
        <w:t>100</w:t>
      </w:r>
      <w:r>
        <w:rPr>
          <w:rFonts w:hint="eastAsia" w:ascii="仿宋_GB2312" w:hAnsi="仿宋" w:eastAsia="仿宋_GB2312"/>
          <w:sz w:val="32"/>
          <w:szCs w:val="32"/>
        </w:rPr>
        <w:t>%。绩效自评结果随部门决算报送财政和随决算公开情况：</w:t>
      </w:r>
      <w:r>
        <w:rPr>
          <w:rFonts w:hint="eastAsia" w:ascii="仿宋_GB2312" w:hAnsi="仿宋" w:eastAsia="仿宋_GB2312"/>
          <w:sz w:val="32"/>
          <w:szCs w:val="32"/>
          <w:lang w:val="en-US" w:eastAsia="zh-CN"/>
        </w:rPr>
        <w:t>按时公开</w:t>
      </w:r>
      <w:r>
        <w:rPr>
          <w:rFonts w:hint="eastAsia" w:ascii="仿宋_GB2312" w:hAnsi="仿宋" w:eastAsia="仿宋_GB2312"/>
          <w:sz w:val="32"/>
          <w:szCs w:val="32"/>
        </w:rPr>
        <w:t>。</w:t>
      </w:r>
    </w:p>
    <w:p w14:paraId="2E253874">
      <w:pPr>
        <w:widowControl/>
        <w:adjustRightInd w:val="0"/>
        <w:snapToGrid w:val="0"/>
        <w:spacing w:line="640" w:lineRule="exact"/>
        <w:ind w:firstLine="643" w:firstLineChars="200"/>
        <w:contextualSpacing/>
        <w:jc w:val="left"/>
        <w:rPr>
          <w:rFonts w:ascii="仿宋_GB2312" w:hAnsi="仿宋" w:eastAsia="仿宋_GB2312"/>
          <w:sz w:val="32"/>
          <w:szCs w:val="32"/>
        </w:rPr>
      </w:pPr>
      <w:r>
        <w:rPr>
          <w:rFonts w:hint="eastAsia" w:ascii="仿宋_GB2312" w:hAnsi="仿宋" w:eastAsia="仿宋_GB2312"/>
          <w:b/>
          <w:sz w:val="32"/>
          <w:szCs w:val="32"/>
        </w:rPr>
        <w:t>4.绩效结果应用情况。</w:t>
      </w:r>
      <w:r>
        <w:rPr>
          <w:rFonts w:hint="eastAsia" w:ascii="仿宋_GB2312" w:hAnsi="仿宋" w:eastAsia="仿宋_GB2312"/>
          <w:sz w:val="32"/>
          <w:szCs w:val="32"/>
        </w:rPr>
        <w:t>根据</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5</w:t>
      </w:r>
      <w:r>
        <w:rPr>
          <w:rFonts w:hint="eastAsia" w:ascii="仿宋_GB2312" w:hAnsi="仿宋" w:eastAsia="仿宋_GB2312"/>
          <w:sz w:val="32"/>
          <w:szCs w:val="32"/>
        </w:rPr>
        <w:t>年度绩效运行监控、绩效自评等情况，当年盘活财政资金</w:t>
      </w:r>
      <w:r>
        <w:rPr>
          <w:rFonts w:hint="eastAsia" w:ascii="仿宋_GB2312" w:hAnsi="仿宋" w:eastAsia="仿宋_GB2312"/>
          <w:sz w:val="32"/>
          <w:szCs w:val="32"/>
          <w:lang w:val="en-US" w:eastAsia="zh-CN"/>
        </w:rPr>
        <w:t>0</w:t>
      </w:r>
      <w:r>
        <w:rPr>
          <w:rFonts w:hint="eastAsia" w:ascii="仿宋_GB2312" w:hAnsi="仿宋" w:eastAsia="仿宋_GB2312"/>
          <w:sz w:val="32"/>
          <w:szCs w:val="32"/>
        </w:rPr>
        <w:t>万元，</w:t>
      </w: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年度增加（减少）预算项目</w:t>
      </w:r>
      <w:r>
        <w:rPr>
          <w:rFonts w:hint="eastAsia" w:ascii="仿宋_GB2312" w:hAnsi="仿宋" w:eastAsia="仿宋_GB2312"/>
          <w:sz w:val="32"/>
          <w:szCs w:val="32"/>
          <w:lang w:val="en-US" w:eastAsia="zh-CN"/>
        </w:rPr>
        <w:t>0</w:t>
      </w:r>
      <w:r>
        <w:rPr>
          <w:rFonts w:hint="eastAsia" w:ascii="仿宋_GB2312" w:hAnsi="仿宋" w:eastAsia="仿宋_GB2312"/>
          <w:sz w:val="32"/>
          <w:szCs w:val="32"/>
        </w:rPr>
        <w:t>个，增长率/压减率</w:t>
      </w:r>
      <w:r>
        <w:rPr>
          <w:rFonts w:hint="eastAsia" w:ascii="仿宋_GB2312" w:hAnsi="仿宋" w:eastAsia="仿宋_GB2312"/>
          <w:sz w:val="32"/>
          <w:szCs w:val="32"/>
          <w:lang w:val="en-US" w:eastAsia="zh-CN"/>
        </w:rPr>
        <w:t>0</w:t>
      </w:r>
      <w:r>
        <w:rPr>
          <w:rFonts w:hint="eastAsia" w:ascii="仿宋_GB2312" w:hAnsi="仿宋" w:eastAsia="仿宋_GB2312"/>
          <w:sz w:val="32"/>
          <w:szCs w:val="32"/>
        </w:rPr>
        <w:t>%。同时对政策和项目资金管理作出调整的</w:t>
      </w:r>
      <w:r>
        <w:rPr>
          <w:rFonts w:hint="eastAsia" w:ascii="仿宋_GB2312" w:hAnsi="仿宋" w:eastAsia="仿宋_GB2312"/>
          <w:sz w:val="32"/>
          <w:szCs w:val="32"/>
          <w:lang w:val="en-US" w:eastAsia="zh-CN"/>
        </w:rPr>
        <w:t>0</w:t>
      </w:r>
      <w:r>
        <w:rPr>
          <w:rFonts w:hint="eastAsia" w:ascii="仿宋_GB2312" w:hAnsi="仿宋" w:eastAsia="仿宋_GB2312"/>
          <w:sz w:val="32"/>
          <w:szCs w:val="32"/>
        </w:rPr>
        <w:t>个。</w:t>
      </w:r>
    </w:p>
    <w:p w14:paraId="46AB74D5">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（二）</w:t>
      </w:r>
      <w:r>
        <w:rPr>
          <w:rFonts w:hint="eastAsia" w:ascii="楷体_GB2312" w:hAnsi="楷体" w:eastAsia="楷体_GB2312" w:cs="宋体"/>
          <w:b/>
          <w:bCs/>
          <w:kern w:val="0"/>
          <w:sz w:val="32"/>
          <w:szCs w:val="32"/>
          <w:lang w:eastAsia="zh-CN"/>
        </w:rPr>
        <w:t>202</w:t>
      </w:r>
      <w:r>
        <w:rPr>
          <w:rFonts w:hint="eastAsia" w:ascii="楷体_GB2312" w:hAnsi="楷体" w:eastAsia="楷体_GB2312" w:cs="宋体"/>
          <w:b/>
          <w:bCs/>
          <w:kern w:val="0"/>
          <w:sz w:val="32"/>
          <w:szCs w:val="32"/>
          <w:lang w:val="en-US" w:eastAsia="zh-CN"/>
        </w:rPr>
        <w:t>6</w:t>
      </w:r>
      <w:r>
        <w:rPr>
          <w:rFonts w:hint="eastAsia" w:ascii="楷体_GB2312" w:hAnsi="楷体" w:eastAsia="楷体_GB2312" w:cs="宋体"/>
          <w:b/>
          <w:bCs/>
          <w:kern w:val="0"/>
          <w:sz w:val="32"/>
          <w:szCs w:val="32"/>
        </w:rPr>
        <w:t>年绩效目标编制情况</w:t>
      </w:r>
    </w:p>
    <w:p w14:paraId="524405E0">
      <w:pPr>
        <w:widowControl/>
        <w:adjustRightInd w:val="0"/>
        <w:snapToGrid w:val="0"/>
        <w:spacing w:line="640" w:lineRule="exact"/>
        <w:ind w:firstLine="640" w:firstLineChars="200"/>
        <w:contextualSpacing/>
        <w:jc w:val="left"/>
        <w:rPr>
          <w:rFonts w:ascii="仿宋_GB2312" w:hAnsi="仿宋" w:eastAsia="仿宋_GB2312"/>
          <w:sz w:val="32"/>
          <w:szCs w:val="32"/>
        </w:rPr>
      </w:pPr>
      <w:r>
        <w:rPr>
          <w:rFonts w:hint="eastAsia" w:ascii="仿宋_GB2312" w:hAnsi="仿宋" w:eastAsia="仿宋_GB2312"/>
          <w:sz w:val="32"/>
          <w:szCs w:val="32"/>
          <w:lang w:eastAsia="zh-CN"/>
        </w:rPr>
        <w:t>202</w:t>
      </w:r>
      <w:r>
        <w:rPr>
          <w:rFonts w:hint="eastAsia" w:ascii="仿宋_GB2312" w:hAnsi="仿宋" w:eastAsia="仿宋_GB2312"/>
          <w:sz w:val="32"/>
          <w:szCs w:val="32"/>
          <w:lang w:val="en-US" w:eastAsia="zh-CN"/>
        </w:rPr>
        <w:t>6</w:t>
      </w:r>
      <w:r>
        <w:rPr>
          <w:rFonts w:hint="eastAsia" w:ascii="仿宋_GB2312" w:hAnsi="仿宋" w:eastAsia="仿宋_GB2312"/>
          <w:sz w:val="32"/>
          <w:szCs w:val="32"/>
        </w:rPr>
        <w:t>年，纳入单位预算绩效目标管理的项目</w:t>
      </w:r>
      <w:r>
        <w:rPr>
          <w:rFonts w:hint="eastAsia" w:ascii="仿宋_GB2312" w:hAnsi="仿宋" w:eastAsia="仿宋_GB2312"/>
          <w:sz w:val="32"/>
          <w:szCs w:val="32"/>
          <w:lang w:val="en-US" w:eastAsia="zh-CN"/>
        </w:rPr>
        <w:t>1</w:t>
      </w:r>
      <w:r>
        <w:rPr>
          <w:rFonts w:hint="eastAsia" w:ascii="仿宋_GB2312" w:hAnsi="仿宋" w:eastAsia="仿宋_GB2312"/>
          <w:sz w:val="32"/>
          <w:szCs w:val="32"/>
        </w:rPr>
        <w:t>个。其中，部门整体支出绩效目标围绕部门管理、履职效果、能力建设三个维度，设置二级指标</w:t>
      </w:r>
      <w:r>
        <w:rPr>
          <w:rFonts w:hint="eastAsia" w:ascii="仿宋_GB2312" w:hAnsi="仿宋" w:eastAsia="仿宋_GB2312"/>
          <w:sz w:val="32"/>
          <w:szCs w:val="32"/>
          <w:lang w:val="en-US" w:eastAsia="zh-CN"/>
        </w:rPr>
        <w:t>18</w:t>
      </w:r>
      <w:r>
        <w:rPr>
          <w:rFonts w:hint="eastAsia" w:ascii="仿宋_GB2312" w:hAnsi="仿宋" w:eastAsia="仿宋_GB2312"/>
          <w:sz w:val="32"/>
          <w:szCs w:val="32"/>
        </w:rPr>
        <w:t>个、三级指标</w:t>
      </w:r>
      <w:r>
        <w:rPr>
          <w:rFonts w:hint="eastAsia" w:ascii="仿宋_GB2312" w:hAnsi="仿宋" w:eastAsia="仿宋_GB2312"/>
          <w:sz w:val="32"/>
          <w:szCs w:val="32"/>
          <w:lang w:val="en-US" w:eastAsia="zh-CN"/>
        </w:rPr>
        <w:t>33</w:t>
      </w:r>
      <w:r>
        <w:rPr>
          <w:rFonts w:hint="eastAsia" w:ascii="仿宋_GB2312" w:hAnsi="仿宋" w:eastAsia="仿宋_GB2312"/>
          <w:sz w:val="32"/>
          <w:szCs w:val="32"/>
        </w:rPr>
        <w:t>个。</w:t>
      </w:r>
    </w:p>
    <w:p w14:paraId="4B81918B">
      <w:pPr>
        <w:adjustRightInd w:val="0"/>
        <w:snapToGrid w:val="0"/>
        <w:spacing w:line="640" w:lineRule="exact"/>
        <w:ind w:firstLine="643" w:firstLineChars="200"/>
        <w:contextualSpacing/>
        <w:rPr>
          <w:rFonts w:ascii="楷体_GB2312" w:hAnsi="楷体" w:eastAsia="楷体_GB2312" w:cs="宋体"/>
          <w:b/>
          <w:bCs/>
          <w:kern w:val="0"/>
          <w:sz w:val="32"/>
          <w:szCs w:val="32"/>
        </w:rPr>
      </w:pPr>
      <w:r>
        <w:rPr>
          <w:rFonts w:hint="eastAsia" w:ascii="楷体_GB2312" w:hAnsi="楷体" w:eastAsia="楷体_GB2312" w:cs="宋体"/>
          <w:b/>
          <w:bCs/>
          <w:kern w:val="0"/>
          <w:sz w:val="32"/>
          <w:szCs w:val="32"/>
        </w:rPr>
        <w:t>十一、名词解释</w:t>
      </w:r>
    </w:p>
    <w:p w14:paraId="3EF35936">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1、财政拨款:</w:t>
      </w:r>
      <w:r>
        <w:rPr>
          <w:rFonts w:hint="eastAsia" w:ascii="仿宋_GB2312" w:hAnsi="CIDFont+F6" w:eastAsia="仿宋_GB2312"/>
          <w:color w:val="000000"/>
          <w:sz w:val="32"/>
          <w:szCs w:val="32"/>
        </w:rPr>
        <w:t>指由一般公共预算、政府性基金预算、国有资本经营预算安排的财政拨款数。</w:t>
      </w:r>
    </w:p>
    <w:p w14:paraId="5B9779E5">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2、一般公共预算:</w:t>
      </w:r>
      <w:r>
        <w:rPr>
          <w:rFonts w:hint="eastAsia" w:ascii="仿宋_GB2312" w:hAnsi="CIDFont+F6" w:eastAsia="仿宋_GB2312"/>
          <w:color w:val="000000"/>
          <w:sz w:val="32"/>
          <w:szCs w:val="32"/>
        </w:rPr>
        <w:t>包括公共财政拨款（补助）资金、专项收入。</w:t>
      </w:r>
    </w:p>
    <w:p w14:paraId="661ABE1E">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3、财政专户管理资金:</w:t>
      </w:r>
      <w:r>
        <w:rPr>
          <w:rFonts w:hint="eastAsia" w:ascii="仿宋_GB2312" w:hAnsi="CIDFont+F6" w:eastAsia="仿宋_GB2312"/>
          <w:color w:val="000000"/>
          <w:sz w:val="32"/>
          <w:szCs w:val="32"/>
        </w:rPr>
        <w:t>包括专户管理行政事业性收费（主要是教育收费）、其他非税收入。</w:t>
      </w:r>
    </w:p>
    <w:p w14:paraId="675B82AD">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4、其他资金:</w:t>
      </w:r>
      <w:r>
        <w:rPr>
          <w:rFonts w:hint="eastAsia" w:ascii="仿宋_GB2312" w:hAnsi="CIDFont+F6" w:eastAsia="仿宋_GB2312"/>
          <w:color w:val="000000"/>
          <w:sz w:val="32"/>
          <w:szCs w:val="32"/>
        </w:rPr>
        <w:t>包括事业收入、事业经营收入、其他收入等。</w:t>
      </w:r>
    </w:p>
    <w:p w14:paraId="6261F55D">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5、基本支出:</w:t>
      </w:r>
      <w:r>
        <w:rPr>
          <w:rFonts w:hint="eastAsia" w:ascii="仿宋_GB2312" w:hAnsi="CIDFont+F6" w:eastAsia="仿宋_GB2312"/>
          <w:color w:val="000000"/>
          <w:sz w:val="32"/>
          <w:szCs w:val="32"/>
        </w:rPr>
        <w:t>包括人员经费、公用经费（定额）。其中，人员经费包括工资福利支出、对个人和家庭的补助。</w:t>
      </w:r>
    </w:p>
    <w:p w14:paraId="52352E42">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6、项目支出:</w:t>
      </w:r>
      <w:r>
        <w:rPr>
          <w:rFonts w:hint="eastAsia" w:ascii="仿宋_GB2312" w:hAnsi="CIDFont+F6" w:eastAsia="仿宋_GB2312"/>
          <w:color w:val="000000"/>
          <w:sz w:val="32"/>
          <w:szCs w:val="32"/>
        </w:rPr>
        <w:t>部门（单位）支出预算的组成部分，是各部门（单位）为完成其特定的行政任务或事业发展目标，在基本支出预算之外编制的年度项目支出计划。</w:t>
      </w:r>
    </w:p>
    <w:p w14:paraId="5CE742AB">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7、“三公”经费:</w:t>
      </w:r>
      <w:r>
        <w:rPr>
          <w:rFonts w:hint="eastAsia" w:ascii="仿宋_GB2312" w:hAnsi="CIDFont+F6" w:eastAsia="仿宋_GB2312"/>
          <w:color w:val="00000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14:paraId="15CCC6CF">
      <w:pPr>
        <w:adjustRightInd w:val="0"/>
        <w:snapToGrid w:val="0"/>
        <w:spacing w:line="640" w:lineRule="exact"/>
        <w:ind w:firstLine="643" w:firstLineChars="200"/>
        <w:contextualSpacing/>
        <w:rPr>
          <w:rFonts w:hint="eastAsia" w:ascii="仿宋_GB2312" w:hAnsi="CIDFont+F6" w:eastAsia="仿宋_GB2312"/>
          <w:color w:val="000000"/>
          <w:sz w:val="32"/>
          <w:szCs w:val="32"/>
        </w:rPr>
      </w:pPr>
      <w:r>
        <w:rPr>
          <w:rFonts w:hint="eastAsia" w:ascii="仿宋_GB2312" w:hAnsi="CIDFont+F4" w:eastAsia="仿宋_GB2312"/>
          <w:b/>
          <w:color w:val="000000"/>
          <w:sz w:val="32"/>
          <w:szCs w:val="32"/>
        </w:rPr>
        <w:t>8、机关运行经费:</w:t>
      </w:r>
      <w:r>
        <w:rPr>
          <w:rFonts w:hint="eastAsia" w:ascii="仿宋_GB2312" w:hAnsi="CIDFont+F6" w:eastAsia="仿宋_GB2312"/>
          <w:color w:val="000000"/>
          <w:sz w:val="32"/>
          <w:szCs w:val="32"/>
        </w:rPr>
        <w:t>为保障行政单位（包括实行公务员管理的事业单位）运行用于购买货物和服务的各项资金，包括办公及印刷费、邮电费、差旅费、会议费、福利费、日常维修费、一般设备购置费、办公用房水电费、办公用房取暖费、办公用房物业管理费、公务用车运行维护费以及其他费用。</w:t>
      </w:r>
    </w:p>
    <w:p w14:paraId="2C755761">
      <w:pPr>
        <w:adjustRightInd w:val="0"/>
        <w:snapToGrid w:val="0"/>
        <w:spacing w:line="640" w:lineRule="exact"/>
        <w:ind w:right="1120"/>
        <w:contextualSpacing/>
        <w:jc w:val="right"/>
        <w:rPr>
          <w:rFonts w:hint="eastAsia" w:ascii="仿宋_GB2312" w:hAnsi="CIDFont+F6" w:eastAsia="仿宋_GB2312"/>
          <w:color w:val="000000"/>
          <w:sz w:val="32"/>
          <w:szCs w:val="32"/>
          <w:lang w:val="en-US" w:eastAsia="zh-CN"/>
        </w:rPr>
      </w:pPr>
    </w:p>
    <w:p w14:paraId="3CB92F45">
      <w:pPr>
        <w:adjustRightInd w:val="0"/>
        <w:snapToGrid w:val="0"/>
        <w:spacing w:line="640" w:lineRule="exact"/>
        <w:ind w:right="1120"/>
        <w:contextualSpacing/>
        <w:jc w:val="right"/>
        <w:rPr>
          <w:rFonts w:hint="eastAsia" w:ascii="仿宋_GB2312" w:hAnsi="CIDFont+F6" w:eastAsia="仿宋_GB2312"/>
          <w:color w:val="000000"/>
          <w:sz w:val="32"/>
          <w:szCs w:val="32"/>
          <w:lang w:val="en-US" w:eastAsia="zh-CN"/>
        </w:rPr>
      </w:pPr>
    </w:p>
    <w:p w14:paraId="0DF38D92">
      <w:pPr>
        <w:adjustRightInd w:val="0"/>
        <w:snapToGrid w:val="0"/>
        <w:spacing w:line="640" w:lineRule="exact"/>
        <w:ind w:right="1120"/>
        <w:contextualSpacing/>
        <w:jc w:val="right"/>
        <w:rPr>
          <w:rFonts w:hint="eastAsia" w:ascii="仿宋_GB2312" w:hAnsi="CIDFont+F6" w:eastAsia="仿宋_GB2312"/>
          <w:color w:val="000000"/>
          <w:sz w:val="32"/>
          <w:szCs w:val="32"/>
          <w:lang w:val="en-US" w:eastAsia="zh-CN"/>
        </w:rPr>
      </w:pPr>
    </w:p>
    <w:p w14:paraId="704770A7">
      <w:pPr>
        <w:adjustRightInd w:val="0"/>
        <w:snapToGrid w:val="0"/>
        <w:spacing w:line="640" w:lineRule="exact"/>
        <w:ind w:right="1120"/>
        <w:contextualSpacing/>
        <w:jc w:val="center"/>
        <w:rPr>
          <w:rFonts w:hint="eastAsia" w:ascii="仿宋_GB2312" w:hAnsi="CIDFont+F6" w:eastAsia="仿宋_GB2312"/>
          <w:color w:val="000000"/>
          <w:sz w:val="32"/>
          <w:szCs w:val="32"/>
          <w:lang w:val="en-US" w:eastAsia="zh-CN"/>
        </w:rPr>
      </w:pPr>
      <w:r>
        <w:rPr>
          <w:rFonts w:hint="eastAsia" w:ascii="仿宋_GB2312" w:hAnsi="CIDFont+F6" w:eastAsia="仿宋_GB2312"/>
          <w:color w:val="000000"/>
          <w:sz w:val="32"/>
          <w:szCs w:val="32"/>
          <w:lang w:val="en-US" w:eastAsia="zh-CN"/>
        </w:rPr>
        <w:t xml:space="preserve">                                 华池县乔川乡卫生院</w:t>
      </w:r>
    </w:p>
    <w:p w14:paraId="647D86B1">
      <w:pPr>
        <w:adjustRightInd w:val="0"/>
        <w:snapToGrid w:val="0"/>
        <w:spacing w:line="640" w:lineRule="exact"/>
        <w:ind w:right="1120"/>
        <w:contextualSpacing/>
        <w:jc w:val="center"/>
        <w:rPr>
          <w:rFonts w:hint="default" w:ascii="仿宋_GB2312" w:hAnsi="CIDFont+F6" w:eastAsia="仿宋_GB2312"/>
          <w:color w:val="000000"/>
          <w:sz w:val="32"/>
          <w:szCs w:val="32"/>
          <w:lang w:val="en-US" w:eastAsia="zh-CN"/>
        </w:rPr>
      </w:pPr>
      <w:r>
        <w:rPr>
          <w:rFonts w:hint="eastAsia" w:ascii="仿宋_GB2312" w:hAnsi="CIDFont+F6" w:eastAsia="仿宋_GB2312"/>
          <w:color w:val="000000"/>
          <w:sz w:val="32"/>
          <w:szCs w:val="32"/>
          <w:lang w:val="en-US" w:eastAsia="zh-CN"/>
        </w:rPr>
        <w:t xml:space="preserve">                                2026年3月12日</w:t>
      </w:r>
    </w:p>
    <w:p w14:paraId="59B7D924">
      <w:pPr>
        <w:adjustRightInd w:val="0"/>
        <w:snapToGrid w:val="0"/>
        <w:spacing w:line="640" w:lineRule="exact"/>
        <w:ind w:firstLine="640" w:firstLineChars="200"/>
        <w:contextualSpacing/>
        <w:rPr>
          <w:rFonts w:ascii="仿宋_GB2312" w:hAnsi="宋体" w:eastAsia="仿宋_GB2312" w:cs="宋体"/>
          <w:kern w:val="0"/>
          <w:sz w:val="32"/>
          <w:szCs w:val="32"/>
        </w:rPr>
      </w:pPr>
    </w:p>
    <w:p w14:paraId="3C0A784C">
      <w:pPr>
        <w:adjustRightInd w:val="0"/>
        <w:snapToGrid w:val="0"/>
        <w:spacing w:line="640" w:lineRule="exact"/>
        <w:ind w:firstLine="640" w:firstLineChars="200"/>
        <w:contextualSpacing/>
        <w:rPr>
          <w:rFonts w:ascii="仿宋_GB2312" w:hAnsi="宋体" w:eastAsia="仿宋_GB2312" w:cs="宋体"/>
          <w:spacing w:val="-20"/>
          <w:kern w:val="0"/>
          <w:sz w:val="32"/>
          <w:szCs w:val="32"/>
        </w:rPr>
      </w:pPr>
      <w:r>
        <w:rPr>
          <w:rFonts w:hint="eastAsia" w:ascii="仿宋_GB2312" w:hAnsi="宋体" w:eastAsia="仿宋_GB2312" w:cs="宋体"/>
          <w:kern w:val="0"/>
          <w:sz w:val="32"/>
          <w:szCs w:val="32"/>
        </w:rPr>
        <w:t>附件：</w:t>
      </w:r>
      <w:r>
        <w:rPr>
          <w:rFonts w:hint="eastAsia" w:ascii="仿宋_GB2312" w:hAnsi="宋体" w:eastAsia="仿宋_GB2312" w:cs="宋体"/>
          <w:spacing w:val="-20"/>
          <w:kern w:val="0"/>
          <w:sz w:val="32"/>
          <w:szCs w:val="32"/>
        </w:rPr>
        <w:t>1.</w:t>
      </w:r>
      <w:r>
        <w:rPr>
          <w:rFonts w:hint="eastAsia" w:ascii="仿宋_GB2312" w:hAnsi="宋体" w:eastAsia="仿宋_GB2312" w:cs="宋体"/>
          <w:spacing w:val="-20"/>
          <w:kern w:val="0"/>
          <w:sz w:val="32"/>
          <w:szCs w:val="32"/>
          <w:lang w:val="en-US" w:eastAsia="zh-CN"/>
        </w:rPr>
        <w:t>华池县乔川乡卫生院</w:t>
      </w:r>
      <w:r>
        <w:rPr>
          <w:rFonts w:hint="eastAsia" w:ascii="仿宋_GB2312" w:hAnsi="宋体" w:eastAsia="仿宋_GB2312" w:cs="宋体"/>
          <w:spacing w:val="-20"/>
          <w:kern w:val="0"/>
          <w:sz w:val="32"/>
          <w:szCs w:val="32"/>
          <w:lang w:eastAsia="zh-CN"/>
        </w:rPr>
        <w:t>202</w:t>
      </w:r>
      <w:r>
        <w:rPr>
          <w:rFonts w:hint="eastAsia" w:ascii="仿宋_GB2312" w:hAnsi="宋体" w:eastAsia="仿宋_GB2312" w:cs="宋体"/>
          <w:spacing w:val="-20"/>
          <w:kern w:val="0"/>
          <w:sz w:val="32"/>
          <w:szCs w:val="32"/>
          <w:lang w:val="en-US" w:eastAsia="zh-CN"/>
        </w:rPr>
        <w:t>6</w:t>
      </w:r>
      <w:r>
        <w:rPr>
          <w:rFonts w:hint="eastAsia" w:ascii="仿宋_GB2312" w:hAnsi="宋体" w:eastAsia="仿宋_GB2312" w:cs="宋体"/>
          <w:spacing w:val="-20"/>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spacing w:val="-20"/>
          <w:kern w:val="0"/>
          <w:sz w:val="32"/>
          <w:szCs w:val="32"/>
        </w:rPr>
        <w:t>预算公开表</w:t>
      </w:r>
    </w:p>
    <w:p w14:paraId="62975D59">
      <w:pPr>
        <w:adjustRightInd w:val="0"/>
        <w:snapToGrid w:val="0"/>
        <w:spacing w:line="640" w:lineRule="exact"/>
        <w:ind w:left="1796" w:leftChars="767" w:hanging="185" w:hangingChars="58"/>
        <w:contextualSpacing/>
        <w:rPr>
          <w:rFonts w:ascii="仿宋_GB2312" w:hAnsi="宋体" w:eastAsia="仿宋_GB2312" w:cs="宋体"/>
          <w:kern w:val="0"/>
          <w:sz w:val="32"/>
          <w:szCs w:val="32"/>
        </w:rPr>
      </w:pPr>
      <w:r>
        <w:rPr>
          <w:rFonts w:hint="eastAsia" w:ascii="仿宋_GB2312" w:hAnsi="宋体" w:eastAsia="仿宋_GB2312" w:cs="宋体"/>
          <w:kern w:val="0"/>
          <w:sz w:val="32"/>
          <w:szCs w:val="32"/>
        </w:rPr>
        <w:t>2.</w:t>
      </w:r>
      <w:r>
        <w:rPr>
          <w:rFonts w:hint="eastAsia" w:ascii="仿宋_GB2312" w:hAnsi="宋体" w:eastAsia="仿宋_GB2312" w:cs="宋体"/>
          <w:spacing w:val="-20"/>
          <w:kern w:val="0"/>
          <w:sz w:val="32"/>
          <w:szCs w:val="32"/>
          <w:lang w:val="en-US" w:eastAsia="zh-CN"/>
        </w:rPr>
        <w:t>华池县乔川乡卫生院</w:t>
      </w:r>
      <w:r>
        <w:rPr>
          <w:rFonts w:hint="eastAsia" w:ascii="仿宋_GB2312" w:hAnsi="宋体" w:eastAsia="仿宋_GB2312" w:cs="宋体"/>
          <w:kern w:val="0"/>
          <w:sz w:val="32"/>
          <w:szCs w:val="32"/>
          <w:lang w:eastAsia="zh-CN"/>
        </w:rPr>
        <w:t>202</w:t>
      </w:r>
      <w:r>
        <w:rPr>
          <w:rFonts w:hint="eastAsia" w:ascii="仿宋_GB2312" w:hAnsi="宋体" w:eastAsia="仿宋_GB2312" w:cs="宋体"/>
          <w:kern w:val="0"/>
          <w:sz w:val="32"/>
          <w:szCs w:val="32"/>
          <w:lang w:val="en-US" w:eastAsia="zh-CN"/>
        </w:rPr>
        <w:t>6</w:t>
      </w:r>
      <w:r>
        <w:rPr>
          <w:rFonts w:hint="eastAsia" w:ascii="仿宋_GB2312" w:hAnsi="宋体" w:eastAsia="仿宋_GB2312" w:cs="宋体"/>
          <w:kern w:val="0"/>
          <w:sz w:val="32"/>
          <w:szCs w:val="32"/>
        </w:rPr>
        <w:t>年</w:t>
      </w:r>
      <w:r>
        <w:rPr>
          <w:rFonts w:hint="eastAsia" w:ascii="仿宋_GB2312" w:hAnsi="CIDFont+F6" w:eastAsia="仿宋_GB2312"/>
          <w:color w:val="000000"/>
          <w:sz w:val="32"/>
          <w:szCs w:val="32"/>
        </w:rPr>
        <w:t>单位</w:t>
      </w:r>
      <w:r>
        <w:rPr>
          <w:rFonts w:hint="eastAsia" w:ascii="仿宋_GB2312" w:hAnsi="宋体" w:eastAsia="仿宋_GB2312" w:cs="宋体"/>
          <w:kern w:val="0"/>
          <w:sz w:val="32"/>
          <w:szCs w:val="32"/>
        </w:rPr>
        <w:t>整体支出绩效目标及预算项目绩效目标表</w:t>
      </w:r>
    </w:p>
    <w:p w14:paraId="5A50A1D4">
      <w:pPr>
        <w:tabs>
          <w:tab w:val="left" w:pos="1272"/>
        </w:tabs>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TimesNewRomanPS-BoldMT">
    <w:altName w:val="Segoe Print"/>
    <w:panose1 w:val="00000000000000000000"/>
    <w:charset w:val="00"/>
    <w:family w:val="roma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CIDFont+F6">
    <w:altName w:val="Segoe Print"/>
    <w:panose1 w:val="00000000000000000000"/>
    <w:charset w:val="00"/>
    <w:family w:val="roman"/>
    <w:pitch w:val="default"/>
    <w:sig w:usb0="00000000" w:usb1="00000000" w:usb2="00000000" w:usb3="00000000" w:csb0="00000000" w:csb1="00000000"/>
  </w:font>
  <w:font w:name="CIDFont+F4">
    <w:altName w:val="Segoe Print"/>
    <w:panose1 w:val="00000000000000000000"/>
    <w:charset w:val="00"/>
    <w:family w:val="roman"/>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21D148">
    <w:pPr>
      <w:pStyle w:val="5"/>
      <w:jc w:val="center"/>
    </w:pPr>
  </w:p>
  <w:p w14:paraId="4591663C">
    <w:pPr>
      <w:pStyle w:val="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877FA8">
    <w:pPr>
      <w:pStyle w:val="5"/>
      <w:jc w:val="center"/>
    </w:pPr>
    <w:r>
      <w:fldChar w:fldCharType="begin"/>
    </w:r>
    <w:r>
      <w:instrText xml:space="preserve">PAGE   \* MERGEFORMAT</w:instrText>
    </w:r>
    <w:r>
      <w:fldChar w:fldCharType="separate"/>
    </w:r>
    <w:r>
      <w:rPr>
        <w:lang w:val="zh-CN"/>
      </w:rPr>
      <w:t>27</w:t>
    </w:r>
    <w:r>
      <w:fldChar w:fldCharType="end"/>
    </w:r>
  </w:p>
  <w:p w14:paraId="363EFCE7">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FD7B6EE"/>
    <w:multiLevelType w:val="singleLevel"/>
    <w:tmpl w:val="0FD7B6EE"/>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2YWZiMTVhMWQwMGNiZjk0Y2U1ZjM2NThmM2ZkM2MifQ=="/>
  </w:docVars>
  <w:rsids>
    <w:rsidRoot w:val="00FB4362"/>
    <w:rsid w:val="00000C55"/>
    <w:rsid w:val="00001446"/>
    <w:rsid w:val="0001130C"/>
    <w:rsid w:val="00011F27"/>
    <w:rsid w:val="00012457"/>
    <w:rsid w:val="00021BBF"/>
    <w:rsid w:val="00030443"/>
    <w:rsid w:val="00030F4C"/>
    <w:rsid w:val="0003278A"/>
    <w:rsid w:val="000368FE"/>
    <w:rsid w:val="00042A06"/>
    <w:rsid w:val="00043601"/>
    <w:rsid w:val="000442B5"/>
    <w:rsid w:val="0004639D"/>
    <w:rsid w:val="000465E2"/>
    <w:rsid w:val="0005161F"/>
    <w:rsid w:val="000547D1"/>
    <w:rsid w:val="00055759"/>
    <w:rsid w:val="000612EE"/>
    <w:rsid w:val="00061BAF"/>
    <w:rsid w:val="0006337D"/>
    <w:rsid w:val="00074626"/>
    <w:rsid w:val="00076B62"/>
    <w:rsid w:val="00082093"/>
    <w:rsid w:val="000861D5"/>
    <w:rsid w:val="0009273A"/>
    <w:rsid w:val="000A20A7"/>
    <w:rsid w:val="000A655B"/>
    <w:rsid w:val="000B54DD"/>
    <w:rsid w:val="000C2055"/>
    <w:rsid w:val="000C2B7F"/>
    <w:rsid w:val="000C37BE"/>
    <w:rsid w:val="000C4C50"/>
    <w:rsid w:val="000D0130"/>
    <w:rsid w:val="000D2EEE"/>
    <w:rsid w:val="000D2F19"/>
    <w:rsid w:val="000E0CEA"/>
    <w:rsid w:val="000F3CBF"/>
    <w:rsid w:val="000F3F42"/>
    <w:rsid w:val="000F473D"/>
    <w:rsid w:val="001017F3"/>
    <w:rsid w:val="0011297B"/>
    <w:rsid w:val="00123768"/>
    <w:rsid w:val="00126B08"/>
    <w:rsid w:val="001272E5"/>
    <w:rsid w:val="00127D01"/>
    <w:rsid w:val="00130F5F"/>
    <w:rsid w:val="001374F5"/>
    <w:rsid w:val="00152FDC"/>
    <w:rsid w:val="001561FD"/>
    <w:rsid w:val="0015647B"/>
    <w:rsid w:val="00156619"/>
    <w:rsid w:val="00156C8B"/>
    <w:rsid w:val="00160A8C"/>
    <w:rsid w:val="001700B4"/>
    <w:rsid w:val="00171070"/>
    <w:rsid w:val="001A416A"/>
    <w:rsid w:val="001A6118"/>
    <w:rsid w:val="001B0364"/>
    <w:rsid w:val="001B0B8E"/>
    <w:rsid w:val="001B342F"/>
    <w:rsid w:val="001C1259"/>
    <w:rsid w:val="001D1DA7"/>
    <w:rsid w:val="001E17E4"/>
    <w:rsid w:val="001E2410"/>
    <w:rsid w:val="001E347C"/>
    <w:rsid w:val="001E6110"/>
    <w:rsid w:val="001F3C4D"/>
    <w:rsid w:val="002033EA"/>
    <w:rsid w:val="00214046"/>
    <w:rsid w:val="0022561F"/>
    <w:rsid w:val="00232DBE"/>
    <w:rsid w:val="002355E7"/>
    <w:rsid w:val="00235F73"/>
    <w:rsid w:val="0023681E"/>
    <w:rsid w:val="00241FEC"/>
    <w:rsid w:val="00243562"/>
    <w:rsid w:val="0025164A"/>
    <w:rsid w:val="00265C3D"/>
    <w:rsid w:val="00266C2E"/>
    <w:rsid w:val="00270DF8"/>
    <w:rsid w:val="002754B3"/>
    <w:rsid w:val="0028392B"/>
    <w:rsid w:val="002934F2"/>
    <w:rsid w:val="002A3A19"/>
    <w:rsid w:val="002A3ED4"/>
    <w:rsid w:val="002A7274"/>
    <w:rsid w:val="002B2833"/>
    <w:rsid w:val="002B7BA1"/>
    <w:rsid w:val="002C01BB"/>
    <w:rsid w:val="002C3FA4"/>
    <w:rsid w:val="002E2161"/>
    <w:rsid w:val="002E30F2"/>
    <w:rsid w:val="002E4E72"/>
    <w:rsid w:val="002F0CE0"/>
    <w:rsid w:val="002F4ED9"/>
    <w:rsid w:val="002F75FE"/>
    <w:rsid w:val="002F7FA5"/>
    <w:rsid w:val="003017F4"/>
    <w:rsid w:val="00301AAB"/>
    <w:rsid w:val="00306B68"/>
    <w:rsid w:val="003129FE"/>
    <w:rsid w:val="003322AC"/>
    <w:rsid w:val="00335342"/>
    <w:rsid w:val="00343A8E"/>
    <w:rsid w:val="00345713"/>
    <w:rsid w:val="003566B9"/>
    <w:rsid w:val="00356C98"/>
    <w:rsid w:val="0036367B"/>
    <w:rsid w:val="0036496C"/>
    <w:rsid w:val="00365414"/>
    <w:rsid w:val="00372734"/>
    <w:rsid w:val="00372A33"/>
    <w:rsid w:val="0037374A"/>
    <w:rsid w:val="00377A88"/>
    <w:rsid w:val="00392E2B"/>
    <w:rsid w:val="003A396F"/>
    <w:rsid w:val="003A68FD"/>
    <w:rsid w:val="003A7A18"/>
    <w:rsid w:val="003B3187"/>
    <w:rsid w:val="003B327A"/>
    <w:rsid w:val="003B4612"/>
    <w:rsid w:val="003B76D2"/>
    <w:rsid w:val="003D6D41"/>
    <w:rsid w:val="003E3B0A"/>
    <w:rsid w:val="0040581D"/>
    <w:rsid w:val="00417BF3"/>
    <w:rsid w:val="00425D21"/>
    <w:rsid w:val="00426463"/>
    <w:rsid w:val="00427875"/>
    <w:rsid w:val="004317A0"/>
    <w:rsid w:val="0043556D"/>
    <w:rsid w:val="0043739B"/>
    <w:rsid w:val="00441579"/>
    <w:rsid w:val="004418B5"/>
    <w:rsid w:val="00445789"/>
    <w:rsid w:val="00463FB8"/>
    <w:rsid w:val="00480A2F"/>
    <w:rsid w:val="00480B47"/>
    <w:rsid w:val="00481F19"/>
    <w:rsid w:val="00487BC0"/>
    <w:rsid w:val="00490FF8"/>
    <w:rsid w:val="004A1851"/>
    <w:rsid w:val="004B337A"/>
    <w:rsid w:val="004B5538"/>
    <w:rsid w:val="004C3127"/>
    <w:rsid w:val="004D27C3"/>
    <w:rsid w:val="004D44D2"/>
    <w:rsid w:val="004D491E"/>
    <w:rsid w:val="004E3E51"/>
    <w:rsid w:val="004E625A"/>
    <w:rsid w:val="004F73BD"/>
    <w:rsid w:val="00502474"/>
    <w:rsid w:val="00515110"/>
    <w:rsid w:val="00523062"/>
    <w:rsid w:val="00532434"/>
    <w:rsid w:val="00537019"/>
    <w:rsid w:val="0054271B"/>
    <w:rsid w:val="00545281"/>
    <w:rsid w:val="00551A39"/>
    <w:rsid w:val="00566585"/>
    <w:rsid w:val="00580A2F"/>
    <w:rsid w:val="005A2CB7"/>
    <w:rsid w:val="005B15C7"/>
    <w:rsid w:val="005B51EA"/>
    <w:rsid w:val="005C6B92"/>
    <w:rsid w:val="005F4CC9"/>
    <w:rsid w:val="0060056E"/>
    <w:rsid w:val="006039C9"/>
    <w:rsid w:val="00605602"/>
    <w:rsid w:val="00605D22"/>
    <w:rsid w:val="00620A03"/>
    <w:rsid w:val="00621126"/>
    <w:rsid w:val="0062145A"/>
    <w:rsid w:val="00633C60"/>
    <w:rsid w:val="00645C9F"/>
    <w:rsid w:val="00650775"/>
    <w:rsid w:val="0065388D"/>
    <w:rsid w:val="00655506"/>
    <w:rsid w:val="00674396"/>
    <w:rsid w:val="006849AD"/>
    <w:rsid w:val="006853A7"/>
    <w:rsid w:val="0069507F"/>
    <w:rsid w:val="006955DD"/>
    <w:rsid w:val="00697A98"/>
    <w:rsid w:val="006A0492"/>
    <w:rsid w:val="006A3DED"/>
    <w:rsid w:val="006A6E23"/>
    <w:rsid w:val="006B05FF"/>
    <w:rsid w:val="006C4D2E"/>
    <w:rsid w:val="006D3D60"/>
    <w:rsid w:val="006E1F9C"/>
    <w:rsid w:val="006E4A2C"/>
    <w:rsid w:val="006E721A"/>
    <w:rsid w:val="006F0E11"/>
    <w:rsid w:val="006F40C8"/>
    <w:rsid w:val="00700872"/>
    <w:rsid w:val="00706BB4"/>
    <w:rsid w:val="00714029"/>
    <w:rsid w:val="007203B6"/>
    <w:rsid w:val="007222C1"/>
    <w:rsid w:val="00725205"/>
    <w:rsid w:val="0074091B"/>
    <w:rsid w:val="00740927"/>
    <w:rsid w:val="00744302"/>
    <w:rsid w:val="00747C60"/>
    <w:rsid w:val="007732EA"/>
    <w:rsid w:val="00777EA3"/>
    <w:rsid w:val="007933F9"/>
    <w:rsid w:val="00793C7B"/>
    <w:rsid w:val="007954B6"/>
    <w:rsid w:val="007A5E22"/>
    <w:rsid w:val="007B3768"/>
    <w:rsid w:val="007B5395"/>
    <w:rsid w:val="007C38FB"/>
    <w:rsid w:val="007C6434"/>
    <w:rsid w:val="007D4E4C"/>
    <w:rsid w:val="007D5F13"/>
    <w:rsid w:val="007D69F8"/>
    <w:rsid w:val="007E4819"/>
    <w:rsid w:val="007E4E03"/>
    <w:rsid w:val="007E7289"/>
    <w:rsid w:val="00805F3F"/>
    <w:rsid w:val="00817A5D"/>
    <w:rsid w:val="00821209"/>
    <w:rsid w:val="00821491"/>
    <w:rsid w:val="00831411"/>
    <w:rsid w:val="00842536"/>
    <w:rsid w:val="00843692"/>
    <w:rsid w:val="0085135B"/>
    <w:rsid w:val="0085287C"/>
    <w:rsid w:val="008559B6"/>
    <w:rsid w:val="008559FD"/>
    <w:rsid w:val="00855E65"/>
    <w:rsid w:val="0085612E"/>
    <w:rsid w:val="00880868"/>
    <w:rsid w:val="00880D30"/>
    <w:rsid w:val="008811AD"/>
    <w:rsid w:val="008812FA"/>
    <w:rsid w:val="008B222B"/>
    <w:rsid w:val="008C138F"/>
    <w:rsid w:val="008C204C"/>
    <w:rsid w:val="008C2625"/>
    <w:rsid w:val="008C4FE2"/>
    <w:rsid w:val="008D4D6A"/>
    <w:rsid w:val="008F7014"/>
    <w:rsid w:val="009049E9"/>
    <w:rsid w:val="00907F9B"/>
    <w:rsid w:val="00911503"/>
    <w:rsid w:val="00917C2D"/>
    <w:rsid w:val="009209B6"/>
    <w:rsid w:val="00923CB4"/>
    <w:rsid w:val="009335E0"/>
    <w:rsid w:val="00941732"/>
    <w:rsid w:val="009510F3"/>
    <w:rsid w:val="00954018"/>
    <w:rsid w:val="00955590"/>
    <w:rsid w:val="00970435"/>
    <w:rsid w:val="009704EC"/>
    <w:rsid w:val="00971619"/>
    <w:rsid w:val="00982EAB"/>
    <w:rsid w:val="0098505E"/>
    <w:rsid w:val="00991480"/>
    <w:rsid w:val="009945A7"/>
    <w:rsid w:val="00995E63"/>
    <w:rsid w:val="0099643D"/>
    <w:rsid w:val="009969DC"/>
    <w:rsid w:val="00996BA5"/>
    <w:rsid w:val="009A0F79"/>
    <w:rsid w:val="009A3C75"/>
    <w:rsid w:val="009B03F2"/>
    <w:rsid w:val="009C4EE2"/>
    <w:rsid w:val="009D46B1"/>
    <w:rsid w:val="009E7F6E"/>
    <w:rsid w:val="009F2B6A"/>
    <w:rsid w:val="009F5541"/>
    <w:rsid w:val="00A01204"/>
    <w:rsid w:val="00A022BA"/>
    <w:rsid w:val="00A256AC"/>
    <w:rsid w:val="00A32BE3"/>
    <w:rsid w:val="00A4207A"/>
    <w:rsid w:val="00A5653E"/>
    <w:rsid w:val="00A63533"/>
    <w:rsid w:val="00A723C4"/>
    <w:rsid w:val="00A72D2B"/>
    <w:rsid w:val="00A820E9"/>
    <w:rsid w:val="00A82942"/>
    <w:rsid w:val="00A83E24"/>
    <w:rsid w:val="00AA20F8"/>
    <w:rsid w:val="00AA327B"/>
    <w:rsid w:val="00AA55AF"/>
    <w:rsid w:val="00AB19A5"/>
    <w:rsid w:val="00AC2FD6"/>
    <w:rsid w:val="00AC78FC"/>
    <w:rsid w:val="00AD4CFE"/>
    <w:rsid w:val="00AE79BA"/>
    <w:rsid w:val="00AF350E"/>
    <w:rsid w:val="00AF3D8F"/>
    <w:rsid w:val="00AF5273"/>
    <w:rsid w:val="00AF5D3D"/>
    <w:rsid w:val="00B0671C"/>
    <w:rsid w:val="00B13495"/>
    <w:rsid w:val="00B262DD"/>
    <w:rsid w:val="00B278DE"/>
    <w:rsid w:val="00B30287"/>
    <w:rsid w:val="00B30EBD"/>
    <w:rsid w:val="00B351C3"/>
    <w:rsid w:val="00B36AC9"/>
    <w:rsid w:val="00B36E7A"/>
    <w:rsid w:val="00B542CD"/>
    <w:rsid w:val="00B6465B"/>
    <w:rsid w:val="00B772D7"/>
    <w:rsid w:val="00B85451"/>
    <w:rsid w:val="00B86006"/>
    <w:rsid w:val="00B86D86"/>
    <w:rsid w:val="00BA2A96"/>
    <w:rsid w:val="00BA5FE5"/>
    <w:rsid w:val="00BC1FD9"/>
    <w:rsid w:val="00BC30FF"/>
    <w:rsid w:val="00BC500D"/>
    <w:rsid w:val="00BD7FD7"/>
    <w:rsid w:val="00BF1606"/>
    <w:rsid w:val="00BF1647"/>
    <w:rsid w:val="00BF5A25"/>
    <w:rsid w:val="00C06428"/>
    <w:rsid w:val="00C11347"/>
    <w:rsid w:val="00C35018"/>
    <w:rsid w:val="00C40A34"/>
    <w:rsid w:val="00C4484E"/>
    <w:rsid w:val="00C46F7C"/>
    <w:rsid w:val="00C519B5"/>
    <w:rsid w:val="00C55EDB"/>
    <w:rsid w:val="00C573E9"/>
    <w:rsid w:val="00C729DA"/>
    <w:rsid w:val="00C764B7"/>
    <w:rsid w:val="00C90B56"/>
    <w:rsid w:val="00CA3F25"/>
    <w:rsid w:val="00CB5B9D"/>
    <w:rsid w:val="00CB6428"/>
    <w:rsid w:val="00CC01A5"/>
    <w:rsid w:val="00CC2134"/>
    <w:rsid w:val="00CD255A"/>
    <w:rsid w:val="00D126EC"/>
    <w:rsid w:val="00D14955"/>
    <w:rsid w:val="00D24CD6"/>
    <w:rsid w:val="00D24FA6"/>
    <w:rsid w:val="00D544D2"/>
    <w:rsid w:val="00D660F8"/>
    <w:rsid w:val="00D744C5"/>
    <w:rsid w:val="00D827AF"/>
    <w:rsid w:val="00D8451F"/>
    <w:rsid w:val="00D8474D"/>
    <w:rsid w:val="00D84D5B"/>
    <w:rsid w:val="00D86771"/>
    <w:rsid w:val="00D90C73"/>
    <w:rsid w:val="00D90F17"/>
    <w:rsid w:val="00D9480E"/>
    <w:rsid w:val="00D94FFD"/>
    <w:rsid w:val="00DA7038"/>
    <w:rsid w:val="00DB4AF2"/>
    <w:rsid w:val="00DB572A"/>
    <w:rsid w:val="00DC14B3"/>
    <w:rsid w:val="00DC399C"/>
    <w:rsid w:val="00DC7D6D"/>
    <w:rsid w:val="00DD2999"/>
    <w:rsid w:val="00DD2B43"/>
    <w:rsid w:val="00DD2CF8"/>
    <w:rsid w:val="00DD5C58"/>
    <w:rsid w:val="00DE240B"/>
    <w:rsid w:val="00DE529C"/>
    <w:rsid w:val="00DE6D9E"/>
    <w:rsid w:val="00DF3482"/>
    <w:rsid w:val="00DF450F"/>
    <w:rsid w:val="00E04A58"/>
    <w:rsid w:val="00E07425"/>
    <w:rsid w:val="00E07A05"/>
    <w:rsid w:val="00E16025"/>
    <w:rsid w:val="00E167FD"/>
    <w:rsid w:val="00E16F50"/>
    <w:rsid w:val="00E24179"/>
    <w:rsid w:val="00E31783"/>
    <w:rsid w:val="00E36636"/>
    <w:rsid w:val="00E43A34"/>
    <w:rsid w:val="00E44D37"/>
    <w:rsid w:val="00E52850"/>
    <w:rsid w:val="00E609A5"/>
    <w:rsid w:val="00E61928"/>
    <w:rsid w:val="00E656D2"/>
    <w:rsid w:val="00E7276C"/>
    <w:rsid w:val="00E84382"/>
    <w:rsid w:val="00E9180B"/>
    <w:rsid w:val="00EA0646"/>
    <w:rsid w:val="00EA2BA4"/>
    <w:rsid w:val="00EA3103"/>
    <w:rsid w:val="00EB15C1"/>
    <w:rsid w:val="00EC325A"/>
    <w:rsid w:val="00EC3A8E"/>
    <w:rsid w:val="00EC57F0"/>
    <w:rsid w:val="00ED68AF"/>
    <w:rsid w:val="00EF2E7C"/>
    <w:rsid w:val="00F01A6E"/>
    <w:rsid w:val="00F11811"/>
    <w:rsid w:val="00F20178"/>
    <w:rsid w:val="00F23C6C"/>
    <w:rsid w:val="00F24BC8"/>
    <w:rsid w:val="00F25045"/>
    <w:rsid w:val="00F30F3E"/>
    <w:rsid w:val="00F32002"/>
    <w:rsid w:val="00F4605D"/>
    <w:rsid w:val="00F51EF5"/>
    <w:rsid w:val="00F74928"/>
    <w:rsid w:val="00F8197E"/>
    <w:rsid w:val="00F833B1"/>
    <w:rsid w:val="00F87D90"/>
    <w:rsid w:val="00F90495"/>
    <w:rsid w:val="00FA4179"/>
    <w:rsid w:val="00FB4362"/>
    <w:rsid w:val="00FB53A1"/>
    <w:rsid w:val="00FD30CF"/>
    <w:rsid w:val="00FE0E46"/>
    <w:rsid w:val="00FF0AEC"/>
    <w:rsid w:val="00FF1DF4"/>
    <w:rsid w:val="00FF4165"/>
    <w:rsid w:val="01541B4F"/>
    <w:rsid w:val="02E03DF9"/>
    <w:rsid w:val="08107225"/>
    <w:rsid w:val="113741D2"/>
    <w:rsid w:val="11685478"/>
    <w:rsid w:val="18330BA7"/>
    <w:rsid w:val="1D34261E"/>
    <w:rsid w:val="20F12E19"/>
    <w:rsid w:val="256E2C8A"/>
    <w:rsid w:val="2FEF2C1A"/>
    <w:rsid w:val="319B4E07"/>
    <w:rsid w:val="426E3E72"/>
    <w:rsid w:val="42A05423"/>
    <w:rsid w:val="4C433C79"/>
    <w:rsid w:val="527E074E"/>
    <w:rsid w:val="54DE3BED"/>
    <w:rsid w:val="56393C72"/>
    <w:rsid w:val="579503FF"/>
    <w:rsid w:val="60535296"/>
    <w:rsid w:val="6E4C6D2A"/>
    <w:rsid w:val="71775FF0"/>
    <w:rsid w:val="72FD2525"/>
    <w:rsid w:val="733C129F"/>
    <w:rsid w:val="78106856"/>
    <w:rsid w:val="7AB1097E"/>
    <w:rsid w:val="FF7FF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qFormat="1" w:unhideWhenUsed="0" w:uiPriority="0" w:semiHidden="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6"/>
    <w:qFormat/>
    <w:uiPriority w:val="0"/>
    <w:pPr>
      <w:keepNext/>
      <w:keepLines/>
      <w:spacing w:before="340" w:after="330" w:line="578" w:lineRule="auto"/>
      <w:outlineLvl w:val="0"/>
    </w:pPr>
    <w:rPr>
      <w:rFonts w:ascii="Times New Roman" w:hAnsi="Times New Roman"/>
      <w:b/>
      <w:bCs/>
      <w:kern w:val="44"/>
      <w:sz w:val="44"/>
      <w:szCs w:val="44"/>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18"/>
    <w:qFormat/>
    <w:uiPriority w:val="0"/>
    <w:pPr>
      <w:jc w:val="left"/>
    </w:pPr>
  </w:style>
  <w:style w:type="paragraph" w:styleId="4">
    <w:name w:val="Balloon Text"/>
    <w:basedOn w:val="1"/>
    <w:link w:val="15"/>
    <w:qFormat/>
    <w:uiPriority w:val="0"/>
    <w:rPr>
      <w:sz w:val="18"/>
      <w:szCs w:val="18"/>
    </w:rPr>
  </w:style>
  <w:style w:type="paragraph" w:styleId="5">
    <w:name w:val="footer"/>
    <w:basedOn w:val="1"/>
    <w:link w:val="12"/>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3"/>
    <w:next w:val="3"/>
    <w:link w:val="19"/>
    <w:qFormat/>
    <w:uiPriority w:val="0"/>
    <w:rPr>
      <w:b/>
      <w:bCs/>
    </w:rPr>
  </w:style>
  <w:style w:type="character" w:styleId="10">
    <w:name w:val="line number"/>
    <w:qFormat/>
    <w:uiPriority w:val="0"/>
  </w:style>
  <w:style w:type="character" w:styleId="11">
    <w:name w:val="annotation reference"/>
    <w:qFormat/>
    <w:uiPriority w:val="0"/>
    <w:rPr>
      <w:sz w:val="21"/>
      <w:szCs w:val="21"/>
    </w:rPr>
  </w:style>
  <w:style w:type="character" w:customStyle="1" w:styleId="12">
    <w:name w:val="页脚 Char"/>
    <w:link w:val="5"/>
    <w:qFormat/>
    <w:uiPriority w:val="0"/>
    <w:rPr>
      <w:sz w:val="18"/>
      <w:szCs w:val="18"/>
    </w:rPr>
  </w:style>
  <w:style w:type="character" w:customStyle="1" w:styleId="13">
    <w:name w:val="页眉 Char"/>
    <w:link w:val="6"/>
    <w:qFormat/>
    <w:uiPriority w:val="0"/>
    <w:rPr>
      <w:sz w:val="18"/>
      <w:szCs w:val="18"/>
    </w:rPr>
  </w:style>
  <w:style w:type="paragraph" w:styleId="14">
    <w:name w:val="List Paragraph"/>
    <w:basedOn w:val="1"/>
    <w:qFormat/>
    <w:uiPriority w:val="0"/>
    <w:pPr>
      <w:ind w:firstLine="420" w:firstLineChars="200"/>
    </w:pPr>
  </w:style>
  <w:style w:type="character" w:customStyle="1" w:styleId="15">
    <w:name w:val="批注框文本 Char"/>
    <w:link w:val="4"/>
    <w:qFormat/>
    <w:uiPriority w:val="0"/>
    <w:rPr>
      <w:kern w:val="2"/>
      <w:sz w:val="18"/>
      <w:szCs w:val="18"/>
    </w:rPr>
  </w:style>
  <w:style w:type="character" w:customStyle="1" w:styleId="16">
    <w:name w:val="标题 1 Char"/>
    <w:link w:val="2"/>
    <w:qFormat/>
    <w:uiPriority w:val="0"/>
    <w:rPr>
      <w:rFonts w:ascii="Times New Roman" w:hAnsi="Times New Roman"/>
      <w:b/>
      <w:bCs/>
      <w:kern w:val="44"/>
      <w:sz w:val="44"/>
      <w:szCs w:val="44"/>
    </w:rPr>
  </w:style>
  <w:style w:type="paragraph" w:customStyle="1" w:styleId="17">
    <w:name w:val="TOC Heading"/>
    <w:basedOn w:val="2"/>
    <w:next w:val="1"/>
    <w:qFormat/>
    <w:uiPriority w:val="0"/>
    <w:pPr>
      <w:widowControl/>
      <w:spacing w:before="480" w:after="0" w:line="276" w:lineRule="auto"/>
      <w:jc w:val="left"/>
      <w:outlineLvl w:val="9"/>
    </w:pPr>
    <w:rPr>
      <w:rFonts w:ascii="Cambria" w:hAnsi="Cambria"/>
      <w:color w:val="365F91"/>
      <w:kern w:val="0"/>
      <w:sz w:val="28"/>
      <w:szCs w:val="28"/>
    </w:rPr>
  </w:style>
  <w:style w:type="character" w:customStyle="1" w:styleId="18">
    <w:name w:val="批注文字 Char"/>
    <w:link w:val="3"/>
    <w:qFormat/>
    <w:uiPriority w:val="0"/>
    <w:rPr>
      <w:kern w:val="2"/>
      <w:sz w:val="21"/>
      <w:szCs w:val="22"/>
    </w:rPr>
  </w:style>
  <w:style w:type="character" w:customStyle="1" w:styleId="19">
    <w:name w:val="批注主题 Char"/>
    <w:link w:val="7"/>
    <w:qFormat/>
    <w:uiPriority w:val="0"/>
    <w:rPr>
      <w:b/>
      <w:bCs/>
      <w:kern w:val="2"/>
      <w:sz w:val="21"/>
      <w:szCs w:val="22"/>
    </w:rPr>
  </w:style>
  <w:style w:type="character" w:customStyle="1" w:styleId="20">
    <w:name w:val="fontstyle01"/>
    <w:qFormat/>
    <w:uiPriority w:val="0"/>
    <w:rPr>
      <w:rFonts w:hint="eastAsia" w:ascii="仿宋_GB2312" w:eastAsia="仿宋_GB2312"/>
      <w:color w:val="000000"/>
      <w:sz w:val="32"/>
      <w:szCs w:val="32"/>
    </w:rPr>
  </w:style>
  <w:style w:type="character" w:customStyle="1" w:styleId="21">
    <w:name w:val="fontstyle21"/>
    <w:qFormat/>
    <w:uiPriority w:val="0"/>
    <w:rPr>
      <w:rFonts w:hint="default" w:ascii="TimesNewRomanPSMT" w:hAnsi="TimesNewRomanPSMT"/>
      <w:color w:val="000000"/>
      <w:sz w:val="32"/>
      <w:szCs w:val="32"/>
    </w:rPr>
  </w:style>
  <w:style w:type="character" w:customStyle="1" w:styleId="22">
    <w:name w:val="fontstyle11"/>
    <w:qFormat/>
    <w:uiPriority w:val="0"/>
    <w:rPr>
      <w:rFonts w:hint="eastAsia" w:ascii="仿宋_GB2312" w:eastAsia="仿宋_GB2312"/>
      <w:color w:val="000000"/>
      <w:sz w:val="32"/>
      <w:szCs w:val="32"/>
    </w:rPr>
  </w:style>
  <w:style w:type="character" w:customStyle="1" w:styleId="23">
    <w:name w:val="fontstyle31"/>
    <w:qFormat/>
    <w:uiPriority w:val="0"/>
    <w:rPr>
      <w:rFonts w:hint="default" w:ascii="TimesNewRomanPSMT" w:hAnsi="TimesNewRomanPSMT"/>
      <w:color w:val="000000"/>
      <w:sz w:val="32"/>
      <w:szCs w:val="32"/>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beijing</Company>
  <Pages>10</Pages>
  <Words>3312</Words>
  <Characters>3553</Characters>
  <Lines>68</Lines>
  <Paragraphs>19</Paragraphs>
  <TotalTime>0</TotalTime>
  <ScaleCrop>false</ScaleCrop>
  <LinksUpToDate>false</LinksUpToDate>
  <CharactersWithSpaces>3800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2024-01-30T17:03:00Z</dcterms:created>
  <dc:creator>home</dc:creator>
  <cp:lastModifiedBy>花落丶听雨丿孤</cp:lastModifiedBy>
  <cp:lastPrinted>2022-02-15T15:45:00Z</cp:lastPrinted>
  <dcterms:modified xsi:type="dcterms:W3CDTF">2026-03-13T05:36:23Z</dcterms:modified>
  <cp:revision>43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4746AA2B63644A919A7677ADD6665D0C</vt:lpwstr>
  </property>
  <property fmtid="{D5CDD505-2E9C-101B-9397-08002B2CF9AE}" pid="4" name="KSOTemplateDocerSaveRecord">
    <vt:lpwstr>eyJoZGlkIjoiZjE4NjE2N2RiMGQ2MmYzNTc3ZDAwMGRjOWZkZDg4MWIiLCJ1c2VySWQiOiIyMjQ3MzAxNjAifQ==</vt:lpwstr>
  </property>
</Properties>
</file>