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D8B6B5">
      <w:pPr>
        <w:spacing w:line="660" w:lineRule="exact"/>
        <w:jc w:val="center"/>
        <w:rPr>
          <w:rFonts w:ascii="宋体" w:hAnsi="宋体" w:cs="宋体"/>
          <w:b/>
          <w:bCs/>
          <w:kern w:val="0"/>
          <w:sz w:val="44"/>
          <w:szCs w:val="44"/>
        </w:rPr>
      </w:pPr>
    </w:p>
    <w:p w14:paraId="0065D364">
      <w:pPr>
        <w:spacing w:line="660" w:lineRule="exact"/>
        <w:jc w:val="center"/>
        <w:rPr>
          <w:rFonts w:ascii="宋体" w:hAnsi="宋体" w:cs="宋体"/>
          <w:b/>
          <w:bCs/>
          <w:kern w:val="0"/>
          <w:sz w:val="44"/>
          <w:szCs w:val="44"/>
        </w:rPr>
      </w:pPr>
    </w:p>
    <w:p w14:paraId="5AF7918B">
      <w:pPr>
        <w:spacing w:line="660" w:lineRule="exact"/>
        <w:jc w:val="center"/>
        <w:rPr>
          <w:rFonts w:ascii="宋体" w:hAnsi="宋体" w:cs="宋体"/>
          <w:b/>
          <w:bCs/>
          <w:kern w:val="0"/>
          <w:sz w:val="44"/>
          <w:szCs w:val="44"/>
        </w:rPr>
      </w:pPr>
    </w:p>
    <w:p w14:paraId="5E0C716C">
      <w:pPr>
        <w:keepNext w:val="0"/>
        <w:keepLines w:val="0"/>
        <w:pageBreakBefore w:val="0"/>
        <w:kinsoku/>
        <w:wordWrap/>
        <w:overflowPunct/>
        <w:topLinePunct w:val="0"/>
        <w:autoSpaceDE/>
        <w:autoSpaceDN/>
        <w:bidi w:val="0"/>
        <w:spacing w:line="600" w:lineRule="exact"/>
        <w:ind w:right="0"/>
        <w:jc w:val="center"/>
        <w:textAlignment w:val="auto"/>
        <w:rPr>
          <w:rFonts w:hint="eastAsia" w:ascii="宋体" w:hAnsi="宋体" w:cs="宋体"/>
          <w:b/>
          <w:bCs/>
          <w:kern w:val="0"/>
          <w:sz w:val="44"/>
          <w:szCs w:val="44"/>
          <w:lang w:val="en-US" w:eastAsia="zh-CN"/>
        </w:rPr>
      </w:pPr>
      <w:r>
        <w:rPr>
          <w:rFonts w:hint="eastAsia" w:ascii="宋体" w:hAnsi="宋体" w:cs="宋体"/>
          <w:b/>
          <w:bCs/>
          <w:kern w:val="0"/>
          <w:sz w:val="44"/>
          <w:szCs w:val="44"/>
          <w:lang w:val="en-US" w:eastAsia="zh-CN"/>
        </w:rPr>
        <w:t>华池县科学技术局</w:t>
      </w:r>
    </w:p>
    <w:p w14:paraId="67ACC143">
      <w:pPr>
        <w:spacing w:line="660" w:lineRule="exact"/>
        <w:jc w:val="center"/>
        <w:rPr>
          <w:rFonts w:ascii="宋体" w:hAnsi="宋体" w:cs="宋体"/>
          <w:b/>
          <w:bCs/>
          <w:kern w:val="0"/>
          <w:sz w:val="44"/>
          <w:szCs w:val="44"/>
        </w:rPr>
        <w:sectPr>
          <w:footerReference r:id="rId3" w:type="default"/>
          <w:pgSz w:w="11906" w:h="16838"/>
          <w:pgMar w:top="1134" w:right="1134" w:bottom="1440" w:left="1276" w:header="851" w:footer="992" w:gutter="0"/>
          <w:cols w:space="720" w:num="1"/>
          <w:docGrid w:type="lines" w:linePitch="312" w:charSpace="0"/>
        </w:sectPr>
      </w:pPr>
      <w:r>
        <w:rPr>
          <w:rFonts w:hint="eastAsia" w:ascii="宋体" w:hAnsi="宋体" w:cs="宋体"/>
          <w:b/>
          <w:bCs/>
          <w:kern w:val="0"/>
          <w:sz w:val="44"/>
          <w:szCs w:val="44"/>
          <w:lang w:eastAsia="zh-CN"/>
        </w:rPr>
        <w:t>202</w:t>
      </w:r>
      <w:r>
        <w:rPr>
          <w:rFonts w:hint="default" w:ascii="宋体" w:hAnsi="宋体" w:cs="宋体"/>
          <w:b/>
          <w:bCs/>
          <w:kern w:val="0"/>
          <w:sz w:val="44"/>
          <w:szCs w:val="44"/>
          <w:lang w:val="en-US" w:eastAsia="zh-CN"/>
        </w:rPr>
        <w:t>6</w:t>
      </w:r>
      <w:r>
        <w:rPr>
          <w:rFonts w:hint="eastAsia" w:ascii="宋体" w:hAnsi="宋体" w:cs="宋体"/>
          <w:b/>
          <w:bCs/>
          <w:kern w:val="0"/>
          <w:sz w:val="44"/>
          <w:szCs w:val="44"/>
        </w:rPr>
        <w:t>年部门预算公开情况说明</w:t>
      </w:r>
    </w:p>
    <w:p w14:paraId="23298934">
      <w:pPr>
        <w:spacing w:line="660" w:lineRule="exact"/>
        <w:jc w:val="center"/>
        <w:rPr>
          <w:rFonts w:ascii="宋体" w:hAnsi="宋体" w:cs="宋体"/>
          <w:b/>
          <w:bCs/>
          <w:kern w:val="0"/>
          <w:sz w:val="44"/>
          <w:szCs w:val="44"/>
        </w:rPr>
      </w:pPr>
      <w:r>
        <w:rPr>
          <w:rFonts w:hint="eastAsia" w:ascii="宋体" w:hAnsi="宋体" w:cs="宋体"/>
          <w:b/>
          <w:bCs/>
          <w:kern w:val="0"/>
          <w:sz w:val="44"/>
          <w:szCs w:val="44"/>
        </w:rPr>
        <w:t>目  录</w:t>
      </w:r>
    </w:p>
    <w:p w14:paraId="404A4908">
      <w:pPr>
        <w:spacing w:line="660" w:lineRule="exact"/>
        <w:jc w:val="center"/>
        <w:rPr>
          <w:rFonts w:ascii="宋体" w:hAnsi="宋体" w:cs="宋体"/>
          <w:b/>
          <w:bCs/>
          <w:kern w:val="0"/>
          <w:sz w:val="44"/>
          <w:szCs w:val="44"/>
        </w:rPr>
      </w:pPr>
    </w:p>
    <w:p w14:paraId="581C7286">
      <w:pPr>
        <w:spacing w:line="30" w:lineRule="exact"/>
        <w:jc w:val="center"/>
        <w:rPr>
          <w:rFonts w:ascii="黑体" w:eastAsia="黑体"/>
          <w:color w:val="000000"/>
          <w:sz w:val="18"/>
          <w:szCs w:val="18"/>
        </w:rPr>
      </w:pPr>
    </w:p>
    <w:p w14:paraId="53002029">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第一部分 部门/单位基本概况</w:t>
      </w:r>
    </w:p>
    <w:p w14:paraId="70C024E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一、部门/单位职责</w:t>
      </w:r>
    </w:p>
    <w:p w14:paraId="4D83AF2B">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二、机构设置情况</w:t>
      </w:r>
    </w:p>
    <w:p w14:paraId="433351F8">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 xml:space="preserve">第二部分 </w:t>
      </w:r>
      <w:r>
        <w:rPr>
          <w:rFonts w:hint="eastAsia" w:ascii="仿宋_GB2312" w:hAnsi="仿宋" w:eastAsia="仿宋_GB2312"/>
          <w:b/>
          <w:color w:val="000000"/>
          <w:sz w:val="30"/>
          <w:szCs w:val="30"/>
          <w:lang w:eastAsia="zh-CN"/>
        </w:rPr>
        <w:t>202</w:t>
      </w:r>
      <w:r>
        <w:rPr>
          <w:rFonts w:hint="default" w:ascii="仿宋_GB2312" w:hAnsi="仿宋" w:eastAsia="仿宋_GB2312"/>
          <w:b/>
          <w:color w:val="000000"/>
          <w:sz w:val="30"/>
          <w:szCs w:val="30"/>
          <w:lang w:val="en-US" w:eastAsia="zh-CN"/>
        </w:rPr>
        <w:t>6</w:t>
      </w:r>
      <w:r>
        <w:rPr>
          <w:rFonts w:hint="eastAsia" w:ascii="仿宋_GB2312" w:hAnsi="仿宋" w:eastAsia="仿宋_GB2312"/>
          <w:b/>
          <w:color w:val="000000"/>
          <w:sz w:val="30"/>
          <w:szCs w:val="30"/>
        </w:rPr>
        <w:t>年部门/单位预算情况说明</w:t>
      </w:r>
    </w:p>
    <w:p w14:paraId="44EBD67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三</w:t>
      </w:r>
      <w:r>
        <w:rPr>
          <w:rFonts w:hint="eastAsia" w:ascii="仿宋_GB2312" w:hAnsi="仿宋" w:eastAsia="仿宋_GB2312"/>
          <w:color w:val="000000"/>
          <w:sz w:val="30"/>
          <w:szCs w:val="30"/>
        </w:rPr>
        <w:t>、收支总体情况</w:t>
      </w:r>
    </w:p>
    <w:p w14:paraId="0BB73FF5">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四</w:t>
      </w:r>
      <w:r>
        <w:rPr>
          <w:rFonts w:hint="eastAsia" w:ascii="仿宋_GB2312" w:hAnsi="仿宋" w:eastAsia="仿宋_GB2312"/>
          <w:color w:val="000000"/>
          <w:sz w:val="30"/>
          <w:szCs w:val="30"/>
        </w:rPr>
        <w:t>、一般公共预算情况</w:t>
      </w:r>
    </w:p>
    <w:p w14:paraId="4A12B8CB">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五</w:t>
      </w:r>
      <w:r>
        <w:rPr>
          <w:rFonts w:hint="eastAsia" w:ascii="仿宋_GB2312" w:hAnsi="仿宋" w:eastAsia="仿宋_GB2312"/>
          <w:color w:val="000000"/>
          <w:sz w:val="30"/>
          <w:szCs w:val="30"/>
        </w:rPr>
        <w:t>、一般公共预算财政拨款“三公”经费、培训费、会议费等情况</w:t>
      </w:r>
    </w:p>
    <w:p w14:paraId="435BC81C">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六</w:t>
      </w:r>
      <w:r>
        <w:rPr>
          <w:rFonts w:hint="eastAsia" w:ascii="仿宋_GB2312" w:hAnsi="仿宋" w:eastAsia="仿宋_GB2312"/>
          <w:color w:val="000000"/>
          <w:sz w:val="30"/>
          <w:szCs w:val="30"/>
        </w:rPr>
        <w:t>、一般公共预算财政拨款机关运行经费情况</w:t>
      </w:r>
    </w:p>
    <w:p w14:paraId="2F88CE3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七</w:t>
      </w:r>
      <w:r>
        <w:rPr>
          <w:rFonts w:hint="eastAsia" w:ascii="仿宋_GB2312" w:hAnsi="仿宋" w:eastAsia="仿宋_GB2312"/>
          <w:color w:val="000000"/>
          <w:sz w:val="30"/>
          <w:szCs w:val="30"/>
        </w:rPr>
        <w:t>、政府采购安排情况</w:t>
      </w:r>
    </w:p>
    <w:p w14:paraId="5046C445">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八</w:t>
      </w:r>
      <w:r>
        <w:rPr>
          <w:rFonts w:hint="eastAsia" w:ascii="仿宋_GB2312" w:hAnsi="仿宋" w:eastAsia="仿宋_GB2312"/>
          <w:color w:val="000000"/>
          <w:sz w:val="30"/>
          <w:szCs w:val="30"/>
        </w:rPr>
        <w:t>、国有资产占用情况</w:t>
      </w:r>
    </w:p>
    <w:p w14:paraId="6D55E2E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九</w:t>
      </w:r>
      <w:r>
        <w:rPr>
          <w:rFonts w:hint="eastAsia" w:ascii="仿宋_GB2312" w:hAnsi="仿宋" w:eastAsia="仿宋_GB2312"/>
          <w:color w:val="000000"/>
          <w:sz w:val="30"/>
          <w:szCs w:val="30"/>
        </w:rPr>
        <w:t>、其他重要事项情况说明</w:t>
      </w:r>
    </w:p>
    <w:p w14:paraId="171C4917">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十</w:t>
      </w:r>
      <w:r>
        <w:rPr>
          <w:rFonts w:hint="eastAsia" w:ascii="仿宋_GB2312" w:hAnsi="仿宋" w:eastAsia="仿宋_GB2312"/>
          <w:color w:val="000000"/>
          <w:sz w:val="30"/>
          <w:szCs w:val="30"/>
        </w:rPr>
        <w:t>、预算绩效管理情况</w:t>
      </w:r>
    </w:p>
    <w:p w14:paraId="7042C3D9">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十一</w:t>
      </w:r>
      <w:r>
        <w:rPr>
          <w:rFonts w:hint="eastAsia" w:ascii="仿宋_GB2312" w:hAnsi="仿宋" w:eastAsia="仿宋_GB2312"/>
          <w:color w:val="000000"/>
          <w:sz w:val="30"/>
          <w:szCs w:val="30"/>
        </w:rPr>
        <w:t>、名词解释</w:t>
      </w:r>
    </w:p>
    <w:p w14:paraId="734FD345">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 xml:space="preserve">第三部分 </w:t>
      </w:r>
      <w:r>
        <w:rPr>
          <w:rFonts w:hint="eastAsia" w:ascii="仿宋_GB2312" w:hAnsi="仿宋" w:eastAsia="仿宋_GB2312"/>
          <w:b/>
          <w:color w:val="000000"/>
          <w:sz w:val="30"/>
          <w:szCs w:val="30"/>
          <w:lang w:eastAsia="zh-CN"/>
        </w:rPr>
        <w:t>202</w:t>
      </w:r>
      <w:r>
        <w:rPr>
          <w:rFonts w:hint="default" w:ascii="仿宋_GB2312" w:hAnsi="仿宋" w:eastAsia="仿宋_GB2312"/>
          <w:b/>
          <w:color w:val="000000"/>
          <w:sz w:val="30"/>
          <w:szCs w:val="30"/>
          <w:lang w:val="en-US" w:eastAsia="zh-CN"/>
        </w:rPr>
        <w:t>6</w:t>
      </w:r>
      <w:r>
        <w:rPr>
          <w:rFonts w:hint="eastAsia" w:ascii="仿宋_GB2312" w:hAnsi="仿宋" w:eastAsia="仿宋_GB2312"/>
          <w:b/>
          <w:color w:val="000000"/>
          <w:sz w:val="30"/>
          <w:szCs w:val="30"/>
        </w:rPr>
        <w:t>年部门（单位）预算公开表</w:t>
      </w:r>
    </w:p>
    <w:p w14:paraId="3FD2078A">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一、部门/单位收支总体情况表</w:t>
      </w:r>
    </w:p>
    <w:p w14:paraId="72142C8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二、部门/单位收入总体情况表</w:t>
      </w:r>
    </w:p>
    <w:p w14:paraId="45966E8E">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三、部门/单位支出总体情况表</w:t>
      </w:r>
    </w:p>
    <w:p w14:paraId="675B8204">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四、财政拨款收支总体情况表</w:t>
      </w:r>
    </w:p>
    <w:p w14:paraId="7622165F">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五、财政拨款支出表</w:t>
      </w:r>
    </w:p>
    <w:p w14:paraId="6361183A">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六、一般公共预算支出情况表</w:t>
      </w:r>
    </w:p>
    <w:p w14:paraId="600E5294">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七、一般公共预算基本支出情况表</w:t>
      </w:r>
    </w:p>
    <w:p w14:paraId="5189B486">
      <w:pPr>
        <w:spacing w:line="560" w:lineRule="exact"/>
        <w:ind w:firstLine="600" w:firstLineChars="200"/>
        <w:jc w:val="left"/>
        <w:rPr>
          <w:rFonts w:ascii="仿宋_GB2312" w:hAnsi="仿宋" w:eastAsia="仿宋_GB2312"/>
          <w:color w:val="000000"/>
          <w:spacing w:val="-20"/>
          <w:sz w:val="30"/>
          <w:szCs w:val="30"/>
        </w:rPr>
      </w:pPr>
      <w:r>
        <w:rPr>
          <w:rFonts w:hint="eastAsia" w:ascii="仿宋_GB2312" w:hAnsi="仿宋" w:eastAsia="仿宋_GB2312"/>
          <w:color w:val="000000"/>
          <w:sz w:val="30"/>
          <w:szCs w:val="30"/>
        </w:rPr>
        <w:t>八、</w:t>
      </w:r>
      <w:r>
        <w:rPr>
          <w:rFonts w:hint="eastAsia" w:ascii="仿宋_GB2312" w:hAnsi="仿宋" w:eastAsia="仿宋_GB2312"/>
          <w:color w:val="000000"/>
          <w:spacing w:val="-20"/>
          <w:sz w:val="30"/>
          <w:szCs w:val="30"/>
        </w:rPr>
        <w:t>一般公共预算财政拨款“三公”经费、会议费、培训费支出情况表</w:t>
      </w:r>
    </w:p>
    <w:p w14:paraId="4B121EFE">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九、一般公共预算财政拨款机关运行经费表</w:t>
      </w:r>
    </w:p>
    <w:p w14:paraId="031FDB5A">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十、政府性基金预算支出情况表</w:t>
      </w:r>
    </w:p>
    <w:p w14:paraId="5FFFCFAF">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十一、部门管理转移支付表</w:t>
      </w:r>
    </w:p>
    <w:p w14:paraId="505BB7C1">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十二、国有资本经营预算支出情况表</w:t>
      </w:r>
    </w:p>
    <w:p w14:paraId="4129F3F1">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十三、部门/单位整体支出绩效目标表和项目支出绩效目标表</w:t>
      </w:r>
    </w:p>
    <w:p w14:paraId="7F85859C">
      <w:pPr>
        <w:spacing w:line="660" w:lineRule="exact"/>
        <w:jc w:val="center"/>
        <w:rPr>
          <w:rFonts w:ascii="仿宋_GB2312" w:hAnsi="宋体" w:eastAsia="仿宋_GB2312" w:cs="宋体"/>
          <w:b/>
          <w:bCs/>
          <w:kern w:val="0"/>
          <w:sz w:val="44"/>
          <w:szCs w:val="44"/>
        </w:rPr>
      </w:pPr>
    </w:p>
    <w:p w14:paraId="6DBFCF8A">
      <w:pPr>
        <w:spacing w:line="600" w:lineRule="exact"/>
        <w:ind w:firstLine="562" w:firstLineChars="200"/>
        <w:rPr>
          <w:rFonts w:ascii="仿宋_GB2312" w:hAnsi="仿宋" w:eastAsia="仿宋_GB2312" w:cs="宋体"/>
          <w:b/>
          <w:kern w:val="0"/>
          <w:sz w:val="28"/>
          <w:szCs w:val="28"/>
        </w:rPr>
        <w:sectPr>
          <w:footerReference r:id="rId4" w:type="default"/>
          <w:pgSz w:w="11906" w:h="16838"/>
          <w:pgMar w:top="1134" w:right="1134" w:bottom="1440" w:left="1276" w:header="851" w:footer="992" w:gutter="0"/>
          <w:pgNumType w:start="1"/>
          <w:cols w:space="720" w:num="1"/>
          <w:docGrid w:type="lines" w:linePitch="312" w:charSpace="0"/>
        </w:sectPr>
      </w:pPr>
    </w:p>
    <w:p w14:paraId="42E458F6">
      <w:pPr>
        <w:spacing w:line="600" w:lineRule="exact"/>
        <w:ind w:firstLine="643" w:firstLineChars="200"/>
        <w:jc w:val="center"/>
        <w:rPr>
          <w:rFonts w:ascii="仿宋_GB2312" w:hAnsi="黑体" w:eastAsia="仿宋_GB2312" w:cs="宋体"/>
          <w:b/>
          <w:kern w:val="0"/>
          <w:sz w:val="32"/>
          <w:szCs w:val="32"/>
        </w:rPr>
      </w:pPr>
      <w:r>
        <w:rPr>
          <w:rFonts w:hint="eastAsia" w:ascii="仿宋_GB2312" w:hAnsi="黑体" w:eastAsia="仿宋_GB2312" w:cs="宋体"/>
          <w:b/>
          <w:kern w:val="0"/>
          <w:sz w:val="32"/>
          <w:szCs w:val="32"/>
        </w:rPr>
        <w:t>前</w:t>
      </w:r>
      <w:r>
        <w:rPr>
          <w:rFonts w:hint="eastAsia" w:ascii="仿宋_GB2312" w:hAnsi="黑体" w:eastAsia="仿宋_GB2312" w:cs="宋体"/>
          <w:b/>
          <w:kern w:val="0"/>
          <w:sz w:val="32"/>
          <w:szCs w:val="32"/>
          <w:lang w:val="en-US" w:eastAsia="zh-CN"/>
        </w:rPr>
        <w:t xml:space="preserve"> </w:t>
      </w:r>
      <w:bookmarkStart w:id="0" w:name="_GoBack"/>
      <w:bookmarkEnd w:id="0"/>
      <w:r>
        <w:rPr>
          <w:rFonts w:hint="eastAsia" w:ascii="仿宋_GB2312" w:hAnsi="黑体" w:eastAsia="仿宋_GB2312" w:cs="宋体"/>
          <w:b/>
          <w:kern w:val="0"/>
          <w:sz w:val="32"/>
          <w:szCs w:val="32"/>
        </w:rPr>
        <w:t>言</w:t>
      </w:r>
    </w:p>
    <w:p w14:paraId="0AD557B8">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按照《中华人民共和国预算法》《中华人民共和国预算法实施条例》以及</w:t>
      </w:r>
      <w:r>
        <w:rPr>
          <w:rFonts w:ascii="仿宋_GB2312" w:hAnsi="仿宋" w:eastAsia="仿宋_GB2312" w:cs="宋体"/>
          <w:kern w:val="0"/>
          <w:sz w:val="32"/>
          <w:szCs w:val="32"/>
        </w:rPr>
        <w:t>财政部</w:t>
      </w:r>
      <w:r>
        <w:rPr>
          <w:rFonts w:hint="eastAsia" w:ascii="仿宋_GB2312" w:hAnsi="仿宋" w:eastAsia="仿宋_GB2312" w:cs="宋体"/>
          <w:kern w:val="0"/>
          <w:sz w:val="32"/>
          <w:szCs w:val="32"/>
        </w:rPr>
        <w:t>《地方预决算公开操作规程》《关于推进部门所属单位预算公开的指导意见》和《中共甘肃省委办公厅 甘肃省人民政府办公厅关于进一步推进预算公开工作的实施方案》要求，现将</w:t>
      </w:r>
      <w:r>
        <w:rPr>
          <w:rFonts w:hint="eastAsia" w:ascii="仿宋_GB2312" w:hAnsi="仿宋" w:eastAsia="仿宋_GB2312" w:cs="宋体"/>
          <w:kern w:val="0"/>
          <w:sz w:val="32"/>
          <w:szCs w:val="32"/>
          <w:lang w:eastAsia="zh-CN"/>
        </w:rPr>
        <w:t>202</w:t>
      </w:r>
      <w:r>
        <w:rPr>
          <w:rFonts w:hint="default"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年部门预算公开如下：</w:t>
      </w:r>
    </w:p>
    <w:p w14:paraId="1BFDDEEA">
      <w:pPr>
        <w:spacing w:line="60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一、部门/单位职责</w:t>
      </w:r>
    </w:p>
    <w:p w14:paraId="486F24CB">
      <w:pPr>
        <w:keepNext w:val="0"/>
        <w:keepLines w:val="0"/>
        <w:pageBreakBefore w:val="0"/>
        <w:kinsoku/>
        <w:wordWrap/>
        <w:overflowPunct/>
        <w:topLinePunct w:val="0"/>
        <w:autoSpaceDE/>
        <w:autoSpaceDN/>
        <w:bidi w:val="0"/>
        <w:spacing w:line="600" w:lineRule="exact"/>
        <w:ind w:left="0" w:leftChars="0" w:right="0"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（一）拟订全县创新驱动发展战略方针以及科技发展、引进国外智力规划和政策并组织实施。</w:t>
      </w:r>
    </w:p>
    <w:p w14:paraId="178DE2E5">
      <w:pPr>
        <w:keepNext w:val="0"/>
        <w:keepLines w:val="0"/>
        <w:pageBreakBefore w:val="0"/>
        <w:kinsoku/>
        <w:wordWrap/>
        <w:overflowPunct/>
        <w:topLinePunct w:val="0"/>
        <w:autoSpaceDE/>
        <w:autoSpaceDN/>
        <w:bidi w:val="0"/>
        <w:spacing w:line="600" w:lineRule="exact"/>
        <w:ind w:left="0" w:leftChars="0" w:right="0"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二）统筹推进全县科技体制改革，会同有关部门健全技术创新激励机制。优化科研体系建设，指导科研机构改革发展，推动企业科技创新能力建设，承担推进科技军民融合发展相关工作，推进全县重大科技决策咨询制度建设。</w:t>
      </w:r>
    </w:p>
    <w:p w14:paraId="4227B7F5">
      <w:pPr>
        <w:keepNext w:val="0"/>
        <w:keepLines w:val="0"/>
        <w:pageBreakBefore w:val="0"/>
        <w:kinsoku/>
        <w:wordWrap/>
        <w:overflowPunct/>
        <w:topLinePunct w:val="0"/>
        <w:autoSpaceDE/>
        <w:autoSpaceDN/>
        <w:bidi w:val="0"/>
        <w:spacing w:line="600" w:lineRule="exact"/>
        <w:ind w:left="0" w:leftChars="0" w:right="0"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三）配合国家科技管理平台和科研项目资金协调、评估、监管机制建设。会同有关部门提出优化配置科技资源的政策措施建议，推动多元化科技投入体系建设，协调管理财政科技计划（专项、基金等）并监督实施。</w:t>
      </w:r>
    </w:p>
    <w:p w14:paraId="04C53ADD">
      <w:pPr>
        <w:keepNext w:val="0"/>
        <w:keepLines w:val="0"/>
        <w:pageBreakBefore w:val="0"/>
        <w:kinsoku/>
        <w:wordWrap/>
        <w:overflowPunct/>
        <w:topLinePunct w:val="0"/>
        <w:autoSpaceDE/>
        <w:autoSpaceDN/>
        <w:bidi w:val="0"/>
        <w:spacing w:line="600" w:lineRule="exact"/>
        <w:ind w:left="0" w:leftChars="0" w:right="0"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四）拟订全县基础研究规划、政策和标准并组织实施，组织协调全县重大基础研究和应用基础研究。拟订科技创新基地建设规划并监督实施，参与编制科技基础设施建设规划和监督实施，牵头组织重点实验室建设，推动科研条件保障建设和科技资源开放共享。</w:t>
      </w:r>
    </w:p>
    <w:p w14:paraId="7CA31952">
      <w:pPr>
        <w:keepNext w:val="0"/>
        <w:keepLines w:val="0"/>
        <w:pageBreakBefore w:val="0"/>
        <w:kinsoku/>
        <w:wordWrap/>
        <w:overflowPunct/>
        <w:topLinePunct w:val="0"/>
        <w:autoSpaceDE/>
        <w:autoSpaceDN/>
        <w:bidi w:val="0"/>
        <w:spacing w:line="600" w:lineRule="exact"/>
        <w:ind w:left="0" w:leftChars="0" w:right="0"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（五）编制全县科技项目规划并监督实施，统筹关键共性技术、前沿引领技术、现代工程技术、颠覆性技术研发和创新，牵头组织技术攻关和成果应用示范。</w:t>
      </w:r>
    </w:p>
    <w:p w14:paraId="41A1DAED">
      <w:pPr>
        <w:keepNext w:val="0"/>
        <w:keepLines w:val="0"/>
        <w:pageBreakBefore w:val="0"/>
        <w:kinsoku/>
        <w:wordWrap/>
        <w:overflowPunct/>
        <w:topLinePunct w:val="0"/>
        <w:autoSpaceDE/>
        <w:autoSpaceDN/>
        <w:bidi w:val="0"/>
        <w:spacing w:line="600" w:lineRule="exact"/>
        <w:ind w:left="0" w:leftChars="0" w:right="0"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（六）组织拟订高新技术发展及产业化、科技促进农业农村和社会发展的规划、政策和措施。组织开展重点领域技术发展需求分析，提出项目任务并监督实施。</w:t>
      </w:r>
    </w:p>
    <w:p w14:paraId="65D4EC1C">
      <w:pPr>
        <w:keepNext w:val="0"/>
        <w:keepLines w:val="0"/>
        <w:pageBreakBefore w:val="0"/>
        <w:kinsoku/>
        <w:wordWrap/>
        <w:overflowPunct/>
        <w:topLinePunct w:val="0"/>
        <w:autoSpaceDE/>
        <w:autoSpaceDN/>
        <w:bidi w:val="0"/>
        <w:spacing w:line="600" w:lineRule="exact"/>
        <w:ind w:left="0" w:leftChars="0" w:right="0"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（七）牵头全县技术转移体系建设，拟订科技成果转移转化和促进产学研结合的相关政策措施并监督实施。指导科技服务业、技术市场和科技中介组织发展。</w:t>
      </w:r>
    </w:p>
    <w:p w14:paraId="11CB03E6">
      <w:pPr>
        <w:keepNext w:val="0"/>
        <w:keepLines w:val="0"/>
        <w:pageBreakBefore w:val="0"/>
        <w:kinsoku/>
        <w:wordWrap/>
        <w:overflowPunct/>
        <w:topLinePunct w:val="0"/>
        <w:autoSpaceDE/>
        <w:autoSpaceDN/>
        <w:bidi w:val="0"/>
        <w:spacing w:line="600" w:lineRule="exact"/>
        <w:ind w:left="0" w:leftChars="0" w:right="0"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（八）统筹全县科技创新体系建设，指导全县创新发展、科技资源合理布局和协同创新能力建设，推动科技园区建设。</w:t>
      </w:r>
    </w:p>
    <w:p w14:paraId="19570A15">
      <w:pPr>
        <w:keepNext w:val="0"/>
        <w:keepLines w:val="0"/>
        <w:pageBreakBefore w:val="0"/>
        <w:kinsoku/>
        <w:wordWrap/>
        <w:overflowPunct/>
        <w:topLinePunct w:val="0"/>
        <w:autoSpaceDE/>
        <w:autoSpaceDN/>
        <w:bidi w:val="0"/>
        <w:spacing w:line="600" w:lineRule="exact"/>
        <w:ind w:left="0" w:leftChars="0" w:right="0"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（九）负责科技监督评价体系建设和相关科技评估管理，指导科技评价机制改革，统筹科研诚信建设。组织实施全县创新调查和科技报告制度，指导全县科技保密工作。</w:t>
      </w:r>
    </w:p>
    <w:p w14:paraId="59316373">
      <w:pPr>
        <w:keepNext w:val="0"/>
        <w:keepLines w:val="0"/>
        <w:pageBreakBefore w:val="0"/>
        <w:kinsoku/>
        <w:wordWrap/>
        <w:overflowPunct/>
        <w:topLinePunct w:val="0"/>
        <w:autoSpaceDE/>
        <w:autoSpaceDN/>
        <w:bidi w:val="0"/>
        <w:spacing w:line="600" w:lineRule="exact"/>
        <w:ind w:left="0" w:leftChars="0" w:right="0"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（十）拟订科技对外交往与创新能力开放合作的规划、政策和措施，组织开展对外科技合作与科技人才交流。指导相关部门开展对外科技合作与科技人才交流工作。</w:t>
      </w:r>
    </w:p>
    <w:p w14:paraId="2EB14C1F">
      <w:pPr>
        <w:keepNext w:val="0"/>
        <w:keepLines w:val="0"/>
        <w:pageBreakBefore w:val="0"/>
        <w:kinsoku/>
        <w:wordWrap/>
        <w:overflowPunct/>
        <w:topLinePunct w:val="0"/>
        <w:autoSpaceDE/>
        <w:autoSpaceDN/>
        <w:bidi w:val="0"/>
        <w:spacing w:line="600" w:lineRule="exact"/>
        <w:ind w:left="0" w:leftChars="0" w:right="0"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（十一）负责引进国外智力工作。拟订全县引进外国专家总体规划、计划并组织实施，指导全县引进国（境）外人才和智力工作。</w:t>
      </w:r>
    </w:p>
    <w:p w14:paraId="3CC50A01">
      <w:pPr>
        <w:keepNext w:val="0"/>
        <w:keepLines w:val="0"/>
        <w:pageBreakBefore w:val="0"/>
        <w:kinsoku/>
        <w:wordWrap/>
        <w:overflowPunct/>
        <w:topLinePunct w:val="0"/>
        <w:autoSpaceDE/>
        <w:autoSpaceDN/>
        <w:bidi w:val="0"/>
        <w:spacing w:line="600" w:lineRule="exact"/>
        <w:ind w:left="0" w:leftChars="0" w:right="0"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（十二）会同有关部门拟订科技人才队伍建设规划和政策，建立健全科技人才评价和激励机制，组织实施科技人才计划，推动高端科技创新人才队伍建设。拟订科学普及和科学传播规划、政策。</w:t>
      </w:r>
    </w:p>
    <w:p w14:paraId="3FE6E942">
      <w:pPr>
        <w:keepNext w:val="0"/>
        <w:keepLines w:val="0"/>
        <w:pageBreakBefore w:val="0"/>
        <w:kinsoku/>
        <w:wordWrap/>
        <w:overflowPunct/>
        <w:topLinePunct w:val="0"/>
        <w:autoSpaceDE/>
        <w:autoSpaceDN/>
        <w:bidi w:val="0"/>
        <w:spacing w:line="600" w:lineRule="exact"/>
        <w:ind w:left="0" w:leftChars="0" w:right="0"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十三）负责全县科技项目的考察、论证、立项和组织实施，组织科技成果登记、管理和激励；负责华池县科学技术奖的评审组织工作；负责科技创新主体培育、认定及相关补助资金发放；负责落实科技经费，并做好监督工作。</w:t>
      </w:r>
    </w:p>
    <w:p w14:paraId="16C6337D">
      <w:pPr>
        <w:keepNext w:val="0"/>
        <w:keepLines w:val="0"/>
        <w:pageBreakBefore w:val="0"/>
        <w:kinsoku/>
        <w:wordWrap/>
        <w:overflowPunct/>
        <w:topLinePunct w:val="0"/>
        <w:autoSpaceDE/>
        <w:autoSpaceDN/>
        <w:bidi w:val="0"/>
        <w:spacing w:line="600" w:lineRule="exact"/>
        <w:ind w:left="0" w:leftChars="0" w:right="0"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（十四）组织实施全县科技特派员基层创业行动，做好科技特派员的选派和工作指导、督查及业绩评估奖惩等工作。</w:t>
      </w:r>
    </w:p>
    <w:p w14:paraId="5867B643">
      <w:pPr>
        <w:keepNext w:val="0"/>
        <w:keepLines w:val="0"/>
        <w:pageBreakBefore w:val="0"/>
        <w:kinsoku/>
        <w:wordWrap/>
        <w:overflowPunct/>
        <w:topLinePunct w:val="0"/>
        <w:autoSpaceDE/>
        <w:autoSpaceDN/>
        <w:bidi w:val="0"/>
        <w:spacing w:line="600" w:lineRule="exact"/>
        <w:ind w:left="0" w:leftChars="0" w:right="0"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（十五）负责全县科技宣传培训工作，提高全民科技素质；负责全县科技信息发布、更新工作，及时为全县工农业生产提供政策、科技、市场等信息服务。</w:t>
      </w:r>
    </w:p>
    <w:p w14:paraId="5583A443">
      <w:pPr>
        <w:keepNext w:val="0"/>
        <w:keepLines w:val="0"/>
        <w:pageBreakBefore w:val="0"/>
        <w:kinsoku/>
        <w:wordWrap/>
        <w:overflowPunct/>
        <w:topLinePunct w:val="0"/>
        <w:autoSpaceDE/>
        <w:autoSpaceDN/>
        <w:bidi w:val="0"/>
        <w:spacing w:line="600" w:lineRule="exact"/>
        <w:ind w:left="0" w:leftChars="0" w:right="0"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（十六）</w:t>
      </w:r>
      <w:r>
        <w:rPr>
          <w:rFonts w:ascii="仿宋_GB2312" w:eastAsia="仿宋_GB2312"/>
          <w:bCs/>
          <w:color w:val="000000"/>
          <w:sz w:val="32"/>
          <w:szCs w:val="32"/>
        </w:rPr>
        <w:t>完成</w:t>
      </w:r>
      <w:r>
        <w:rPr>
          <w:rFonts w:hint="eastAsia" w:ascii="仿宋_GB2312" w:eastAsia="仿宋_GB2312"/>
          <w:bCs/>
          <w:color w:val="000000"/>
          <w:sz w:val="32"/>
          <w:szCs w:val="32"/>
        </w:rPr>
        <w:t>县</w:t>
      </w:r>
      <w:r>
        <w:rPr>
          <w:rFonts w:ascii="仿宋_GB2312" w:eastAsia="仿宋_GB2312"/>
          <w:bCs/>
          <w:color w:val="000000"/>
          <w:sz w:val="32"/>
          <w:szCs w:val="32"/>
        </w:rPr>
        <w:t>委、</w:t>
      </w:r>
      <w:r>
        <w:rPr>
          <w:rFonts w:hint="eastAsia" w:ascii="仿宋_GB2312" w:eastAsia="仿宋_GB2312"/>
          <w:bCs/>
          <w:color w:val="000000"/>
          <w:sz w:val="32"/>
          <w:szCs w:val="32"/>
        </w:rPr>
        <w:t>县</w:t>
      </w:r>
      <w:r>
        <w:rPr>
          <w:rFonts w:ascii="仿宋_GB2312" w:eastAsia="仿宋_GB2312"/>
          <w:bCs/>
          <w:color w:val="000000"/>
          <w:sz w:val="32"/>
          <w:szCs w:val="32"/>
        </w:rPr>
        <w:t>政府和</w:t>
      </w:r>
      <w:r>
        <w:rPr>
          <w:rFonts w:hint="eastAsia" w:ascii="仿宋_GB2312" w:eastAsia="仿宋_GB2312"/>
          <w:bCs/>
          <w:color w:val="000000"/>
          <w:sz w:val="32"/>
          <w:szCs w:val="32"/>
        </w:rPr>
        <w:t>市</w:t>
      </w:r>
      <w:r>
        <w:rPr>
          <w:rFonts w:ascii="仿宋_GB2312" w:eastAsia="仿宋_GB2312"/>
          <w:bCs/>
          <w:color w:val="000000"/>
          <w:sz w:val="32"/>
          <w:szCs w:val="32"/>
        </w:rPr>
        <w:t>科学技术</w:t>
      </w:r>
      <w:r>
        <w:rPr>
          <w:rFonts w:hint="eastAsia" w:ascii="仿宋_GB2312" w:eastAsia="仿宋_GB2312"/>
          <w:bCs/>
          <w:color w:val="000000"/>
          <w:sz w:val="32"/>
          <w:szCs w:val="32"/>
        </w:rPr>
        <w:t>局</w:t>
      </w:r>
      <w:r>
        <w:rPr>
          <w:rFonts w:ascii="仿宋_GB2312" w:eastAsia="仿宋_GB2312"/>
          <w:bCs/>
          <w:color w:val="000000"/>
          <w:sz w:val="32"/>
          <w:szCs w:val="32"/>
        </w:rPr>
        <w:t>交办的其他任务</w:t>
      </w:r>
      <w:r>
        <w:rPr>
          <w:rFonts w:hint="eastAsia" w:ascii="仿宋_GB2312" w:eastAsia="仿宋_GB2312"/>
          <w:color w:val="000000"/>
          <w:sz w:val="32"/>
          <w:szCs w:val="32"/>
        </w:rPr>
        <w:t>。</w:t>
      </w:r>
    </w:p>
    <w:p w14:paraId="41EAB956">
      <w:pPr>
        <w:keepNext w:val="0"/>
        <w:keepLines w:val="0"/>
        <w:pageBreakBefore w:val="0"/>
        <w:kinsoku/>
        <w:wordWrap/>
        <w:overflowPunct/>
        <w:topLinePunct w:val="0"/>
        <w:autoSpaceDE/>
        <w:autoSpaceDN/>
        <w:bidi w:val="0"/>
        <w:spacing w:line="600" w:lineRule="exact"/>
        <w:ind w:left="0" w:leftChars="0" w:right="0" w:firstLine="640" w:firstLineChars="200"/>
        <w:jc w:val="both"/>
        <w:textAlignment w:val="auto"/>
        <w:rPr>
          <w:rFonts w:ascii="仿宋_GB2312" w:eastAsia="仿宋_GB2312"/>
          <w:bCs/>
          <w:spacing w:val="-6"/>
          <w:sz w:val="32"/>
          <w:szCs w:val="32"/>
        </w:rPr>
      </w:pPr>
      <w:r>
        <w:rPr>
          <w:rFonts w:hint="eastAsia" w:ascii="仿宋_GB2312" w:eastAsia="仿宋_GB2312"/>
          <w:color w:val="000000"/>
          <w:sz w:val="32"/>
          <w:szCs w:val="32"/>
        </w:rPr>
        <w:t>（十七）职能转变。</w:t>
      </w:r>
      <w:r>
        <w:rPr>
          <w:rFonts w:hint="eastAsia" w:ascii="仿宋_GB2312" w:eastAsia="仿宋_GB2312"/>
          <w:bCs/>
          <w:spacing w:val="-6"/>
          <w:sz w:val="32"/>
          <w:szCs w:val="32"/>
        </w:rPr>
        <w:t>县</w:t>
      </w:r>
      <w:r>
        <w:rPr>
          <w:rFonts w:ascii="仿宋_GB2312" w:eastAsia="仿宋_GB2312"/>
          <w:bCs/>
          <w:spacing w:val="-6"/>
          <w:sz w:val="32"/>
          <w:szCs w:val="32"/>
        </w:rPr>
        <w:t>科技局要加强、优化、统筹全</w:t>
      </w:r>
      <w:r>
        <w:rPr>
          <w:rFonts w:hint="eastAsia" w:ascii="仿宋_GB2312" w:eastAsia="仿宋_GB2312"/>
          <w:bCs/>
          <w:spacing w:val="-6"/>
          <w:sz w:val="32"/>
          <w:szCs w:val="32"/>
        </w:rPr>
        <w:t>县</w:t>
      </w:r>
      <w:r>
        <w:rPr>
          <w:rFonts w:ascii="仿宋_GB2312" w:eastAsia="仿宋_GB2312"/>
          <w:bCs/>
          <w:spacing w:val="-6"/>
          <w:sz w:val="32"/>
          <w:szCs w:val="32"/>
        </w:rPr>
        <w:t>科技管理和服务职能方面的能力建设。完善科技创新制度和组织体系，加强宏观管理、统筹协调和科研诚信建设。从研发管理向创新服务转变，深入推进科技计划管理改革。加强科研机构的规划布局、改革发展、宏观管理和绩效评价。进一步改进科技人才评价机制，建立健全以创新能力、质量、贡献、绩效为导向的科技人才评价体系和激励政策，统筹</w:t>
      </w:r>
      <w:r>
        <w:rPr>
          <w:rFonts w:hint="eastAsia" w:ascii="仿宋_GB2312" w:eastAsia="仿宋_GB2312"/>
          <w:bCs/>
          <w:spacing w:val="-6"/>
          <w:sz w:val="32"/>
          <w:szCs w:val="32"/>
        </w:rPr>
        <w:t>县</w:t>
      </w:r>
      <w:r>
        <w:rPr>
          <w:rFonts w:ascii="仿宋_GB2312" w:eastAsia="仿宋_GB2312"/>
          <w:bCs/>
          <w:spacing w:val="-6"/>
          <w:sz w:val="32"/>
          <w:szCs w:val="32"/>
        </w:rPr>
        <w:t>内科技人才队伍建设和引进国外智力工作。</w:t>
      </w:r>
    </w:p>
    <w:p w14:paraId="720E48B4">
      <w:pPr>
        <w:spacing w:line="60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二、机构设置情况</w:t>
      </w:r>
    </w:p>
    <w:p w14:paraId="77BC1A87">
      <w:pPr>
        <w:spacing w:line="600" w:lineRule="exact"/>
        <w:ind w:firstLine="643" w:firstLineChars="200"/>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（一）机关内设机构</w:t>
      </w:r>
    </w:p>
    <w:p w14:paraId="2603D183">
      <w:pPr>
        <w:keepNext w:val="0"/>
        <w:keepLines w:val="0"/>
        <w:pageBreakBefore w:val="0"/>
        <w:kinsoku/>
        <w:wordWrap/>
        <w:overflowPunct/>
        <w:topLinePunct w:val="0"/>
        <w:autoSpaceDE/>
        <w:autoSpaceDN/>
        <w:bidi w:val="0"/>
        <w:spacing w:line="600" w:lineRule="exact"/>
        <w:ind w:left="0" w:leftChars="0" w:right="0"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（一）办公室。负责机关文电、党建、财务、会务、机要、档案、外联、后勤等机关日常运转，承担信息、安全、保密、信访、政务公开、信息化、新闻宣传等工作。</w:t>
      </w:r>
    </w:p>
    <w:p w14:paraId="6D32FEF5">
      <w:pPr>
        <w:keepNext w:val="0"/>
        <w:keepLines w:val="0"/>
        <w:pageBreakBefore w:val="0"/>
        <w:kinsoku/>
        <w:wordWrap/>
        <w:overflowPunct/>
        <w:topLinePunct w:val="0"/>
        <w:autoSpaceDE/>
        <w:autoSpaceDN/>
        <w:bidi w:val="0"/>
        <w:spacing w:line="600" w:lineRule="exact"/>
        <w:ind w:left="0" w:leftChars="0" w:right="0" w:firstLine="640" w:firstLineChars="200"/>
        <w:jc w:val="both"/>
        <w:textAlignment w:val="auto"/>
        <w:rPr>
          <w:rFonts w:hint="eastAsia" w:ascii="仿宋_GB2312" w:eastAsia="仿宋_GB2312"/>
          <w:color w:val="000000"/>
          <w:sz w:val="32"/>
          <w:szCs w:val="32"/>
        </w:rPr>
      </w:pPr>
      <w:r>
        <w:rPr>
          <w:rFonts w:hint="eastAsia" w:ascii="仿宋_GB2312" w:eastAsia="仿宋_GB2312"/>
          <w:color w:val="000000"/>
          <w:sz w:val="32"/>
          <w:szCs w:val="32"/>
        </w:rPr>
        <w:t>（二）发展计划股。负责县列科技计划项目的考察、论证、立项和组织实施。协调国家、省、市科技项目的申报和衔接。负责全县科技体制建设，编制全县中长期科技发展规划和年度计划。负责科技创新主体培育、认定及相关补助资金发放，做好项目经费的管理和使用。组织科技成果登记、管理和激励，科技成果推广。协调乡镇、部门、院校、企业开展科技合作。负责科技特派员选派、督察、指导、考核和奖惩工作。负责全县科技宣传培训工作。</w:t>
      </w:r>
    </w:p>
    <w:p w14:paraId="4A74B102">
      <w:pPr>
        <w:keepNext w:val="0"/>
        <w:keepLines w:val="0"/>
        <w:pageBreakBefore w:val="0"/>
        <w:kinsoku/>
        <w:wordWrap/>
        <w:overflowPunct/>
        <w:topLinePunct w:val="0"/>
        <w:autoSpaceDE/>
        <w:autoSpaceDN/>
        <w:bidi w:val="0"/>
        <w:spacing w:line="600" w:lineRule="exact"/>
        <w:ind w:left="0" w:leftChars="0" w:right="0"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三）引智办。协助聘请国（境）外专家开展技术咨询和业务指导等服务。派出工程技术和管理人员到国（境）进行专项技术技能培训实习和交流合作。协助有关部门与国（境）外有关组织开展国际人才智力交流活动。开展县内国际人才智力交流机构合作，引导、协助创建引智成果示范园（基地、工作站）及科技含量高、市场竞争力强的外向型骨干企业。协助市外专局完成县属聘外单位年检工作。</w:t>
      </w:r>
    </w:p>
    <w:p w14:paraId="316EA88B">
      <w:pPr>
        <w:spacing w:line="600" w:lineRule="exact"/>
        <w:ind w:firstLine="643" w:firstLineChars="200"/>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（二）参照公务员法管理单位</w:t>
      </w:r>
    </w:p>
    <w:p w14:paraId="27E158B5">
      <w:pPr>
        <w:spacing w:line="60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华池县科学技术局是县政府工作部门,为正科级。加挂华池县外国专家局牌子。</w:t>
      </w:r>
    </w:p>
    <w:p w14:paraId="1A18BC42">
      <w:pPr>
        <w:spacing w:line="600" w:lineRule="exact"/>
        <w:ind w:firstLine="643" w:firstLineChars="200"/>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（三）直属事业单位</w:t>
      </w:r>
    </w:p>
    <w:p w14:paraId="0A3CF3F6">
      <w:pPr>
        <w:keepNext w:val="0"/>
        <w:keepLines w:val="0"/>
        <w:pageBreakBefore w:val="0"/>
        <w:kinsoku/>
        <w:wordWrap/>
        <w:overflowPunct/>
        <w:topLinePunct w:val="0"/>
        <w:autoSpaceDE/>
        <w:autoSpaceDN/>
        <w:bidi w:val="0"/>
        <w:spacing w:line="600" w:lineRule="exact"/>
        <w:ind w:left="0" w:leftChars="0" w:right="0" w:firstLine="640" w:firstLineChars="200"/>
        <w:jc w:val="both"/>
        <w:textAlignment w:val="auto"/>
        <w:rPr>
          <w:rFonts w:hint="eastAsia" w:ascii="仿宋_GB2312" w:eastAsia="仿宋_GB2312"/>
          <w:color w:val="000000"/>
          <w:sz w:val="32"/>
          <w:szCs w:val="32"/>
          <w:lang w:eastAsia="zh-CN"/>
        </w:rPr>
      </w:pPr>
      <w:r>
        <w:rPr>
          <w:rFonts w:hint="eastAsia" w:ascii="仿宋_GB2312" w:eastAsia="仿宋_GB2312"/>
          <w:color w:val="000000"/>
          <w:sz w:val="32"/>
          <w:szCs w:val="32"/>
        </w:rPr>
        <w:t>华池县科学技术局所属事业单位</w:t>
      </w:r>
      <w:r>
        <w:rPr>
          <w:rFonts w:hint="eastAsia" w:ascii="仿宋_GB2312" w:eastAsia="仿宋_GB2312"/>
          <w:color w:val="000000"/>
          <w:sz w:val="32"/>
          <w:szCs w:val="32"/>
          <w:lang w:eastAsia="zh-CN"/>
        </w:rPr>
        <w:t>信息产业服务中心。</w:t>
      </w:r>
    </w:p>
    <w:p w14:paraId="154D8898">
      <w:pPr>
        <w:spacing w:line="60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三、部门/单位收支总体情况</w:t>
      </w:r>
    </w:p>
    <w:p w14:paraId="10AF1836">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按照预算管理有关规定，</w:t>
      </w:r>
      <w:r>
        <w:rPr>
          <w:rFonts w:hint="eastAsia" w:ascii="仿宋_GB2312" w:hAnsi="仿宋" w:eastAsia="仿宋_GB2312" w:cs="宋体"/>
          <w:kern w:val="0"/>
          <w:sz w:val="32"/>
          <w:szCs w:val="32"/>
          <w:lang w:eastAsia="zh-CN"/>
        </w:rPr>
        <w:t>202</w:t>
      </w:r>
      <w:r>
        <w:rPr>
          <w:rFonts w:hint="default"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年部门（单位）收支包括机关预算和直属单位预算在内的汇总情况。</w:t>
      </w:r>
    </w:p>
    <w:p w14:paraId="02D85CDC">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lang w:eastAsia="zh-CN"/>
        </w:rPr>
        <w:t>202</w:t>
      </w:r>
      <w:r>
        <w:rPr>
          <w:rFonts w:hint="default"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年部门收支总预算</w:t>
      </w:r>
      <w:r>
        <w:rPr>
          <w:rFonts w:hint="eastAsia" w:ascii="仿宋_GB2312" w:hAnsi="仿宋" w:eastAsia="仿宋_GB2312" w:cs="宋体"/>
          <w:kern w:val="0"/>
          <w:sz w:val="32"/>
          <w:szCs w:val="32"/>
          <w:lang w:val="en-US" w:eastAsia="zh-CN"/>
        </w:rPr>
        <w:t>496.74</w:t>
      </w:r>
      <w:r>
        <w:rPr>
          <w:rFonts w:hint="eastAsia" w:ascii="仿宋_GB2312" w:hAnsi="仿宋" w:eastAsia="仿宋_GB2312" w:cs="宋体"/>
          <w:kern w:val="0"/>
          <w:sz w:val="32"/>
          <w:szCs w:val="32"/>
        </w:rPr>
        <w:t>万元。按照综合预算的原则，部门（单位）所有收入和支出均纳入部门预算管理。收入包括：一般公共预算拨款收入、政府性基金预算拨款收入、事业收入、事业单位经营收入、其他收入、使用非财政拨款结余、上年结转；支出包括：一般公共服务支出、公共安全支出、科学技术支出、社会保障和就业支出、卫生健康支出、交通运输支出、住房保障支出、其他支出。</w:t>
      </w:r>
    </w:p>
    <w:p w14:paraId="78846D78">
      <w:pPr>
        <w:spacing w:line="600" w:lineRule="exact"/>
        <w:ind w:firstLine="643" w:firstLineChars="200"/>
        <w:rPr>
          <w:rFonts w:ascii="楷体_GB2312" w:hAnsi="楷体" w:eastAsia="楷体_GB2312"/>
          <w:sz w:val="32"/>
          <w:szCs w:val="32"/>
        </w:rPr>
      </w:pPr>
      <w:r>
        <w:rPr>
          <w:rFonts w:hint="eastAsia" w:ascii="楷体_GB2312" w:hAnsi="楷体" w:eastAsia="楷体_GB2312" w:cs="宋体"/>
          <w:b/>
          <w:bCs/>
          <w:kern w:val="0"/>
          <w:sz w:val="32"/>
          <w:szCs w:val="32"/>
        </w:rPr>
        <w:t>（一）收入预算</w:t>
      </w:r>
    </w:p>
    <w:p w14:paraId="7E3AB6EB">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年收入预算</w:t>
      </w:r>
      <w:r>
        <w:rPr>
          <w:rFonts w:hint="eastAsia" w:ascii="仿宋_GB2312" w:hAnsi="仿宋" w:eastAsia="仿宋_GB2312"/>
          <w:sz w:val="32"/>
          <w:szCs w:val="32"/>
          <w:lang w:val="en-US" w:eastAsia="zh-CN"/>
        </w:rPr>
        <w:t>496.74</w:t>
      </w:r>
      <w:r>
        <w:rPr>
          <w:rFonts w:hint="eastAsia" w:ascii="仿宋_GB2312" w:hAnsi="仿宋" w:eastAsia="仿宋_GB2312"/>
          <w:sz w:val="32"/>
          <w:szCs w:val="32"/>
        </w:rPr>
        <w:t>万元（详见部门/单位预算公开表1,2）。包括：</w:t>
      </w:r>
    </w:p>
    <w:p w14:paraId="14E911E5">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一般公共预算收入</w:t>
      </w:r>
      <w:r>
        <w:rPr>
          <w:rFonts w:hint="eastAsia" w:ascii="仿宋_GB2312" w:hAnsi="仿宋" w:eastAsia="仿宋_GB2312"/>
          <w:sz w:val="32"/>
          <w:szCs w:val="32"/>
          <w:lang w:val="en-US" w:eastAsia="zh-CN"/>
        </w:rPr>
        <w:t>496.74</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100</w:t>
      </w:r>
      <w:r>
        <w:rPr>
          <w:rFonts w:hint="eastAsia" w:ascii="仿宋_GB2312" w:hAnsi="仿宋" w:eastAsia="仿宋_GB2312"/>
          <w:sz w:val="32"/>
          <w:szCs w:val="32"/>
        </w:rPr>
        <w:t>%；</w:t>
      </w:r>
    </w:p>
    <w:p w14:paraId="6DC38958">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政府性基金预算收入</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0</w:t>
      </w:r>
      <w:r>
        <w:rPr>
          <w:rFonts w:hint="eastAsia" w:ascii="仿宋_GB2312" w:hAnsi="仿宋" w:eastAsia="仿宋_GB2312"/>
          <w:sz w:val="32"/>
          <w:szCs w:val="32"/>
        </w:rPr>
        <w:t>%；</w:t>
      </w:r>
    </w:p>
    <w:p w14:paraId="7ABC9C50">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上年结转收入</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0</w:t>
      </w:r>
      <w:r>
        <w:rPr>
          <w:rFonts w:hint="eastAsia" w:ascii="仿宋_GB2312" w:hAnsi="仿宋" w:eastAsia="仿宋_GB2312"/>
          <w:sz w:val="32"/>
          <w:szCs w:val="32"/>
        </w:rPr>
        <w:t>%；</w:t>
      </w:r>
    </w:p>
    <w:p w14:paraId="06AE385C">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其他收入</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0</w:t>
      </w:r>
      <w:r>
        <w:rPr>
          <w:rFonts w:hint="eastAsia" w:ascii="仿宋_GB2312" w:hAnsi="仿宋" w:eastAsia="仿宋_GB2312"/>
          <w:sz w:val="32"/>
          <w:szCs w:val="32"/>
        </w:rPr>
        <w:t>%。</w:t>
      </w:r>
    </w:p>
    <w:p w14:paraId="2217B580">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（二）支出预算</w:t>
      </w:r>
    </w:p>
    <w:p w14:paraId="356FC486">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年支出预算</w:t>
      </w:r>
      <w:r>
        <w:rPr>
          <w:rFonts w:hint="eastAsia" w:ascii="仿宋_GB2312" w:hAnsi="仿宋" w:eastAsia="仿宋_GB2312"/>
          <w:sz w:val="32"/>
          <w:szCs w:val="32"/>
          <w:lang w:val="en-US" w:eastAsia="zh-CN"/>
        </w:rPr>
        <w:t>496.74</w:t>
      </w:r>
      <w:r>
        <w:rPr>
          <w:rFonts w:hint="eastAsia" w:ascii="仿宋_GB2312" w:hAnsi="仿宋" w:eastAsia="仿宋_GB2312"/>
          <w:sz w:val="32"/>
          <w:szCs w:val="32"/>
        </w:rPr>
        <w:t>万元（详见部门/单位预算公开表3）。</w:t>
      </w:r>
      <w:r>
        <w:rPr>
          <w:rStyle w:val="20"/>
          <w:rFonts w:hint="default" w:hAnsi="仿宋"/>
        </w:rPr>
        <w:t>其中：基本支出</w:t>
      </w:r>
      <w:r>
        <w:rPr>
          <w:rStyle w:val="21"/>
          <w:rFonts w:hint="eastAsia" w:ascii="仿宋_GB2312" w:hAnsi="仿宋" w:eastAsia="仿宋_GB2312"/>
          <w:lang w:val="en-US" w:eastAsia="zh-CN"/>
        </w:rPr>
        <w:t>310.14</w:t>
      </w:r>
      <w:r>
        <w:rPr>
          <w:rStyle w:val="20"/>
          <w:rFonts w:hint="default" w:hAnsi="仿宋"/>
        </w:rPr>
        <w:t>万元， 占</w:t>
      </w:r>
      <w:r>
        <w:rPr>
          <w:rStyle w:val="20"/>
          <w:rFonts w:hint="eastAsia" w:hAnsi="仿宋" w:eastAsia="仿宋_GB2312"/>
          <w:lang w:val="en-US" w:eastAsia="zh-CN"/>
        </w:rPr>
        <w:t>62.44</w:t>
      </w:r>
      <w:r>
        <w:rPr>
          <w:rStyle w:val="21"/>
          <w:rFonts w:hint="eastAsia" w:ascii="仿宋_GB2312" w:hAnsi="仿宋" w:eastAsia="仿宋_GB2312"/>
        </w:rPr>
        <w:t>%</w:t>
      </w:r>
      <w:r>
        <w:rPr>
          <w:rStyle w:val="20"/>
          <w:rFonts w:hint="default" w:hAnsi="仿宋"/>
        </w:rPr>
        <w:t>； 项目支出</w:t>
      </w:r>
      <w:r>
        <w:rPr>
          <w:rStyle w:val="20"/>
          <w:rFonts w:hint="eastAsia" w:hAnsi="仿宋" w:eastAsia="仿宋_GB2312"/>
          <w:lang w:val="en-US" w:eastAsia="zh-CN"/>
        </w:rPr>
        <w:t>186.6</w:t>
      </w:r>
      <w:r>
        <w:rPr>
          <w:rStyle w:val="20"/>
          <w:rFonts w:hint="default" w:hAnsi="仿宋"/>
        </w:rPr>
        <w:t>万元，占</w:t>
      </w:r>
      <w:r>
        <w:rPr>
          <w:rStyle w:val="21"/>
          <w:rFonts w:hint="eastAsia" w:ascii="仿宋_GB2312" w:hAnsi="仿宋" w:eastAsia="仿宋_GB2312"/>
          <w:lang w:val="en-US" w:eastAsia="zh-CN"/>
        </w:rPr>
        <w:t>37.56</w:t>
      </w:r>
      <w:r>
        <w:rPr>
          <w:rStyle w:val="21"/>
          <w:rFonts w:hint="eastAsia" w:ascii="仿宋_GB2312" w:hAnsi="仿宋" w:eastAsia="仿宋_GB2312"/>
        </w:rPr>
        <w:t>%</w:t>
      </w:r>
      <w:r>
        <w:rPr>
          <w:rStyle w:val="20"/>
          <w:rFonts w:hint="default" w:hAnsi="仿宋"/>
        </w:rPr>
        <w:t>； 上年结转</w:t>
      </w:r>
      <w:r>
        <w:rPr>
          <w:rStyle w:val="21"/>
          <w:rFonts w:hint="eastAsia" w:ascii="仿宋_GB2312" w:hAnsi="仿宋" w:eastAsia="仿宋_GB2312"/>
          <w:lang w:val="en-US" w:eastAsia="zh-CN"/>
        </w:rPr>
        <w:t>0</w:t>
      </w:r>
      <w:r>
        <w:rPr>
          <w:rStyle w:val="20"/>
          <w:rFonts w:hint="default" w:hAnsi="仿宋"/>
        </w:rPr>
        <w:t>万元，占</w:t>
      </w:r>
      <w:r>
        <w:rPr>
          <w:rStyle w:val="21"/>
          <w:rFonts w:hint="eastAsia" w:ascii="仿宋_GB2312" w:hAnsi="仿宋" w:eastAsia="仿宋_GB2312"/>
          <w:lang w:val="en-US" w:eastAsia="zh-CN"/>
        </w:rPr>
        <w:t>0</w:t>
      </w:r>
      <w:r>
        <w:rPr>
          <w:rStyle w:val="21"/>
          <w:rFonts w:hint="eastAsia" w:ascii="仿宋_GB2312" w:hAnsi="仿宋" w:eastAsia="仿宋_GB2312"/>
        </w:rPr>
        <w:t>%</w:t>
      </w:r>
      <w:r>
        <w:rPr>
          <w:rStyle w:val="20"/>
          <w:rFonts w:hint="default" w:hAnsi="仿宋"/>
        </w:rPr>
        <w:t>。</w:t>
      </w:r>
    </w:p>
    <w:p w14:paraId="7D7ADD50">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四、一般公共预算情况</w:t>
      </w:r>
    </w:p>
    <w:p w14:paraId="0F3C656B">
      <w:pPr>
        <w:widowControl/>
        <w:adjustRightInd w:val="0"/>
        <w:snapToGrid w:val="0"/>
        <w:spacing w:line="640" w:lineRule="exact"/>
        <w:ind w:firstLine="640" w:firstLineChars="200"/>
        <w:contextualSpacing/>
        <w:jc w:val="left"/>
        <w:rPr>
          <w:rFonts w:ascii="仿宋_GB2312" w:hAnsi="仿宋" w:eastAsia="仿宋_GB2312"/>
          <w:sz w:val="32"/>
          <w:szCs w:val="32"/>
        </w:rPr>
      </w:pPr>
      <w:r>
        <w:rPr>
          <w:rStyle w:val="21"/>
          <w:rFonts w:hint="eastAsia" w:ascii="仿宋_GB2312" w:hAnsi="仿宋" w:eastAsia="仿宋_GB2312"/>
          <w:lang w:eastAsia="zh-CN"/>
        </w:rPr>
        <w:t>202</w:t>
      </w:r>
      <w:r>
        <w:rPr>
          <w:rStyle w:val="21"/>
          <w:rFonts w:hint="default" w:ascii="仿宋_GB2312" w:hAnsi="仿宋" w:eastAsia="仿宋_GB2312"/>
          <w:lang w:val="en-US" w:eastAsia="zh-CN"/>
        </w:rPr>
        <w:t>6</w:t>
      </w:r>
      <w:r>
        <w:rPr>
          <w:rStyle w:val="20"/>
          <w:rFonts w:hint="default" w:hAnsi="仿宋"/>
        </w:rPr>
        <w:t>年一般公共预算当年支出</w:t>
      </w:r>
      <w:r>
        <w:rPr>
          <w:rStyle w:val="21"/>
          <w:rFonts w:hint="eastAsia" w:ascii="仿宋_GB2312" w:hAnsi="仿宋" w:eastAsia="仿宋_GB2312"/>
          <w:lang w:val="en-US" w:eastAsia="zh-CN"/>
        </w:rPr>
        <w:t>496.74</w:t>
      </w:r>
      <w:r>
        <w:rPr>
          <w:rStyle w:val="20"/>
          <w:rFonts w:hint="default" w:hAnsi="仿宋"/>
        </w:rPr>
        <w:t>万元，包括：科学技术支出</w:t>
      </w:r>
      <w:r>
        <w:rPr>
          <w:rStyle w:val="21"/>
          <w:rFonts w:hint="eastAsia" w:ascii="仿宋_GB2312" w:hAnsi="仿宋" w:eastAsia="仿宋_GB2312"/>
          <w:lang w:val="en-US" w:eastAsia="zh-CN"/>
        </w:rPr>
        <w:t>416.6</w:t>
      </w:r>
      <w:r>
        <w:rPr>
          <w:rStyle w:val="20"/>
          <w:rFonts w:hint="default" w:hAnsi="仿宋"/>
        </w:rPr>
        <w:t>万元、社会保障和就业支出</w:t>
      </w:r>
      <w:r>
        <w:rPr>
          <w:rStyle w:val="20"/>
          <w:rFonts w:hint="eastAsia" w:hAnsi="仿宋" w:eastAsia="仿宋_GB2312"/>
          <w:lang w:val="en-US" w:eastAsia="zh-CN"/>
        </w:rPr>
        <w:t>44.55</w:t>
      </w:r>
      <w:r>
        <w:rPr>
          <w:rStyle w:val="20"/>
          <w:rFonts w:hint="default" w:hAnsi="仿宋"/>
        </w:rPr>
        <w:t>万元、</w:t>
      </w:r>
      <w:r>
        <w:rPr>
          <w:rStyle w:val="20"/>
          <w:rFonts w:hint="eastAsia" w:hAnsi="仿宋" w:eastAsia="仿宋_GB2312"/>
          <w:lang w:eastAsia="zh-CN"/>
        </w:rPr>
        <w:t>卫生健康</w:t>
      </w:r>
      <w:r>
        <w:rPr>
          <w:rStyle w:val="20"/>
          <w:rFonts w:hint="default" w:hAnsi="仿宋"/>
        </w:rPr>
        <w:t>支出</w:t>
      </w:r>
      <w:r>
        <w:rPr>
          <w:rStyle w:val="21"/>
          <w:rFonts w:hint="eastAsia" w:ascii="仿宋_GB2312" w:hAnsi="仿宋" w:eastAsia="仿宋_GB2312"/>
          <w:lang w:val="en-US" w:eastAsia="zh-CN"/>
        </w:rPr>
        <w:t>14.7</w:t>
      </w:r>
      <w:r>
        <w:rPr>
          <w:rStyle w:val="20"/>
          <w:rFonts w:hint="eastAsia" w:hAnsi="仿宋" w:eastAsia="仿宋_GB2312"/>
          <w:lang w:eastAsia="zh-CN"/>
        </w:rPr>
        <w:t>、</w:t>
      </w:r>
      <w:r>
        <w:rPr>
          <w:rStyle w:val="20"/>
          <w:rFonts w:hint="eastAsia" w:hAnsi="仿宋" w:eastAsia="仿宋_GB2312"/>
          <w:lang w:val="en-US" w:eastAsia="zh-CN"/>
        </w:rPr>
        <w:t>住房保障支出20.89万元</w:t>
      </w:r>
      <w:r>
        <w:rPr>
          <w:rStyle w:val="20"/>
          <w:rFonts w:hint="default" w:hAnsi="仿宋"/>
        </w:rPr>
        <w:t>。</w:t>
      </w:r>
      <w:r>
        <w:rPr>
          <w:rFonts w:hint="eastAsia" w:ascii="仿宋_GB2312" w:hAnsi="仿宋" w:eastAsia="仿宋_GB2312"/>
          <w:sz w:val="32"/>
          <w:szCs w:val="32"/>
        </w:rPr>
        <w:t>具体安排情况如下</w:t>
      </w:r>
      <w:r>
        <w:rPr>
          <w:rFonts w:hint="eastAsia" w:ascii="仿宋_GB2312" w:hAnsi="微软雅黑" w:eastAsia="仿宋_GB2312"/>
          <w:sz w:val="32"/>
          <w:szCs w:val="32"/>
        </w:rPr>
        <w:t>（详见部门（单位）预算公开表4,5,6,7）</w:t>
      </w:r>
      <w:r>
        <w:rPr>
          <w:rFonts w:hint="eastAsia" w:ascii="仿宋_GB2312" w:hAnsi="仿宋" w:eastAsia="仿宋_GB2312"/>
          <w:sz w:val="32"/>
          <w:szCs w:val="32"/>
        </w:rPr>
        <w:t>：</w:t>
      </w:r>
    </w:p>
    <w:p w14:paraId="59725234">
      <w:pPr>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（一）基本支出</w:t>
      </w:r>
    </w:p>
    <w:p w14:paraId="1AE41538">
      <w:pPr>
        <w:widowControl/>
        <w:spacing w:line="640" w:lineRule="exact"/>
        <w:ind w:firstLine="640" w:firstLineChars="200"/>
        <w:contextualSpacing/>
        <w:jc w:val="left"/>
        <w:rPr>
          <w:rFonts w:hint="eastAsia" w:ascii="仿宋_GB2312" w:hAnsi="仿宋" w:eastAsia="仿宋_GB2312"/>
          <w:sz w:val="32"/>
          <w:szCs w:val="32"/>
          <w:lang w:eastAsia="zh-CN"/>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年基本支出</w:t>
      </w:r>
      <w:r>
        <w:rPr>
          <w:rFonts w:hint="eastAsia" w:ascii="仿宋_GB2312" w:hAnsi="仿宋" w:eastAsia="仿宋_GB2312"/>
          <w:sz w:val="32"/>
          <w:szCs w:val="32"/>
          <w:lang w:val="en-US" w:eastAsia="zh-CN"/>
        </w:rPr>
        <w:t>310.14</w:t>
      </w:r>
      <w:r>
        <w:rPr>
          <w:rFonts w:hint="eastAsia" w:ascii="仿宋_GB2312" w:hAnsi="仿宋" w:eastAsia="仿宋_GB2312"/>
          <w:sz w:val="32"/>
          <w:szCs w:val="32"/>
        </w:rPr>
        <w:t>万元，比</w:t>
      </w: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5</w:t>
      </w:r>
      <w:r>
        <w:rPr>
          <w:rFonts w:hint="eastAsia" w:ascii="仿宋_GB2312" w:hAnsi="仿宋" w:eastAsia="仿宋_GB2312"/>
          <w:sz w:val="32"/>
          <w:szCs w:val="32"/>
        </w:rPr>
        <w:t>年预算增加</w:t>
      </w:r>
      <w:r>
        <w:rPr>
          <w:rFonts w:hint="eastAsia" w:ascii="仿宋_GB2312" w:hAnsi="仿宋" w:eastAsia="仿宋_GB2312"/>
          <w:sz w:val="32"/>
          <w:szCs w:val="32"/>
          <w:lang w:val="en-US" w:eastAsia="zh-CN"/>
        </w:rPr>
        <w:t>49.11</w:t>
      </w:r>
      <w:r>
        <w:rPr>
          <w:rFonts w:hint="eastAsia" w:ascii="仿宋_GB2312" w:hAnsi="仿宋" w:eastAsia="仿宋_GB2312"/>
          <w:sz w:val="32"/>
          <w:szCs w:val="32"/>
        </w:rPr>
        <w:t>万元，增长</w:t>
      </w:r>
      <w:r>
        <w:rPr>
          <w:rFonts w:hint="eastAsia" w:ascii="仿宋_GB2312" w:hAnsi="仿宋" w:eastAsia="仿宋_GB2312"/>
          <w:sz w:val="32"/>
          <w:szCs w:val="32"/>
          <w:lang w:val="en-US" w:eastAsia="zh-CN"/>
        </w:rPr>
        <w:t>15.8</w:t>
      </w:r>
      <w:r>
        <w:rPr>
          <w:rFonts w:hint="eastAsia" w:ascii="仿宋_GB2312" w:hAnsi="仿宋" w:eastAsia="仿宋_GB2312"/>
          <w:sz w:val="32"/>
          <w:szCs w:val="32"/>
        </w:rPr>
        <w:t>%，增长（下降）的主要原因是</w:t>
      </w:r>
      <w:r>
        <w:rPr>
          <w:rFonts w:hint="eastAsia" w:ascii="仿宋_GB2312" w:hAnsi="仿宋" w:eastAsia="仿宋_GB2312"/>
          <w:sz w:val="32"/>
          <w:szCs w:val="32"/>
          <w:lang w:val="en-US" w:eastAsia="zh-CN"/>
        </w:rPr>
        <w:t>2026人事变动人员增加。</w:t>
      </w:r>
    </w:p>
    <w:p w14:paraId="70883497">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其中：人员经费支出</w:t>
      </w:r>
      <w:r>
        <w:rPr>
          <w:rFonts w:hint="eastAsia" w:ascii="仿宋_GB2312" w:hAnsi="仿宋" w:eastAsia="仿宋_GB2312"/>
          <w:sz w:val="32"/>
          <w:szCs w:val="32"/>
          <w:lang w:val="en-US" w:eastAsia="zh-CN"/>
        </w:rPr>
        <w:t>281.79</w:t>
      </w:r>
      <w:r>
        <w:rPr>
          <w:rFonts w:hint="eastAsia" w:ascii="仿宋_GB2312" w:hAnsi="仿宋" w:eastAsia="仿宋_GB2312"/>
          <w:sz w:val="32"/>
          <w:szCs w:val="32"/>
        </w:rPr>
        <w:t>万元，主要包括：基本工资、津贴补贴、奖金、伙食补助费、绩效工资、机关事业单位基本养老保险缴费、职业年金缴费、职工基本医疗保险缴费、公务员医疗补助缴费、其他社会保障缴费、住房公积金、医疗费、其他工资福利支出、医疗费补助、奖励金、其他对个人和家庭的补助等。</w:t>
      </w:r>
    </w:p>
    <w:p w14:paraId="5167C9CF">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公用经费支出</w:t>
      </w:r>
      <w:r>
        <w:rPr>
          <w:rFonts w:hint="eastAsia" w:ascii="仿宋_GB2312" w:hAnsi="仿宋" w:eastAsia="仿宋_GB2312"/>
          <w:sz w:val="32"/>
          <w:szCs w:val="32"/>
          <w:lang w:val="en-US" w:eastAsia="zh-CN"/>
        </w:rPr>
        <w:t>28.35</w:t>
      </w:r>
      <w:r>
        <w:rPr>
          <w:rFonts w:hint="eastAsia" w:ascii="仿宋_GB2312" w:hAnsi="仿宋" w:eastAsia="仿宋_GB2312"/>
          <w:sz w:val="32"/>
          <w:szCs w:val="32"/>
        </w:rPr>
        <w:t>万元，主要包括：办公费、印刷费、咨询费、手续费、水费、电费、邮电费、取暖费、物业管理费、差旅费、因公出国（境）费、维修（护）费、会议费、培训费、公务接待费、劳务费、委托业务费、工会经费、福利费、公务用车运行维护费、其他交通费用、其他商品和服务支出、办公设备购置等。</w:t>
      </w:r>
    </w:p>
    <w:p w14:paraId="47B79818">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（二）项目支出</w:t>
      </w:r>
    </w:p>
    <w:p w14:paraId="7CD387F4">
      <w:pPr>
        <w:keepNext w:val="0"/>
        <w:keepLines w:val="0"/>
        <w:pageBreakBefore w:val="0"/>
        <w:widowControl/>
        <w:kinsoku/>
        <w:wordWrap/>
        <w:overflowPunct/>
        <w:topLinePunct w:val="0"/>
        <w:autoSpaceDE/>
        <w:autoSpaceDN/>
        <w:bidi w:val="0"/>
        <w:adjustRightInd w:val="0"/>
        <w:snapToGrid w:val="0"/>
        <w:spacing w:line="600" w:lineRule="exact"/>
        <w:ind w:left="0" w:leftChars="0" w:right="0" w:firstLine="640" w:firstLineChars="200"/>
        <w:contextualSpacing/>
        <w:jc w:val="both"/>
        <w:textAlignment w:val="auto"/>
        <w:rPr>
          <w:rFonts w:hint="eastAsia" w:ascii="仿宋_GB2312" w:hAnsi="仿宋" w:eastAsia="仿宋_GB2312"/>
          <w:sz w:val="32"/>
          <w:szCs w:val="32"/>
          <w:lang w:val="en-US" w:eastAsia="zh-CN"/>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年一般公共预算财政拨款项目支出预算</w:t>
      </w:r>
      <w:r>
        <w:rPr>
          <w:rFonts w:hint="eastAsia" w:ascii="仿宋_GB2312" w:hAnsi="仿宋" w:eastAsia="仿宋_GB2312"/>
          <w:sz w:val="32"/>
          <w:szCs w:val="32"/>
          <w:lang w:val="en-US" w:eastAsia="zh-CN"/>
        </w:rPr>
        <w:t>186.6</w:t>
      </w:r>
      <w:r>
        <w:rPr>
          <w:rFonts w:hint="eastAsia" w:ascii="仿宋_GB2312" w:hAnsi="仿宋" w:eastAsia="仿宋_GB2312"/>
          <w:sz w:val="32"/>
          <w:szCs w:val="32"/>
        </w:rPr>
        <w:t>万元，</w:t>
      </w:r>
      <w:r>
        <w:rPr>
          <w:rFonts w:hint="eastAsia" w:ascii="仿宋_GB2312" w:hAnsi="仿宋" w:eastAsia="仿宋_GB2312"/>
          <w:sz w:val="32"/>
          <w:szCs w:val="32"/>
          <w:lang w:val="en-US" w:eastAsia="zh-CN"/>
        </w:rPr>
        <w:t>比</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w:t>
      </w:r>
      <w:r>
        <w:rPr>
          <w:rFonts w:hint="eastAsia" w:ascii="仿宋_GB2312" w:hAnsi="仿宋" w:eastAsia="仿宋_GB2312"/>
          <w:sz w:val="32"/>
          <w:szCs w:val="32"/>
          <w:lang w:val="en-US" w:eastAsia="zh-CN"/>
        </w:rPr>
        <w:t>增加10万元，</w:t>
      </w:r>
      <w:r>
        <w:rPr>
          <w:rFonts w:hint="eastAsia" w:ascii="仿宋_GB2312" w:hAnsi="仿宋" w:eastAsia="仿宋_GB2312"/>
          <w:sz w:val="32"/>
          <w:szCs w:val="32"/>
        </w:rPr>
        <w:t>主要原因是</w:t>
      </w:r>
      <w:r>
        <w:rPr>
          <w:rFonts w:hint="eastAsia" w:ascii="仿宋_GB2312" w:hAnsi="仿宋" w:eastAsia="仿宋_GB2312"/>
          <w:sz w:val="32"/>
          <w:szCs w:val="32"/>
          <w:lang w:val="en-US" w:eastAsia="zh-CN"/>
        </w:rPr>
        <w:t>2026年项目预算增加了“十五五”科技创新发展规划费。</w:t>
      </w:r>
    </w:p>
    <w:p w14:paraId="69DACD44">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 xml:space="preserve">经济社会发展项目 </w:t>
      </w:r>
      <w:r>
        <w:rPr>
          <w:rFonts w:hint="eastAsia" w:ascii="仿宋_GB2312" w:hAnsi="仿宋" w:eastAsia="仿宋_GB2312"/>
          <w:sz w:val="32"/>
          <w:szCs w:val="32"/>
          <w:lang w:val="en-US" w:eastAsia="zh-CN"/>
        </w:rPr>
        <w:t>3</w:t>
      </w:r>
      <w:r>
        <w:rPr>
          <w:rFonts w:hint="eastAsia" w:ascii="仿宋_GB2312" w:hAnsi="仿宋" w:eastAsia="仿宋_GB2312"/>
          <w:sz w:val="32"/>
          <w:szCs w:val="32"/>
        </w:rPr>
        <w:t>个，主要是项目1科技计划项目及经费、项目2科技特派员及试点工作经费、项目3</w:t>
      </w:r>
      <w:r>
        <w:rPr>
          <w:rFonts w:hint="eastAsia" w:ascii="仿宋_GB2312" w:hAnsi="仿宋" w:eastAsia="仿宋_GB2312"/>
          <w:sz w:val="32"/>
          <w:szCs w:val="32"/>
          <w:lang w:val="en-US" w:eastAsia="zh-CN"/>
        </w:rPr>
        <w:t>科技奖励专项</w:t>
      </w:r>
      <w:r>
        <w:rPr>
          <w:rFonts w:hint="eastAsia" w:ascii="仿宋_GB2312" w:hAnsi="仿宋" w:eastAsia="仿宋_GB2312"/>
          <w:sz w:val="32"/>
          <w:szCs w:val="32"/>
        </w:rPr>
        <w:t>。</w:t>
      </w:r>
    </w:p>
    <w:p w14:paraId="2CA5B858">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（三）支出功能分类说明</w:t>
      </w:r>
    </w:p>
    <w:p w14:paraId="429FACD3">
      <w:pPr>
        <w:keepNext w:val="0"/>
        <w:keepLines w:val="0"/>
        <w:pageBreakBefore w:val="0"/>
        <w:widowControl/>
        <w:kinsoku/>
        <w:wordWrap/>
        <w:overflowPunct/>
        <w:topLinePunct w:val="0"/>
        <w:autoSpaceDE/>
        <w:autoSpaceDN/>
        <w:bidi w:val="0"/>
        <w:adjustRightInd w:val="0"/>
        <w:snapToGrid w:val="0"/>
        <w:spacing w:line="600" w:lineRule="exact"/>
        <w:ind w:left="0" w:leftChars="0" w:right="0" w:firstLine="640" w:firstLineChars="200"/>
        <w:contextualSpacing/>
        <w:jc w:val="both"/>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rPr>
        <w:t>2060101 行政运行</w:t>
      </w:r>
      <w:r>
        <w:rPr>
          <w:rFonts w:hint="eastAsia" w:ascii="仿宋_GB2312" w:eastAsia="仿宋_GB2312"/>
          <w:color w:val="000000"/>
          <w:sz w:val="32"/>
          <w:szCs w:val="32"/>
          <w:lang w:val="en-US" w:eastAsia="zh-CN"/>
        </w:rPr>
        <w:t>230万元；2060199 其他科学技术管理事务支出76.6万元；2060499 其他技术研究与开发支出80万元；2069901 科技条件专项30万元；2080505 机关事业单位基本养老保险缴费支出28.74万元；2080506 机关事业单位职业年金缴费支出13.93万元；2080899 其他优抚支出0.35万元；2089999 其他社会保障和就业支出1.53万元；2101101 行政单位医疗14.7万元；2210201 住房公积金20.89万元。</w:t>
      </w:r>
    </w:p>
    <w:p w14:paraId="0A65071F">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五、部门（单位）一般公共预算财政拨款“三公”经费、培训费、会议费等情况</w:t>
      </w:r>
    </w:p>
    <w:p w14:paraId="1A1EA64C">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（一）“三公”经费情况说明</w:t>
      </w:r>
    </w:p>
    <w:p w14:paraId="37B03D70">
      <w:pPr>
        <w:keepNext w:val="0"/>
        <w:keepLines w:val="0"/>
        <w:pageBreakBefore w:val="0"/>
        <w:kinsoku/>
        <w:wordWrap/>
        <w:overflowPunct/>
        <w:topLinePunct w:val="0"/>
        <w:autoSpaceDE/>
        <w:autoSpaceDN/>
        <w:bidi w:val="0"/>
        <w:adjustRightInd w:val="0"/>
        <w:snapToGrid w:val="0"/>
        <w:spacing w:line="600" w:lineRule="exact"/>
        <w:ind w:left="0" w:leftChars="0" w:right="0" w:firstLine="640" w:firstLineChars="200"/>
        <w:contextualSpacing/>
        <w:jc w:val="both"/>
        <w:textAlignment w:val="auto"/>
        <w:rPr>
          <w:rFonts w:ascii="仿宋_GB2312" w:hAnsi="仿宋" w:eastAsia="仿宋_GB2312" w:cs="宋体"/>
          <w:b/>
          <w:kern w:val="0"/>
          <w:sz w:val="32"/>
          <w:szCs w:val="32"/>
        </w:rPr>
      </w:pPr>
      <w:r>
        <w:rPr>
          <w:rFonts w:hint="eastAsia" w:ascii="仿宋_GB2312" w:hAnsi="仿宋" w:eastAsia="仿宋_GB2312"/>
          <w:sz w:val="32"/>
          <w:szCs w:val="32"/>
        </w:rPr>
        <w:t>“三公”经费预算</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r>
        <w:rPr>
          <w:rFonts w:hint="eastAsia" w:ascii="仿宋_GB2312" w:hAnsi="仿宋" w:eastAsia="仿宋_GB2312"/>
          <w:sz w:val="32"/>
          <w:szCs w:val="32"/>
          <w:lang w:eastAsia="zh-CN"/>
        </w:rPr>
        <w:t>与</w:t>
      </w:r>
      <w:r>
        <w:rPr>
          <w:rFonts w:hint="eastAsia" w:ascii="仿宋_GB2312" w:hAnsi="仿宋" w:eastAsia="仿宋_GB2312"/>
          <w:sz w:val="32"/>
          <w:szCs w:val="32"/>
          <w:lang w:val="en-US" w:eastAsia="zh-CN"/>
        </w:rPr>
        <w:t>2025年持平</w:t>
      </w:r>
      <w:r>
        <w:rPr>
          <w:rFonts w:hint="eastAsia" w:ascii="仿宋_GB2312" w:hAnsi="仿宋" w:eastAsia="仿宋_GB2312"/>
          <w:sz w:val="32"/>
          <w:szCs w:val="32"/>
        </w:rPr>
        <w:t>。</w:t>
      </w:r>
    </w:p>
    <w:p w14:paraId="342575EB">
      <w:pPr>
        <w:keepNext w:val="0"/>
        <w:keepLines w:val="0"/>
        <w:pageBreakBefore w:val="0"/>
        <w:kinsoku/>
        <w:wordWrap/>
        <w:overflowPunct/>
        <w:topLinePunct w:val="0"/>
        <w:autoSpaceDE/>
        <w:autoSpaceDN/>
        <w:bidi w:val="0"/>
        <w:adjustRightInd w:val="0"/>
        <w:snapToGrid w:val="0"/>
        <w:spacing w:line="600" w:lineRule="exact"/>
        <w:ind w:left="0" w:leftChars="0" w:right="0" w:firstLine="640" w:firstLineChars="200"/>
        <w:contextualSpacing/>
        <w:jc w:val="both"/>
        <w:textAlignment w:val="auto"/>
        <w:rPr>
          <w:rFonts w:ascii="仿宋_GB2312" w:hAnsi="仿宋" w:eastAsia="仿宋_GB2312" w:cs="宋体"/>
          <w:b/>
          <w:kern w:val="0"/>
          <w:sz w:val="32"/>
          <w:szCs w:val="32"/>
        </w:rPr>
      </w:pPr>
      <w:r>
        <w:rPr>
          <w:rFonts w:hint="eastAsia" w:ascii="仿宋_GB2312" w:hAnsi="仿宋" w:eastAsia="仿宋_GB2312"/>
          <w:sz w:val="32"/>
          <w:szCs w:val="32"/>
        </w:rPr>
        <w:t>1.因公出国（境）费用</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r>
        <w:rPr>
          <w:rFonts w:hint="eastAsia" w:ascii="仿宋_GB2312" w:hAnsi="仿宋" w:eastAsia="仿宋_GB2312"/>
          <w:sz w:val="32"/>
          <w:szCs w:val="32"/>
          <w:lang w:eastAsia="zh-CN"/>
        </w:rPr>
        <w:t>与</w:t>
      </w:r>
      <w:r>
        <w:rPr>
          <w:rFonts w:hint="eastAsia" w:ascii="仿宋_GB2312" w:hAnsi="仿宋" w:eastAsia="仿宋_GB2312"/>
          <w:sz w:val="32"/>
          <w:szCs w:val="32"/>
          <w:lang w:val="en-US" w:eastAsia="zh-CN"/>
        </w:rPr>
        <w:t>2025年持平</w:t>
      </w:r>
      <w:r>
        <w:rPr>
          <w:rFonts w:hint="eastAsia" w:ascii="仿宋_GB2312" w:hAnsi="仿宋" w:eastAsia="仿宋_GB2312"/>
          <w:sz w:val="32"/>
          <w:szCs w:val="32"/>
        </w:rPr>
        <w:t>。</w:t>
      </w:r>
    </w:p>
    <w:p w14:paraId="3C8E8136">
      <w:pPr>
        <w:keepNext w:val="0"/>
        <w:keepLines w:val="0"/>
        <w:pageBreakBefore w:val="0"/>
        <w:kinsoku/>
        <w:wordWrap/>
        <w:overflowPunct/>
        <w:topLinePunct w:val="0"/>
        <w:autoSpaceDE/>
        <w:autoSpaceDN/>
        <w:bidi w:val="0"/>
        <w:adjustRightInd w:val="0"/>
        <w:snapToGrid w:val="0"/>
        <w:spacing w:line="600" w:lineRule="exact"/>
        <w:ind w:left="0" w:leftChars="0" w:right="0" w:firstLine="640" w:firstLineChars="200"/>
        <w:contextualSpacing/>
        <w:jc w:val="both"/>
        <w:textAlignment w:val="auto"/>
        <w:rPr>
          <w:rFonts w:ascii="仿宋_GB2312" w:hAnsi="仿宋" w:eastAsia="仿宋_GB2312" w:cs="宋体"/>
          <w:b/>
          <w:kern w:val="0"/>
          <w:sz w:val="32"/>
          <w:szCs w:val="32"/>
        </w:rPr>
      </w:pPr>
      <w:r>
        <w:rPr>
          <w:rFonts w:hint="eastAsia" w:ascii="仿宋_GB2312" w:hAnsi="仿宋" w:eastAsia="仿宋_GB2312"/>
          <w:sz w:val="32"/>
          <w:szCs w:val="32"/>
        </w:rPr>
        <w:t xml:space="preserve">2.公务接待费 </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r>
        <w:rPr>
          <w:rFonts w:hint="eastAsia" w:ascii="仿宋_GB2312" w:hAnsi="仿宋" w:eastAsia="仿宋_GB2312"/>
          <w:sz w:val="32"/>
          <w:szCs w:val="32"/>
          <w:lang w:eastAsia="zh-CN"/>
        </w:rPr>
        <w:t>与</w:t>
      </w:r>
      <w:r>
        <w:rPr>
          <w:rFonts w:hint="eastAsia" w:ascii="仿宋_GB2312" w:hAnsi="仿宋" w:eastAsia="仿宋_GB2312"/>
          <w:sz w:val="32"/>
          <w:szCs w:val="32"/>
          <w:lang w:val="en-US" w:eastAsia="zh-CN"/>
        </w:rPr>
        <w:t>2025年持平</w:t>
      </w:r>
      <w:r>
        <w:rPr>
          <w:rFonts w:hint="eastAsia" w:ascii="仿宋_GB2312" w:hAnsi="仿宋" w:eastAsia="仿宋_GB2312"/>
          <w:sz w:val="32"/>
          <w:szCs w:val="32"/>
        </w:rPr>
        <w:t>。</w:t>
      </w:r>
    </w:p>
    <w:p w14:paraId="7BABBBEB">
      <w:pPr>
        <w:keepNext w:val="0"/>
        <w:keepLines w:val="0"/>
        <w:pageBreakBefore w:val="0"/>
        <w:kinsoku/>
        <w:wordWrap/>
        <w:overflowPunct/>
        <w:topLinePunct w:val="0"/>
        <w:autoSpaceDE/>
        <w:autoSpaceDN/>
        <w:bidi w:val="0"/>
        <w:adjustRightInd w:val="0"/>
        <w:snapToGrid w:val="0"/>
        <w:spacing w:line="600" w:lineRule="exact"/>
        <w:ind w:left="0" w:leftChars="0" w:right="0" w:firstLine="640" w:firstLineChars="200"/>
        <w:contextualSpacing/>
        <w:jc w:val="both"/>
        <w:textAlignment w:val="auto"/>
        <w:rPr>
          <w:rFonts w:ascii="仿宋_GB2312" w:hAnsi="仿宋" w:eastAsia="仿宋_GB2312" w:cs="宋体"/>
          <w:b/>
          <w:kern w:val="0"/>
          <w:sz w:val="32"/>
          <w:szCs w:val="32"/>
        </w:rPr>
      </w:pPr>
      <w:r>
        <w:rPr>
          <w:rFonts w:hint="eastAsia" w:ascii="仿宋_GB2312" w:hAnsi="仿宋" w:eastAsia="仿宋_GB2312"/>
          <w:sz w:val="32"/>
          <w:szCs w:val="32"/>
        </w:rPr>
        <w:t xml:space="preserve">3.公务用车购置及运行维护费 </w:t>
      </w:r>
      <w:r>
        <w:rPr>
          <w:rFonts w:hint="eastAsia" w:ascii="仿宋_GB2312" w:hAnsi="仿宋" w:eastAsia="仿宋_GB2312"/>
          <w:sz w:val="32"/>
          <w:szCs w:val="32"/>
          <w:lang w:val="en-US" w:eastAsia="zh-CN"/>
        </w:rPr>
        <w:t>0</w:t>
      </w:r>
      <w:r>
        <w:rPr>
          <w:rFonts w:hint="eastAsia" w:ascii="仿宋_GB2312" w:hAnsi="仿宋" w:eastAsia="仿宋_GB2312"/>
          <w:sz w:val="32"/>
          <w:szCs w:val="32"/>
        </w:rPr>
        <w:t xml:space="preserve">万元（其中：公务用车购置    万元，公务用车运行维护费 </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r>
        <w:rPr>
          <w:rFonts w:hint="eastAsia" w:ascii="仿宋_GB2312" w:hAnsi="仿宋" w:eastAsia="仿宋_GB2312"/>
          <w:sz w:val="32"/>
          <w:szCs w:val="32"/>
          <w:lang w:eastAsia="zh-CN"/>
        </w:rPr>
        <w:t>与</w:t>
      </w:r>
      <w:r>
        <w:rPr>
          <w:rFonts w:hint="eastAsia" w:ascii="仿宋_GB2312" w:hAnsi="仿宋" w:eastAsia="仿宋_GB2312"/>
          <w:sz w:val="32"/>
          <w:szCs w:val="32"/>
          <w:lang w:val="en-US" w:eastAsia="zh-CN"/>
        </w:rPr>
        <w:t>2025年持平</w:t>
      </w:r>
      <w:r>
        <w:rPr>
          <w:rFonts w:hint="eastAsia" w:ascii="仿宋_GB2312" w:hAnsi="仿宋" w:eastAsia="仿宋_GB2312"/>
          <w:sz w:val="32"/>
          <w:szCs w:val="32"/>
        </w:rPr>
        <w:t>。</w:t>
      </w:r>
    </w:p>
    <w:p w14:paraId="3C18502F">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（二）培训费预算情况说明</w:t>
      </w:r>
    </w:p>
    <w:p w14:paraId="3CFC4C8B">
      <w:pPr>
        <w:keepNext w:val="0"/>
        <w:keepLines w:val="0"/>
        <w:pageBreakBefore w:val="0"/>
        <w:kinsoku/>
        <w:wordWrap/>
        <w:overflowPunct/>
        <w:topLinePunct w:val="0"/>
        <w:autoSpaceDE/>
        <w:autoSpaceDN/>
        <w:bidi w:val="0"/>
        <w:adjustRightInd w:val="0"/>
        <w:snapToGrid w:val="0"/>
        <w:spacing w:line="600" w:lineRule="exact"/>
        <w:ind w:left="0" w:leftChars="0" w:right="0" w:firstLine="640" w:firstLineChars="200"/>
        <w:contextualSpacing/>
        <w:jc w:val="both"/>
        <w:textAlignment w:val="auto"/>
        <w:rPr>
          <w:rFonts w:ascii="仿宋_GB2312" w:hAnsi="仿宋" w:eastAsia="仿宋_GB2312" w:cs="宋体"/>
          <w:b/>
          <w:kern w:val="0"/>
          <w:sz w:val="32"/>
          <w:szCs w:val="32"/>
        </w:rPr>
      </w:pPr>
      <w:r>
        <w:rPr>
          <w:rFonts w:hint="eastAsia" w:ascii="仿宋_GB2312" w:hAnsi="仿宋" w:eastAsia="仿宋_GB2312"/>
          <w:sz w:val="32"/>
          <w:szCs w:val="32"/>
        </w:rPr>
        <w:t>4.培训费</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r>
        <w:rPr>
          <w:rFonts w:hint="eastAsia" w:ascii="仿宋_GB2312" w:hAnsi="仿宋" w:eastAsia="仿宋_GB2312"/>
          <w:sz w:val="32"/>
          <w:szCs w:val="32"/>
          <w:lang w:eastAsia="zh-CN"/>
        </w:rPr>
        <w:t>与</w:t>
      </w:r>
      <w:r>
        <w:rPr>
          <w:rFonts w:hint="eastAsia" w:ascii="仿宋_GB2312" w:hAnsi="仿宋" w:eastAsia="仿宋_GB2312"/>
          <w:sz w:val="32"/>
          <w:szCs w:val="32"/>
          <w:lang w:val="en-US" w:eastAsia="zh-CN"/>
        </w:rPr>
        <w:t>2025年持平</w:t>
      </w:r>
      <w:r>
        <w:rPr>
          <w:rFonts w:hint="eastAsia" w:ascii="仿宋_GB2312" w:hAnsi="仿宋" w:eastAsia="仿宋_GB2312"/>
          <w:sz w:val="32"/>
          <w:szCs w:val="32"/>
        </w:rPr>
        <w:t>。</w:t>
      </w:r>
    </w:p>
    <w:p w14:paraId="27BFF129">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（三）会议费预算情况说明</w:t>
      </w:r>
    </w:p>
    <w:p w14:paraId="17D8A466">
      <w:pPr>
        <w:keepNext w:val="0"/>
        <w:keepLines w:val="0"/>
        <w:pageBreakBefore w:val="0"/>
        <w:kinsoku/>
        <w:wordWrap/>
        <w:overflowPunct/>
        <w:topLinePunct w:val="0"/>
        <w:autoSpaceDE/>
        <w:autoSpaceDN/>
        <w:bidi w:val="0"/>
        <w:adjustRightInd w:val="0"/>
        <w:snapToGrid w:val="0"/>
        <w:spacing w:line="600" w:lineRule="exact"/>
        <w:ind w:left="0" w:leftChars="0" w:right="0" w:firstLine="640" w:firstLineChars="200"/>
        <w:contextualSpacing/>
        <w:jc w:val="both"/>
        <w:textAlignment w:val="auto"/>
        <w:rPr>
          <w:rFonts w:ascii="仿宋_GB2312" w:eastAsia="仿宋_GB2312"/>
          <w:sz w:val="32"/>
          <w:szCs w:val="32"/>
        </w:rPr>
      </w:pPr>
      <w:r>
        <w:rPr>
          <w:rFonts w:hint="eastAsia" w:ascii="仿宋_GB2312" w:hAnsi="仿宋" w:eastAsia="仿宋_GB2312"/>
          <w:sz w:val="32"/>
          <w:szCs w:val="32"/>
        </w:rPr>
        <w:t xml:space="preserve">5.会议费 </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r>
        <w:rPr>
          <w:rFonts w:hint="eastAsia" w:ascii="仿宋_GB2312" w:hAnsi="仿宋" w:eastAsia="仿宋_GB2312"/>
          <w:sz w:val="32"/>
          <w:szCs w:val="32"/>
          <w:lang w:eastAsia="zh-CN"/>
        </w:rPr>
        <w:t>与</w:t>
      </w:r>
      <w:r>
        <w:rPr>
          <w:rFonts w:hint="eastAsia" w:ascii="仿宋_GB2312" w:hAnsi="仿宋" w:eastAsia="仿宋_GB2312"/>
          <w:sz w:val="32"/>
          <w:szCs w:val="32"/>
          <w:lang w:val="en-US" w:eastAsia="zh-CN"/>
        </w:rPr>
        <w:t>2025年持平</w:t>
      </w:r>
      <w:r>
        <w:rPr>
          <w:rFonts w:hint="eastAsia" w:ascii="仿宋_GB2312" w:hAnsi="仿宋" w:eastAsia="仿宋_GB2312"/>
          <w:sz w:val="32"/>
          <w:szCs w:val="32"/>
        </w:rPr>
        <w:t>。</w:t>
      </w:r>
    </w:p>
    <w:p w14:paraId="7D35BB7E">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六、一般公共预算财政拨款机关运行经费情况</w:t>
      </w:r>
    </w:p>
    <w:p w14:paraId="70826D21">
      <w:pPr>
        <w:keepNext w:val="0"/>
        <w:keepLines w:val="0"/>
        <w:pageBreakBefore w:val="0"/>
        <w:widowControl/>
        <w:kinsoku/>
        <w:wordWrap/>
        <w:overflowPunct/>
        <w:topLinePunct w:val="0"/>
        <w:autoSpaceDE/>
        <w:autoSpaceDN/>
        <w:bidi w:val="0"/>
        <w:spacing w:line="600" w:lineRule="exact"/>
        <w:ind w:left="0" w:leftChars="0" w:right="0" w:firstLine="640" w:firstLineChars="200"/>
        <w:contextualSpacing/>
        <w:jc w:val="both"/>
        <w:textAlignment w:val="auto"/>
        <w:rPr>
          <w:rFonts w:ascii="仿宋_GB2312" w:hAnsi="仿宋" w:eastAsia="仿宋_GB2312"/>
          <w:sz w:val="32"/>
          <w:szCs w:val="32"/>
        </w:rPr>
      </w:pPr>
      <w:r>
        <w:rPr>
          <w:rFonts w:hint="eastAsia" w:ascii="仿宋_GB2312" w:hAnsi="仿宋" w:eastAsia="仿宋_GB2312"/>
          <w:sz w:val="32"/>
          <w:szCs w:val="32"/>
        </w:rPr>
        <w:t>机关运行经费</w:t>
      </w:r>
      <w:r>
        <w:rPr>
          <w:rFonts w:hint="eastAsia" w:ascii="仿宋_GB2312" w:hAnsi="仿宋" w:eastAsia="仿宋_GB2312"/>
          <w:sz w:val="32"/>
          <w:szCs w:val="32"/>
          <w:lang w:val="en-US" w:eastAsia="zh-CN"/>
        </w:rPr>
        <w:t>10.8</w:t>
      </w:r>
      <w:r>
        <w:rPr>
          <w:rFonts w:hint="eastAsia" w:ascii="仿宋_GB2312" w:hAnsi="仿宋" w:eastAsia="仿宋_GB2312"/>
          <w:sz w:val="32"/>
          <w:szCs w:val="32"/>
        </w:rPr>
        <w:t>万元，较</w:t>
      </w:r>
      <w:r>
        <w:rPr>
          <w:rFonts w:hint="eastAsia" w:ascii="仿宋_GB2312" w:hAnsi="仿宋" w:eastAsia="仿宋_GB2312"/>
          <w:sz w:val="32"/>
          <w:szCs w:val="32"/>
          <w:lang w:eastAsia="zh-CN"/>
        </w:rPr>
        <w:t>2024</w:t>
      </w:r>
      <w:r>
        <w:rPr>
          <w:rFonts w:hint="eastAsia" w:ascii="仿宋_GB2312" w:hAnsi="仿宋" w:eastAsia="仿宋_GB2312"/>
          <w:sz w:val="32"/>
          <w:szCs w:val="32"/>
        </w:rPr>
        <w:t>年预算</w:t>
      </w:r>
      <w:r>
        <w:rPr>
          <w:rFonts w:hint="eastAsia" w:ascii="仿宋_GB2312" w:hAnsi="仿宋" w:eastAsia="仿宋_GB2312"/>
          <w:sz w:val="32"/>
          <w:szCs w:val="32"/>
          <w:lang w:val="en-US" w:eastAsia="zh-CN"/>
        </w:rPr>
        <w:t>增加</w:t>
      </w:r>
      <w:r>
        <w:rPr>
          <w:rFonts w:hint="eastAsia" w:ascii="仿宋_GB2312" w:hAnsi="仿宋" w:eastAsia="仿宋_GB2312"/>
          <w:sz w:val="32"/>
          <w:szCs w:val="32"/>
        </w:rPr>
        <w:t>）</w:t>
      </w:r>
      <w:r>
        <w:rPr>
          <w:rFonts w:hint="eastAsia" w:ascii="仿宋_GB2312" w:hAnsi="仿宋" w:eastAsia="仿宋_GB2312"/>
          <w:sz w:val="32"/>
          <w:szCs w:val="32"/>
          <w:lang w:val="en-US" w:eastAsia="zh-CN"/>
        </w:rPr>
        <w:t>1.2</w:t>
      </w:r>
      <w:r>
        <w:rPr>
          <w:rFonts w:hint="eastAsia" w:ascii="仿宋_GB2312" w:hAnsi="仿宋" w:eastAsia="仿宋_GB2312"/>
          <w:sz w:val="32"/>
          <w:szCs w:val="32"/>
        </w:rPr>
        <w:t>万元，</w:t>
      </w:r>
      <w:r>
        <w:rPr>
          <w:rFonts w:hint="eastAsia" w:ascii="仿宋_GB2312" w:hAnsi="仿宋" w:eastAsia="仿宋_GB2312"/>
          <w:sz w:val="32"/>
          <w:szCs w:val="32"/>
          <w:lang w:val="en-US" w:eastAsia="zh-CN"/>
        </w:rPr>
        <w:t>增加</w:t>
      </w:r>
      <w:r>
        <w:rPr>
          <w:rFonts w:hint="eastAsia" w:ascii="仿宋_GB2312" w:hAnsi="仿宋" w:eastAsia="仿宋_GB2312"/>
          <w:sz w:val="32"/>
          <w:szCs w:val="32"/>
        </w:rPr>
        <w:t xml:space="preserve"> </w:t>
      </w:r>
      <w:r>
        <w:rPr>
          <w:rFonts w:hint="eastAsia" w:ascii="仿宋_GB2312" w:hAnsi="仿宋" w:eastAsia="仿宋_GB2312"/>
          <w:sz w:val="32"/>
          <w:szCs w:val="32"/>
          <w:lang w:val="en-US" w:eastAsia="zh-CN"/>
        </w:rPr>
        <w:t>11.11</w:t>
      </w:r>
      <w:r>
        <w:rPr>
          <w:rFonts w:hint="eastAsia" w:ascii="仿宋_GB2312" w:hAnsi="仿宋" w:eastAsia="仿宋_GB2312"/>
          <w:sz w:val="32"/>
          <w:szCs w:val="32"/>
        </w:rPr>
        <w:t xml:space="preserve"> %，</w:t>
      </w:r>
      <w:r>
        <w:rPr>
          <w:rFonts w:hint="eastAsia" w:ascii="仿宋_GB2312" w:hAnsi="仿宋" w:eastAsia="仿宋_GB2312"/>
          <w:sz w:val="32"/>
          <w:szCs w:val="32"/>
          <w:lang w:val="en-US" w:eastAsia="zh-CN"/>
        </w:rPr>
        <w:t>增加</w:t>
      </w:r>
      <w:r>
        <w:rPr>
          <w:rFonts w:hint="eastAsia" w:ascii="仿宋_GB2312" w:hAnsi="仿宋" w:eastAsia="仿宋_GB2312"/>
          <w:sz w:val="32"/>
          <w:szCs w:val="32"/>
        </w:rPr>
        <w:t>的主要原因是</w:t>
      </w:r>
      <w:r>
        <w:rPr>
          <w:rFonts w:hint="eastAsia" w:ascii="仿宋_GB2312" w:hAnsi="仿宋" w:eastAsia="仿宋_GB2312"/>
          <w:sz w:val="32"/>
          <w:szCs w:val="32"/>
          <w:lang w:val="en-US" w:eastAsia="zh-CN"/>
        </w:rPr>
        <w:t>人员增加2人（2025年6月份调入1人、2025年7月份招考1人）</w:t>
      </w:r>
      <w:r>
        <w:rPr>
          <w:rFonts w:hint="eastAsia" w:ascii="仿宋_GB2312" w:hAnsi="仿宋" w:eastAsia="仿宋_GB2312"/>
          <w:sz w:val="32"/>
          <w:szCs w:val="32"/>
        </w:rPr>
        <w:t>。</w:t>
      </w:r>
    </w:p>
    <w:p w14:paraId="57B4FFAE">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七、政府采购安排情况</w:t>
      </w:r>
    </w:p>
    <w:p w14:paraId="73FD1C8A">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w:t>
      </w:r>
      <w:r>
        <w:rPr>
          <w:rFonts w:hint="eastAsia" w:ascii="仿宋_GB2312" w:hAnsi="仿宋" w:eastAsia="仿宋_GB2312"/>
          <w:sz w:val="32"/>
          <w:szCs w:val="32"/>
          <w:lang w:val="en-US" w:eastAsia="zh-CN"/>
        </w:rPr>
        <w:t>26</w:t>
      </w:r>
      <w:r>
        <w:rPr>
          <w:rFonts w:hint="eastAsia" w:ascii="仿宋_GB2312" w:hAnsi="仿宋" w:eastAsia="仿宋_GB2312"/>
          <w:sz w:val="32"/>
          <w:szCs w:val="32"/>
        </w:rPr>
        <w:t xml:space="preserve">年，部门（单位）政府采购预算总额 </w:t>
      </w:r>
      <w:r>
        <w:rPr>
          <w:rFonts w:hint="eastAsia" w:ascii="仿宋_GB2312" w:hAnsi="仿宋" w:eastAsia="仿宋_GB2312"/>
          <w:sz w:val="32"/>
          <w:szCs w:val="32"/>
          <w:lang w:val="en-US" w:eastAsia="zh-CN"/>
        </w:rPr>
        <w:t>6</w:t>
      </w:r>
      <w:r>
        <w:rPr>
          <w:rFonts w:hint="eastAsia" w:ascii="仿宋_GB2312" w:hAnsi="仿宋" w:eastAsia="仿宋_GB2312"/>
          <w:sz w:val="32"/>
          <w:szCs w:val="32"/>
        </w:rPr>
        <w:t>万元，其中：政府采购货物预算</w:t>
      </w:r>
      <w:r>
        <w:rPr>
          <w:rFonts w:hint="eastAsia" w:ascii="仿宋_GB2312" w:hAnsi="仿宋" w:eastAsia="仿宋_GB2312"/>
          <w:sz w:val="32"/>
          <w:szCs w:val="32"/>
          <w:lang w:val="en-US" w:eastAsia="zh-CN"/>
        </w:rPr>
        <w:t>2</w:t>
      </w:r>
      <w:r>
        <w:rPr>
          <w:rFonts w:hint="eastAsia" w:ascii="仿宋_GB2312" w:hAnsi="仿宋" w:eastAsia="仿宋_GB2312"/>
          <w:sz w:val="32"/>
          <w:szCs w:val="32"/>
        </w:rPr>
        <w:t xml:space="preserve">万元，政府采购服务预算 </w:t>
      </w:r>
      <w:r>
        <w:rPr>
          <w:rFonts w:hint="eastAsia" w:ascii="仿宋_GB2312" w:hAnsi="仿宋" w:eastAsia="仿宋_GB2312"/>
          <w:sz w:val="32"/>
          <w:szCs w:val="32"/>
          <w:lang w:val="en-US" w:eastAsia="zh-CN"/>
        </w:rPr>
        <w:t>4</w:t>
      </w:r>
      <w:r>
        <w:rPr>
          <w:rFonts w:hint="eastAsia" w:ascii="仿宋_GB2312" w:hAnsi="仿宋" w:eastAsia="仿宋_GB2312"/>
          <w:sz w:val="32"/>
          <w:szCs w:val="32"/>
        </w:rPr>
        <w:t>万元。</w:t>
      </w:r>
    </w:p>
    <w:p w14:paraId="51697EF6">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w:t>
      </w:r>
      <w:r>
        <w:rPr>
          <w:rFonts w:hint="eastAsia" w:ascii="仿宋_GB2312" w:hAnsi="仿宋" w:eastAsia="仿宋_GB2312"/>
          <w:sz w:val="32"/>
          <w:szCs w:val="32"/>
          <w:lang w:val="en-US" w:eastAsia="zh-CN"/>
        </w:rPr>
        <w:t>26</w:t>
      </w:r>
      <w:r>
        <w:rPr>
          <w:rFonts w:hint="eastAsia" w:ascii="仿宋_GB2312" w:hAnsi="仿宋" w:eastAsia="仿宋_GB2312"/>
          <w:sz w:val="32"/>
          <w:szCs w:val="32"/>
        </w:rPr>
        <w:t xml:space="preserve">年，部门（单位）面向中小企业预留政府采购项目预算金额  </w:t>
      </w:r>
      <w:r>
        <w:rPr>
          <w:rFonts w:hint="eastAsia" w:ascii="仿宋_GB2312" w:hAnsi="仿宋" w:eastAsia="仿宋_GB2312"/>
          <w:sz w:val="32"/>
          <w:szCs w:val="32"/>
          <w:lang w:val="en-US" w:eastAsia="zh-CN"/>
        </w:rPr>
        <w:t>1</w:t>
      </w:r>
      <w:r>
        <w:rPr>
          <w:rFonts w:hint="eastAsia" w:ascii="仿宋_GB2312" w:hAnsi="仿宋" w:eastAsia="仿宋_GB2312"/>
          <w:sz w:val="32"/>
          <w:szCs w:val="32"/>
        </w:rPr>
        <w:t>万元，小微企业预留政府采购项目预算金额</w:t>
      </w:r>
      <w:r>
        <w:rPr>
          <w:rFonts w:hint="eastAsia" w:ascii="仿宋_GB2312" w:hAnsi="仿宋" w:eastAsia="仿宋_GB2312"/>
          <w:sz w:val="32"/>
          <w:szCs w:val="32"/>
          <w:lang w:val="en-US" w:eastAsia="zh-CN"/>
        </w:rPr>
        <w:t>5</w:t>
      </w:r>
      <w:r>
        <w:rPr>
          <w:rFonts w:hint="eastAsia" w:ascii="仿宋_GB2312" w:hAnsi="仿宋" w:eastAsia="仿宋_GB2312"/>
          <w:sz w:val="32"/>
          <w:szCs w:val="32"/>
        </w:rPr>
        <w:t>万元。</w:t>
      </w:r>
    </w:p>
    <w:p w14:paraId="6A193527">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八、国有资产占用情况</w:t>
      </w:r>
    </w:p>
    <w:p w14:paraId="7051FECE">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上年末固定资产金额为</w:t>
      </w:r>
      <w:r>
        <w:rPr>
          <w:rFonts w:hint="eastAsia" w:ascii="仿宋_GB2312" w:hAnsi="仿宋" w:eastAsia="仿宋_GB2312"/>
          <w:sz w:val="32"/>
          <w:szCs w:val="32"/>
          <w:lang w:val="en-US" w:eastAsia="zh-CN"/>
        </w:rPr>
        <w:t>371.25</w:t>
      </w:r>
      <w:r>
        <w:rPr>
          <w:rFonts w:hint="eastAsia" w:ascii="仿宋_GB2312" w:hAnsi="仿宋" w:eastAsia="仿宋_GB2312"/>
          <w:sz w:val="32"/>
          <w:szCs w:val="32"/>
        </w:rPr>
        <w:t>万元。其中：办公用房</w:t>
      </w:r>
      <w:r>
        <w:rPr>
          <w:rFonts w:hint="eastAsia" w:ascii="仿宋_GB2312" w:hAnsi="仿宋" w:eastAsia="仿宋_GB2312"/>
          <w:sz w:val="32"/>
          <w:szCs w:val="32"/>
          <w:lang w:val="en-US" w:eastAsia="zh-CN"/>
        </w:rPr>
        <w:t>919.76</w:t>
      </w:r>
      <w:r>
        <w:rPr>
          <w:rFonts w:hint="eastAsia" w:ascii="仿宋_GB2312" w:hAnsi="仿宋" w:eastAsia="仿宋_GB2312"/>
          <w:sz w:val="32"/>
          <w:szCs w:val="32"/>
        </w:rPr>
        <w:t>平方米，价值</w:t>
      </w:r>
      <w:r>
        <w:rPr>
          <w:rFonts w:hint="eastAsia" w:ascii="仿宋_GB2312" w:hAnsi="仿宋" w:eastAsia="仿宋_GB2312"/>
          <w:sz w:val="32"/>
          <w:szCs w:val="32"/>
          <w:lang w:val="en-US" w:eastAsia="zh-CN"/>
        </w:rPr>
        <w:t>39.2</w:t>
      </w:r>
      <w:r>
        <w:rPr>
          <w:rFonts w:hint="eastAsia" w:ascii="仿宋_GB2312" w:hAnsi="仿宋" w:eastAsia="仿宋_GB2312"/>
          <w:sz w:val="32"/>
          <w:szCs w:val="32"/>
        </w:rPr>
        <w:t>万元。预算部门（单位）共有公务用车</w:t>
      </w:r>
      <w:r>
        <w:rPr>
          <w:rFonts w:hint="eastAsia" w:ascii="仿宋_GB2312" w:hAnsi="仿宋" w:eastAsia="仿宋_GB2312"/>
          <w:sz w:val="32"/>
          <w:szCs w:val="32"/>
          <w:lang w:val="en-US" w:eastAsia="zh-CN"/>
        </w:rPr>
        <w:t>0</w:t>
      </w:r>
      <w:r>
        <w:rPr>
          <w:rFonts w:hint="eastAsia" w:ascii="仿宋_GB2312" w:hAnsi="仿宋" w:eastAsia="仿宋_GB2312"/>
          <w:sz w:val="32"/>
          <w:szCs w:val="32"/>
        </w:rPr>
        <w:t>辆，价值</w:t>
      </w:r>
      <w:r>
        <w:rPr>
          <w:rFonts w:hint="eastAsia" w:ascii="仿宋_GB2312" w:hAnsi="仿宋" w:eastAsia="仿宋_GB2312"/>
          <w:sz w:val="32"/>
          <w:szCs w:val="32"/>
          <w:lang w:val="en-US" w:eastAsia="zh-CN"/>
        </w:rPr>
        <w:t>0</w:t>
      </w:r>
      <w:r>
        <w:rPr>
          <w:rFonts w:hint="eastAsia" w:ascii="仿宋_GB2312" w:hAnsi="仿宋" w:eastAsia="仿宋_GB2312"/>
          <w:sz w:val="32"/>
          <w:szCs w:val="32"/>
        </w:rPr>
        <w:t xml:space="preserve">万元。单价20万元以上的设备价值 </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r>
        <w:rPr>
          <w:rFonts w:hint="eastAsia" w:ascii="仿宋_GB2312" w:hAnsi="仿宋" w:eastAsia="仿宋_GB2312"/>
          <w:sz w:val="32"/>
          <w:szCs w:val="32"/>
          <w:lang w:eastAsia="zh-CN"/>
        </w:rPr>
        <w:t>20</w:t>
      </w:r>
      <w:r>
        <w:rPr>
          <w:rFonts w:hint="eastAsia" w:ascii="仿宋_GB2312" w:hAnsi="仿宋" w:eastAsia="仿宋_GB2312"/>
          <w:sz w:val="32"/>
          <w:szCs w:val="32"/>
          <w:lang w:val="en-US" w:eastAsia="zh-CN"/>
        </w:rPr>
        <w:t>26</w:t>
      </w:r>
      <w:r>
        <w:rPr>
          <w:rFonts w:hint="eastAsia" w:ascii="仿宋_GB2312" w:hAnsi="仿宋" w:eastAsia="仿宋_GB2312"/>
          <w:sz w:val="32"/>
          <w:szCs w:val="32"/>
        </w:rPr>
        <w:t>年拟采购固定资产约</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p>
    <w:p w14:paraId="4AAB33A2">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九、其他重要事项情况说明</w:t>
      </w:r>
    </w:p>
    <w:p w14:paraId="4B4945E4">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（一）政府性基金预算支出情况</w:t>
      </w:r>
    </w:p>
    <w:p w14:paraId="065ACB52">
      <w:pPr>
        <w:keepNext w:val="0"/>
        <w:keepLines w:val="0"/>
        <w:pageBreakBefore w:val="0"/>
        <w:widowControl/>
        <w:kinsoku/>
        <w:wordWrap/>
        <w:overflowPunct/>
        <w:topLinePunct w:val="0"/>
        <w:autoSpaceDE/>
        <w:autoSpaceDN/>
        <w:bidi w:val="0"/>
        <w:adjustRightInd w:val="0"/>
        <w:snapToGrid w:val="0"/>
        <w:spacing w:line="600" w:lineRule="exact"/>
        <w:ind w:left="0" w:leftChars="0" w:right="0" w:firstLine="640" w:firstLineChars="200"/>
        <w:contextualSpacing/>
        <w:jc w:val="both"/>
        <w:textAlignment w:val="auto"/>
        <w:rPr>
          <w:rFonts w:ascii="仿宋_GB2312" w:hAnsi="仿宋" w:eastAsia="仿宋_GB2312"/>
          <w:sz w:val="32"/>
          <w:szCs w:val="32"/>
        </w:rPr>
      </w:pPr>
      <w:r>
        <w:rPr>
          <w:rFonts w:hint="eastAsia" w:ascii="仿宋_GB2312" w:hAnsi="仿宋" w:eastAsia="仿宋_GB2312"/>
          <w:sz w:val="32"/>
          <w:szCs w:val="32"/>
          <w:lang w:val="en-US" w:eastAsia="zh-CN"/>
        </w:rPr>
        <w:t>2026年</w:t>
      </w:r>
      <w:r>
        <w:rPr>
          <w:rFonts w:hint="eastAsia" w:ascii="仿宋_GB2312" w:hAnsi="仿宋" w:eastAsia="仿宋_GB2312"/>
          <w:sz w:val="32"/>
          <w:szCs w:val="32"/>
        </w:rPr>
        <w:t>未安排预算，政府性基金预算支出情况表为空表。</w:t>
      </w:r>
    </w:p>
    <w:p w14:paraId="792B6F08">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（二）非税收入情况</w:t>
      </w:r>
    </w:p>
    <w:p w14:paraId="711437AC">
      <w:pPr>
        <w:adjustRightInd w:val="0"/>
        <w:snapToGrid w:val="0"/>
        <w:spacing w:line="640" w:lineRule="exact"/>
        <w:ind w:firstLine="640" w:firstLineChars="200"/>
        <w:contextualSpacing/>
        <w:rPr>
          <w:rFonts w:hint="eastAsia" w:ascii="仿宋_GB2312" w:hAnsi="仿宋" w:eastAsia="仿宋_GB2312"/>
          <w:sz w:val="32"/>
          <w:szCs w:val="32"/>
        </w:rPr>
      </w:pPr>
      <w:r>
        <w:rPr>
          <w:rFonts w:hint="eastAsia" w:ascii="仿宋_GB2312" w:hAnsi="仿宋" w:eastAsia="仿宋_GB2312"/>
          <w:sz w:val="32"/>
          <w:szCs w:val="32"/>
        </w:rPr>
        <w:t>本部门/单位202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w:t>
      </w:r>
      <w:r>
        <w:rPr>
          <w:rFonts w:ascii="仿宋_GB2312" w:hAnsi="仿宋" w:eastAsia="仿宋_GB2312"/>
          <w:sz w:val="32"/>
          <w:szCs w:val="32"/>
        </w:rPr>
        <w:t>无非税收入</w:t>
      </w:r>
      <w:r>
        <w:rPr>
          <w:rFonts w:hint="eastAsia" w:ascii="仿宋_GB2312" w:hAnsi="仿宋" w:eastAsia="仿宋_GB2312"/>
          <w:sz w:val="32"/>
          <w:szCs w:val="32"/>
        </w:rPr>
        <w:t>。</w:t>
      </w:r>
    </w:p>
    <w:p w14:paraId="09CA2645">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（三）重点项目情况</w:t>
      </w:r>
    </w:p>
    <w:p w14:paraId="4D419C86">
      <w:pPr>
        <w:keepNext w:val="0"/>
        <w:keepLines w:val="0"/>
        <w:pageBreakBefore w:val="0"/>
        <w:widowControl/>
        <w:kinsoku/>
        <w:wordWrap/>
        <w:overflowPunct/>
        <w:topLinePunct w:val="0"/>
        <w:autoSpaceDE/>
        <w:autoSpaceDN/>
        <w:bidi w:val="0"/>
        <w:adjustRightInd w:val="0"/>
        <w:snapToGrid w:val="0"/>
        <w:spacing w:line="600" w:lineRule="exact"/>
        <w:ind w:left="0" w:leftChars="0" w:right="0" w:firstLine="640" w:firstLineChars="200"/>
        <w:contextualSpacing/>
        <w:jc w:val="both"/>
        <w:textAlignment w:val="auto"/>
        <w:rPr>
          <w:rFonts w:ascii="仿宋_GB2312" w:hAnsi="仿宋" w:eastAsia="仿宋_GB2312"/>
          <w:sz w:val="32"/>
          <w:szCs w:val="32"/>
        </w:rPr>
      </w:pPr>
      <w:r>
        <w:rPr>
          <w:rFonts w:hint="eastAsia" w:ascii="仿宋_GB2312" w:hAnsi="仿宋" w:eastAsia="仿宋_GB2312"/>
          <w:sz w:val="32"/>
          <w:szCs w:val="32"/>
        </w:rPr>
        <w:t>选取1个202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部门/单位预算安排的经济社会发展类项目公开项目文本信息，包括项目名称、项目概况、立项依据、实施主体、实施周期、实施计划、年度预算安排、预期总体目标等内容。没有经济社会发展类项目支出的部门/单位可公开其他类项目。</w:t>
      </w:r>
    </w:p>
    <w:p w14:paraId="29F9BA27">
      <w:pPr>
        <w:keepNext w:val="0"/>
        <w:keepLines w:val="0"/>
        <w:pageBreakBefore w:val="0"/>
        <w:widowControl/>
        <w:kinsoku/>
        <w:wordWrap/>
        <w:overflowPunct/>
        <w:topLinePunct w:val="0"/>
        <w:autoSpaceDE/>
        <w:autoSpaceDN/>
        <w:bidi w:val="0"/>
        <w:adjustRightInd w:val="0"/>
        <w:snapToGrid w:val="0"/>
        <w:spacing w:line="600" w:lineRule="exact"/>
        <w:ind w:left="0" w:leftChars="0" w:right="0" w:firstLine="640" w:firstLineChars="200"/>
        <w:contextualSpacing/>
        <w:jc w:val="both"/>
        <w:textAlignment w:val="auto"/>
        <w:rPr>
          <w:rFonts w:ascii="仿宋_GB2312" w:hAnsi="仿宋" w:eastAsia="仿宋_GB2312"/>
          <w:sz w:val="32"/>
          <w:szCs w:val="32"/>
        </w:rPr>
      </w:pPr>
      <w:r>
        <w:rPr>
          <w:rFonts w:hint="eastAsia" w:ascii="仿宋_GB2312" w:hAnsi="仿宋" w:eastAsia="仿宋_GB2312"/>
          <w:sz w:val="32"/>
          <w:szCs w:val="32"/>
        </w:rPr>
        <w:t>项目名称：科技奖励专项</w:t>
      </w:r>
    </w:p>
    <w:p w14:paraId="35BD534D">
      <w:pPr>
        <w:keepNext w:val="0"/>
        <w:keepLines w:val="0"/>
        <w:pageBreakBefore w:val="0"/>
        <w:widowControl/>
        <w:kinsoku/>
        <w:wordWrap/>
        <w:overflowPunct/>
        <w:topLinePunct w:val="0"/>
        <w:autoSpaceDE/>
        <w:autoSpaceDN/>
        <w:bidi w:val="0"/>
        <w:adjustRightInd w:val="0"/>
        <w:snapToGrid w:val="0"/>
        <w:spacing w:line="600" w:lineRule="exact"/>
        <w:ind w:left="0" w:leftChars="0" w:right="0" w:firstLine="640" w:firstLineChars="200"/>
        <w:contextualSpacing/>
        <w:jc w:val="both"/>
        <w:textAlignment w:val="auto"/>
        <w:rPr>
          <w:rFonts w:hint="eastAsia" w:ascii="仿宋_GB2312" w:hAnsi="仿宋" w:eastAsia="仿宋_GB2312"/>
          <w:sz w:val="32"/>
          <w:szCs w:val="32"/>
          <w:lang w:eastAsia="zh-CN"/>
        </w:rPr>
      </w:pPr>
      <w:r>
        <w:rPr>
          <w:rFonts w:hint="eastAsia" w:ascii="仿宋_GB2312" w:hAnsi="仿宋" w:eastAsia="仿宋_GB2312"/>
          <w:sz w:val="32"/>
          <w:szCs w:val="32"/>
        </w:rPr>
        <w:t>1、项目概况：对新认定的国家高新技术企业给予最高10万元一次性奖励，复审通过的高新技术企业给予最高3万元一次性奖励</w:t>
      </w:r>
      <w:r>
        <w:rPr>
          <w:rFonts w:hint="eastAsia" w:ascii="仿宋_GB2312" w:hAnsi="仿宋" w:eastAsia="仿宋_GB2312"/>
          <w:sz w:val="32"/>
          <w:szCs w:val="32"/>
          <w:lang w:eastAsia="zh-CN"/>
        </w:rPr>
        <w:t>；</w:t>
      </w:r>
      <w:r>
        <w:rPr>
          <w:rFonts w:hint="eastAsia" w:ascii="仿宋_GB2312" w:hAnsi="仿宋" w:eastAsia="仿宋_GB2312"/>
          <w:sz w:val="32"/>
          <w:szCs w:val="32"/>
        </w:rPr>
        <w:t>对新认定的省级科技创新型企业给予最高2万元一次性奖励；对新入库的科学研究与技术服务企业，给予最高2万元一次性奖励</w:t>
      </w:r>
      <w:r>
        <w:rPr>
          <w:rFonts w:hint="eastAsia" w:ascii="仿宋_GB2312" w:hAnsi="仿宋" w:eastAsia="仿宋_GB2312"/>
          <w:sz w:val="32"/>
          <w:szCs w:val="32"/>
          <w:lang w:eastAsia="zh-CN"/>
        </w:rPr>
        <w:t>。</w:t>
      </w:r>
    </w:p>
    <w:p w14:paraId="5A9143AE">
      <w:pPr>
        <w:keepNext w:val="0"/>
        <w:keepLines w:val="0"/>
        <w:pageBreakBefore w:val="0"/>
        <w:widowControl/>
        <w:kinsoku/>
        <w:wordWrap/>
        <w:overflowPunct/>
        <w:topLinePunct w:val="0"/>
        <w:autoSpaceDE/>
        <w:autoSpaceDN/>
        <w:bidi w:val="0"/>
        <w:adjustRightInd w:val="0"/>
        <w:snapToGrid w:val="0"/>
        <w:spacing w:line="600" w:lineRule="exact"/>
        <w:ind w:left="0" w:leftChars="0" w:right="0" w:firstLine="640" w:firstLineChars="200"/>
        <w:contextualSpacing/>
        <w:jc w:val="both"/>
        <w:textAlignment w:val="auto"/>
        <w:rPr>
          <w:rFonts w:hint="default" w:ascii="仿宋_GB2312" w:hAnsi="仿宋" w:eastAsia="仿宋_GB2312"/>
          <w:sz w:val="32"/>
          <w:szCs w:val="32"/>
          <w:lang w:val="en-US" w:eastAsia="zh-CN"/>
        </w:rPr>
      </w:pPr>
      <w:r>
        <w:rPr>
          <w:rFonts w:hint="eastAsia" w:ascii="仿宋_GB2312" w:hAnsi="仿宋" w:eastAsia="仿宋_GB2312"/>
          <w:sz w:val="32"/>
          <w:szCs w:val="32"/>
        </w:rPr>
        <w:t>2、立项依据：</w:t>
      </w:r>
      <w:r>
        <w:rPr>
          <w:rFonts w:hint="eastAsia" w:ascii="仿宋_GB2312" w:hAnsi="仿宋" w:eastAsia="仿宋_GB2312"/>
          <w:sz w:val="32"/>
          <w:szCs w:val="32"/>
          <w:lang w:eastAsia="zh-CN"/>
        </w:rPr>
        <w:t>华办发</w:t>
      </w:r>
      <w:r>
        <w:rPr>
          <w:rFonts w:hint="eastAsia" w:ascii="仿宋_GB2312" w:hAnsi="仿宋" w:eastAsia="仿宋_GB2312"/>
          <w:sz w:val="32"/>
          <w:szCs w:val="32"/>
          <w:lang w:val="en-US" w:eastAsia="zh-CN"/>
        </w:rPr>
        <w:t>2023[147]号“中共华池县委办公室华池县人民政府办公室 关于印发《华池县支持“强科技”行动若干措施》的通知”。</w:t>
      </w:r>
    </w:p>
    <w:p w14:paraId="79CC55B0">
      <w:pPr>
        <w:keepNext w:val="0"/>
        <w:keepLines w:val="0"/>
        <w:pageBreakBefore w:val="0"/>
        <w:widowControl/>
        <w:kinsoku/>
        <w:wordWrap/>
        <w:overflowPunct/>
        <w:topLinePunct w:val="0"/>
        <w:autoSpaceDE/>
        <w:autoSpaceDN/>
        <w:bidi w:val="0"/>
        <w:adjustRightInd w:val="0"/>
        <w:snapToGrid w:val="0"/>
        <w:spacing w:line="600" w:lineRule="exact"/>
        <w:ind w:left="0" w:leftChars="0" w:right="0" w:firstLine="640" w:firstLineChars="200"/>
        <w:contextualSpacing/>
        <w:jc w:val="both"/>
        <w:textAlignment w:val="auto"/>
        <w:rPr>
          <w:rFonts w:hint="eastAsia" w:ascii="仿宋_GB2312" w:hAnsi="仿宋" w:eastAsia="仿宋_GB2312"/>
          <w:sz w:val="32"/>
          <w:szCs w:val="32"/>
          <w:lang w:eastAsia="zh-CN"/>
        </w:rPr>
      </w:pPr>
      <w:r>
        <w:rPr>
          <w:rFonts w:hint="eastAsia" w:ascii="仿宋_GB2312" w:hAnsi="仿宋" w:eastAsia="仿宋_GB2312"/>
          <w:sz w:val="32"/>
          <w:szCs w:val="32"/>
        </w:rPr>
        <w:t>3、实施主体：</w:t>
      </w:r>
      <w:r>
        <w:rPr>
          <w:rFonts w:hint="eastAsia" w:ascii="仿宋_GB2312" w:hAnsi="仿宋" w:eastAsia="仿宋_GB2312"/>
          <w:sz w:val="32"/>
          <w:szCs w:val="32"/>
          <w:lang w:eastAsia="zh-CN"/>
        </w:rPr>
        <w:t>华池县科学技术局</w:t>
      </w:r>
    </w:p>
    <w:p w14:paraId="2762A4A4">
      <w:pPr>
        <w:keepNext w:val="0"/>
        <w:keepLines w:val="0"/>
        <w:pageBreakBefore w:val="0"/>
        <w:widowControl/>
        <w:kinsoku/>
        <w:wordWrap/>
        <w:overflowPunct/>
        <w:topLinePunct w:val="0"/>
        <w:autoSpaceDE/>
        <w:autoSpaceDN/>
        <w:bidi w:val="0"/>
        <w:adjustRightInd w:val="0"/>
        <w:snapToGrid w:val="0"/>
        <w:spacing w:line="600" w:lineRule="exact"/>
        <w:ind w:left="0" w:leftChars="0" w:right="0" w:firstLine="640" w:firstLineChars="200"/>
        <w:contextualSpacing/>
        <w:jc w:val="both"/>
        <w:textAlignment w:val="auto"/>
        <w:rPr>
          <w:rFonts w:hint="default" w:ascii="仿宋_GB2312" w:hAnsi="仿宋" w:eastAsia="仿宋_GB2312"/>
          <w:sz w:val="32"/>
          <w:szCs w:val="32"/>
          <w:lang w:val="en-US" w:eastAsia="zh-CN"/>
        </w:rPr>
      </w:pPr>
      <w:r>
        <w:rPr>
          <w:rFonts w:hint="eastAsia" w:ascii="仿宋_GB2312" w:hAnsi="仿宋" w:eastAsia="仿宋_GB2312"/>
          <w:sz w:val="32"/>
          <w:szCs w:val="32"/>
        </w:rPr>
        <w:t>4、实施周期：</w:t>
      </w:r>
      <w:r>
        <w:rPr>
          <w:rFonts w:hint="eastAsia" w:ascii="仿宋_GB2312" w:hAnsi="仿宋" w:eastAsia="仿宋_GB2312"/>
          <w:sz w:val="32"/>
          <w:szCs w:val="32"/>
          <w:lang w:val="en-US" w:eastAsia="zh-CN"/>
        </w:rPr>
        <w:t>2026年度</w:t>
      </w:r>
    </w:p>
    <w:p w14:paraId="42F02776">
      <w:pPr>
        <w:keepNext w:val="0"/>
        <w:keepLines w:val="0"/>
        <w:pageBreakBefore w:val="0"/>
        <w:widowControl/>
        <w:kinsoku/>
        <w:wordWrap/>
        <w:overflowPunct/>
        <w:topLinePunct w:val="0"/>
        <w:autoSpaceDE/>
        <w:autoSpaceDN/>
        <w:bidi w:val="0"/>
        <w:adjustRightInd w:val="0"/>
        <w:snapToGrid w:val="0"/>
        <w:spacing w:line="600" w:lineRule="exact"/>
        <w:ind w:left="0" w:leftChars="0" w:right="0" w:firstLine="640" w:firstLineChars="200"/>
        <w:contextualSpacing/>
        <w:jc w:val="both"/>
        <w:textAlignment w:val="auto"/>
        <w:rPr>
          <w:rFonts w:hint="eastAsia" w:ascii="仿宋_GB2312" w:hAnsi="仿宋" w:eastAsia="仿宋_GB2312"/>
          <w:sz w:val="32"/>
          <w:szCs w:val="32"/>
          <w:lang w:eastAsia="zh-CN"/>
        </w:rPr>
      </w:pPr>
      <w:r>
        <w:rPr>
          <w:rFonts w:hint="eastAsia" w:ascii="仿宋_GB2312" w:hAnsi="仿宋" w:eastAsia="仿宋_GB2312"/>
          <w:sz w:val="32"/>
          <w:szCs w:val="32"/>
        </w:rPr>
        <w:t>5、实施计划：</w:t>
      </w:r>
      <w:r>
        <w:rPr>
          <w:rFonts w:hint="eastAsia" w:ascii="仿宋_GB2312" w:hAnsi="仿宋" w:eastAsia="仿宋_GB2312"/>
          <w:sz w:val="32"/>
          <w:szCs w:val="32"/>
          <w:lang w:eastAsia="zh-CN"/>
        </w:rPr>
        <w:t>根据省市下发审定的获得的奖补企业名称，按照相应的资金予以奖补。</w:t>
      </w:r>
    </w:p>
    <w:p w14:paraId="1F448E10">
      <w:pPr>
        <w:keepNext w:val="0"/>
        <w:keepLines w:val="0"/>
        <w:pageBreakBefore w:val="0"/>
        <w:widowControl/>
        <w:kinsoku/>
        <w:wordWrap/>
        <w:overflowPunct/>
        <w:topLinePunct w:val="0"/>
        <w:autoSpaceDE/>
        <w:autoSpaceDN/>
        <w:bidi w:val="0"/>
        <w:adjustRightInd w:val="0"/>
        <w:snapToGrid w:val="0"/>
        <w:spacing w:line="600" w:lineRule="exact"/>
        <w:ind w:left="0" w:leftChars="0" w:right="0" w:firstLine="640" w:firstLineChars="200"/>
        <w:contextualSpacing/>
        <w:jc w:val="both"/>
        <w:textAlignment w:val="auto"/>
        <w:rPr>
          <w:rFonts w:hint="default" w:ascii="仿宋_GB2312" w:hAnsi="仿宋" w:eastAsia="仿宋_GB2312"/>
          <w:sz w:val="32"/>
          <w:szCs w:val="32"/>
          <w:lang w:val="en-US" w:eastAsia="zh-CN"/>
        </w:rPr>
      </w:pPr>
      <w:r>
        <w:rPr>
          <w:rFonts w:hint="eastAsia" w:ascii="仿宋_GB2312" w:hAnsi="仿宋" w:eastAsia="仿宋_GB2312"/>
          <w:sz w:val="32"/>
          <w:szCs w:val="32"/>
        </w:rPr>
        <w:t>6、年度预算安排：</w:t>
      </w:r>
      <w:r>
        <w:rPr>
          <w:rFonts w:hint="eastAsia" w:ascii="仿宋_GB2312" w:hAnsi="仿宋" w:eastAsia="仿宋_GB2312"/>
          <w:sz w:val="32"/>
          <w:szCs w:val="32"/>
          <w:lang w:val="en-US" w:eastAsia="zh-CN"/>
        </w:rPr>
        <w:t>30万元。</w:t>
      </w:r>
    </w:p>
    <w:p w14:paraId="688F2895">
      <w:pPr>
        <w:keepNext w:val="0"/>
        <w:keepLines w:val="0"/>
        <w:pageBreakBefore w:val="0"/>
        <w:widowControl/>
        <w:kinsoku/>
        <w:wordWrap/>
        <w:overflowPunct/>
        <w:topLinePunct w:val="0"/>
        <w:autoSpaceDE/>
        <w:autoSpaceDN/>
        <w:bidi w:val="0"/>
        <w:adjustRightInd w:val="0"/>
        <w:snapToGrid w:val="0"/>
        <w:spacing w:line="600" w:lineRule="exact"/>
        <w:ind w:left="0" w:leftChars="0" w:right="0" w:firstLine="640" w:firstLineChars="200"/>
        <w:contextualSpacing/>
        <w:jc w:val="both"/>
        <w:textAlignment w:val="auto"/>
        <w:rPr>
          <w:rFonts w:hint="eastAsia" w:ascii="仿宋_GB2312" w:hAnsi="仿宋" w:eastAsia="仿宋_GB2312"/>
          <w:sz w:val="32"/>
          <w:szCs w:val="32"/>
          <w:lang w:eastAsia="zh-CN"/>
        </w:rPr>
      </w:pPr>
      <w:r>
        <w:rPr>
          <w:rFonts w:hint="eastAsia" w:ascii="仿宋_GB2312" w:hAnsi="仿宋" w:eastAsia="仿宋_GB2312"/>
          <w:sz w:val="32"/>
          <w:szCs w:val="32"/>
        </w:rPr>
        <w:t>7、预期总体目标：</w:t>
      </w:r>
      <w:r>
        <w:rPr>
          <w:rFonts w:hint="eastAsia" w:ascii="仿宋_GB2312" w:hAnsi="仿宋" w:eastAsia="仿宋_GB2312"/>
          <w:sz w:val="32"/>
          <w:szCs w:val="32"/>
          <w:lang w:eastAsia="zh-CN"/>
        </w:rPr>
        <w:t>通过省市县三级联动，通过资金奖补的方式激发企业科技创新活力，鼓励企业加大科技投入、自主研发、成果转化、专利申报等科技创新行动，提高企业内动力，提高产能，增加利润，从而带动县域经济的发展。</w:t>
      </w:r>
    </w:p>
    <w:p w14:paraId="51BD7EBF">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（四）部门管理转移支付情况</w:t>
      </w:r>
    </w:p>
    <w:p w14:paraId="2D829E44">
      <w:pPr>
        <w:keepNext w:val="0"/>
        <w:keepLines w:val="0"/>
        <w:pageBreakBefore w:val="0"/>
        <w:widowControl/>
        <w:kinsoku/>
        <w:wordWrap/>
        <w:overflowPunct/>
        <w:topLinePunct w:val="0"/>
        <w:autoSpaceDE/>
        <w:autoSpaceDN/>
        <w:bidi w:val="0"/>
        <w:adjustRightInd w:val="0"/>
        <w:snapToGrid w:val="0"/>
        <w:spacing w:line="600" w:lineRule="exact"/>
        <w:ind w:left="0" w:leftChars="0" w:right="0" w:firstLine="640" w:firstLineChars="200"/>
        <w:contextualSpacing/>
        <w:jc w:val="both"/>
        <w:textAlignment w:val="auto"/>
        <w:rPr>
          <w:rFonts w:ascii="仿宋_GB2312" w:hAnsi="仿宋" w:eastAsia="仿宋_GB2312"/>
          <w:sz w:val="32"/>
          <w:szCs w:val="32"/>
        </w:rPr>
      </w:pP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年，未安排预算，部门/单位管理转移支付表为空表。</w:t>
      </w:r>
    </w:p>
    <w:p w14:paraId="57061121">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（五）国有资本经营预算支出情况</w:t>
      </w:r>
    </w:p>
    <w:p w14:paraId="1C5CD9CE">
      <w:pPr>
        <w:keepNext w:val="0"/>
        <w:keepLines w:val="0"/>
        <w:pageBreakBefore w:val="0"/>
        <w:widowControl/>
        <w:kinsoku/>
        <w:wordWrap/>
        <w:overflowPunct/>
        <w:topLinePunct w:val="0"/>
        <w:autoSpaceDE/>
        <w:autoSpaceDN/>
        <w:bidi w:val="0"/>
        <w:adjustRightInd w:val="0"/>
        <w:snapToGrid w:val="0"/>
        <w:spacing w:line="600" w:lineRule="exact"/>
        <w:ind w:left="0" w:leftChars="0" w:right="0" w:firstLine="640" w:firstLineChars="200"/>
        <w:contextualSpacing/>
        <w:jc w:val="both"/>
        <w:textAlignment w:val="auto"/>
        <w:rPr>
          <w:rFonts w:ascii="仿宋_GB2312" w:hAnsi="楷体" w:eastAsia="仿宋_GB2312"/>
          <w:sz w:val="32"/>
          <w:szCs w:val="32"/>
        </w:rPr>
      </w:pPr>
      <w:r>
        <w:rPr>
          <w:rFonts w:hint="eastAsia" w:ascii="仿宋_GB2312" w:hAnsi="仿宋" w:eastAsia="仿宋_GB2312"/>
          <w:sz w:val="32"/>
          <w:szCs w:val="32"/>
          <w:lang w:val="en-US" w:eastAsia="zh-CN"/>
        </w:rPr>
        <w:t>2026</w:t>
      </w:r>
      <w:r>
        <w:rPr>
          <w:rFonts w:hint="eastAsia" w:ascii="仿宋_GB2312" w:hAnsi="仿宋" w:eastAsia="仿宋_GB2312"/>
          <w:sz w:val="32"/>
          <w:szCs w:val="32"/>
        </w:rPr>
        <w:t>年</w:t>
      </w:r>
      <w:r>
        <w:rPr>
          <w:rFonts w:hint="eastAsia" w:ascii="仿宋_GB2312" w:hAnsi="仿宋" w:eastAsia="仿宋_GB2312"/>
          <w:sz w:val="32"/>
          <w:szCs w:val="32"/>
          <w:lang w:eastAsia="zh-CN"/>
        </w:rPr>
        <w:t>，</w:t>
      </w:r>
      <w:r>
        <w:rPr>
          <w:rFonts w:hint="eastAsia" w:ascii="仿宋_GB2312" w:hAnsi="楷体" w:eastAsia="仿宋_GB2312"/>
          <w:sz w:val="32"/>
          <w:szCs w:val="32"/>
        </w:rPr>
        <w:t>未安排预算，国有资本经营预算支出情况表为空表。</w:t>
      </w:r>
    </w:p>
    <w:p w14:paraId="1ED9B130">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十、预算绩效管理情况</w:t>
      </w:r>
    </w:p>
    <w:p w14:paraId="1C62EBEC">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w:t>
      </w:r>
      <w:r>
        <w:rPr>
          <w:rFonts w:hint="eastAsia" w:ascii="楷体_GB2312" w:hAnsi="楷体" w:eastAsia="楷体_GB2312" w:cs="宋体"/>
          <w:b/>
          <w:bCs/>
          <w:kern w:val="0"/>
          <w:sz w:val="32"/>
          <w:szCs w:val="32"/>
          <w:lang w:eastAsia="zh-CN"/>
        </w:rPr>
        <w:t>202</w:t>
      </w:r>
      <w:r>
        <w:rPr>
          <w:rFonts w:hint="eastAsia" w:ascii="楷体_GB2312" w:hAnsi="楷体" w:eastAsia="楷体_GB2312" w:cs="宋体"/>
          <w:b/>
          <w:bCs/>
          <w:kern w:val="0"/>
          <w:sz w:val="32"/>
          <w:szCs w:val="32"/>
          <w:lang w:val="en-US" w:eastAsia="zh-CN"/>
        </w:rPr>
        <w:t>5</w:t>
      </w:r>
      <w:r>
        <w:rPr>
          <w:rFonts w:hint="eastAsia" w:ascii="楷体_GB2312" w:hAnsi="楷体" w:eastAsia="楷体_GB2312" w:cs="宋体"/>
          <w:b/>
          <w:bCs/>
          <w:kern w:val="0"/>
          <w:sz w:val="32"/>
          <w:szCs w:val="32"/>
        </w:rPr>
        <w:t>年预算绩效管理工作情况。</w:t>
      </w:r>
    </w:p>
    <w:p w14:paraId="5B5CCF1F">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按照《中共中央 国务院关于全面实施预算绩效管理的意见》《中共甘肃省委 甘肃省人民政府关于全面实施预算绩效管理的实施意见》等相关要求，我们将绩效理念和方法融入预算编制、执行、决算和监督全过程认真开展各项工作。</w:t>
      </w:r>
    </w:p>
    <w:p w14:paraId="545CA32B">
      <w:pPr>
        <w:widowControl/>
        <w:adjustRightInd w:val="0"/>
        <w:snapToGrid w:val="0"/>
        <w:spacing w:line="640" w:lineRule="exact"/>
        <w:ind w:firstLine="643" w:firstLineChars="200"/>
        <w:contextualSpacing/>
        <w:jc w:val="left"/>
        <w:rPr>
          <w:rFonts w:ascii="仿宋_GB2312" w:hAnsi="仿宋" w:eastAsia="仿宋_GB2312"/>
          <w:sz w:val="32"/>
          <w:szCs w:val="32"/>
        </w:rPr>
      </w:pPr>
      <w:r>
        <w:rPr>
          <w:rFonts w:hint="eastAsia" w:ascii="仿宋_GB2312" w:hAnsi="仿宋" w:eastAsia="仿宋_GB2312"/>
          <w:b/>
          <w:sz w:val="32"/>
          <w:szCs w:val="32"/>
        </w:rPr>
        <w:t>1.绩效目标管理情况。</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年度，按照“谁申请资金，谁设置目标”的原则，纳入部门预算管理的</w:t>
      </w:r>
      <w:r>
        <w:rPr>
          <w:rFonts w:hint="eastAsia" w:ascii="仿宋_GB2312" w:hAnsi="CIDFont+F6" w:eastAsia="仿宋_GB2312"/>
          <w:color w:val="000000"/>
          <w:sz w:val="32"/>
          <w:szCs w:val="32"/>
        </w:rPr>
        <w:t>部门/单位</w:t>
      </w:r>
      <w:r>
        <w:rPr>
          <w:rFonts w:hint="eastAsia" w:ascii="仿宋_GB2312" w:hAnsi="仿宋" w:eastAsia="仿宋_GB2312"/>
          <w:sz w:val="32"/>
          <w:szCs w:val="32"/>
        </w:rPr>
        <w:t>整体支出和项目绩效目标   个，按规定随年度预算一并公开项目</w:t>
      </w:r>
      <w:r>
        <w:rPr>
          <w:rFonts w:hint="eastAsia" w:ascii="仿宋_GB2312" w:hAnsi="仿宋" w:eastAsia="仿宋_GB2312"/>
          <w:sz w:val="32"/>
          <w:szCs w:val="32"/>
          <w:lang w:val="en-US" w:eastAsia="zh-CN"/>
        </w:rPr>
        <w:t>3</w:t>
      </w:r>
      <w:r>
        <w:rPr>
          <w:rFonts w:hint="eastAsia" w:ascii="仿宋_GB2312" w:hAnsi="仿宋" w:eastAsia="仿宋_GB2312"/>
          <w:sz w:val="32"/>
          <w:szCs w:val="32"/>
        </w:rPr>
        <w:t>个，公开率为</w:t>
      </w:r>
      <w:r>
        <w:rPr>
          <w:rFonts w:hint="eastAsia" w:ascii="仿宋_GB2312" w:hAnsi="仿宋" w:eastAsia="仿宋_GB2312"/>
          <w:sz w:val="32"/>
          <w:szCs w:val="32"/>
          <w:lang w:val="en-US" w:eastAsia="zh-CN"/>
        </w:rPr>
        <w:t>100</w:t>
      </w:r>
      <w:r>
        <w:rPr>
          <w:rFonts w:hint="eastAsia" w:ascii="仿宋_GB2312" w:hAnsi="仿宋" w:eastAsia="仿宋_GB2312"/>
          <w:sz w:val="32"/>
          <w:szCs w:val="32"/>
        </w:rPr>
        <w:t xml:space="preserve">  %。</w:t>
      </w:r>
    </w:p>
    <w:p w14:paraId="58BC8623">
      <w:pPr>
        <w:keepNext w:val="0"/>
        <w:keepLines w:val="0"/>
        <w:pageBreakBefore w:val="0"/>
        <w:widowControl/>
        <w:kinsoku/>
        <w:wordWrap/>
        <w:overflowPunct/>
        <w:topLinePunct w:val="0"/>
        <w:autoSpaceDE/>
        <w:autoSpaceDN/>
        <w:bidi w:val="0"/>
        <w:adjustRightInd w:val="0"/>
        <w:snapToGrid w:val="0"/>
        <w:spacing w:line="600" w:lineRule="exact"/>
        <w:ind w:left="0" w:leftChars="0" w:right="0" w:firstLine="643" w:firstLineChars="200"/>
        <w:contextualSpacing/>
        <w:jc w:val="both"/>
        <w:textAlignment w:val="auto"/>
        <w:rPr>
          <w:rFonts w:ascii="仿宋_GB2312" w:hAnsi="仿宋" w:eastAsia="仿宋_GB2312"/>
          <w:sz w:val="32"/>
          <w:szCs w:val="32"/>
        </w:rPr>
      </w:pPr>
      <w:r>
        <w:rPr>
          <w:rFonts w:hint="eastAsia" w:ascii="仿宋_GB2312" w:hAnsi="仿宋" w:eastAsia="仿宋_GB2312"/>
          <w:b/>
          <w:sz w:val="32"/>
          <w:szCs w:val="32"/>
        </w:rPr>
        <w:t>2.绩效运行监控情况。</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年7月，组织开展1-6月绩效运行监控项目</w:t>
      </w:r>
      <w:r>
        <w:rPr>
          <w:rFonts w:hint="eastAsia" w:ascii="仿宋_GB2312" w:hAnsi="仿宋" w:eastAsia="仿宋_GB2312"/>
          <w:sz w:val="32"/>
          <w:szCs w:val="32"/>
          <w:lang w:val="en-US" w:eastAsia="zh-CN"/>
        </w:rPr>
        <w:t>3</w:t>
      </w:r>
      <w:r>
        <w:rPr>
          <w:rFonts w:hint="eastAsia" w:ascii="仿宋_GB2312" w:hAnsi="仿宋" w:eastAsia="仿宋_GB2312"/>
          <w:sz w:val="32"/>
          <w:szCs w:val="32"/>
        </w:rPr>
        <w:t>个，占本</w:t>
      </w:r>
      <w:r>
        <w:rPr>
          <w:rFonts w:hint="eastAsia" w:ascii="仿宋_GB2312" w:hAnsi="CIDFont+F6" w:eastAsia="仿宋_GB2312"/>
          <w:color w:val="000000"/>
          <w:sz w:val="32"/>
          <w:szCs w:val="32"/>
        </w:rPr>
        <w:t>部门/单位</w:t>
      </w:r>
      <w:r>
        <w:rPr>
          <w:rFonts w:hint="eastAsia" w:ascii="仿宋_GB2312" w:hAnsi="仿宋" w:eastAsia="仿宋_GB2312"/>
          <w:sz w:val="32"/>
          <w:szCs w:val="32"/>
        </w:rPr>
        <w:t xml:space="preserve">项目的 </w:t>
      </w:r>
      <w:r>
        <w:rPr>
          <w:rFonts w:hint="eastAsia" w:ascii="仿宋_GB2312" w:hAnsi="仿宋" w:eastAsia="仿宋_GB2312"/>
          <w:sz w:val="32"/>
          <w:szCs w:val="32"/>
          <w:lang w:val="en-US" w:eastAsia="zh-CN"/>
        </w:rPr>
        <w:t>100</w:t>
      </w:r>
      <w:r>
        <w:rPr>
          <w:rFonts w:hint="eastAsia" w:ascii="仿宋_GB2312" w:hAnsi="仿宋" w:eastAsia="仿宋_GB2312"/>
          <w:sz w:val="32"/>
          <w:szCs w:val="32"/>
        </w:rPr>
        <w:t>%。截至7月底，如期完成预算执行和绩效目标指标值的项目</w:t>
      </w:r>
      <w:r>
        <w:rPr>
          <w:rFonts w:hint="eastAsia" w:ascii="仿宋_GB2312" w:hAnsi="仿宋" w:eastAsia="仿宋_GB2312"/>
          <w:sz w:val="32"/>
          <w:szCs w:val="32"/>
          <w:lang w:val="en-US" w:eastAsia="zh-CN"/>
        </w:rPr>
        <w:t>3</w:t>
      </w:r>
      <w:r>
        <w:rPr>
          <w:rFonts w:hint="eastAsia" w:ascii="仿宋_GB2312" w:hAnsi="仿宋" w:eastAsia="仿宋_GB2312"/>
          <w:sz w:val="32"/>
          <w:szCs w:val="32"/>
        </w:rPr>
        <w:t>个，完成率为</w:t>
      </w:r>
      <w:r>
        <w:rPr>
          <w:rFonts w:hint="eastAsia" w:ascii="仿宋_GB2312" w:hAnsi="仿宋" w:eastAsia="仿宋_GB2312"/>
          <w:sz w:val="32"/>
          <w:szCs w:val="32"/>
          <w:lang w:val="en-US" w:eastAsia="zh-CN"/>
        </w:rPr>
        <w:t>100</w:t>
      </w:r>
      <w:r>
        <w:rPr>
          <w:rFonts w:hint="eastAsia" w:ascii="仿宋_GB2312" w:hAnsi="仿宋" w:eastAsia="仿宋_GB2312"/>
          <w:sz w:val="32"/>
          <w:szCs w:val="32"/>
        </w:rPr>
        <w:t xml:space="preserve"> %。开展1-9月绩效运行监控项目</w:t>
      </w:r>
      <w:r>
        <w:rPr>
          <w:rFonts w:hint="eastAsia" w:ascii="仿宋_GB2312" w:hAnsi="仿宋" w:eastAsia="仿宋_GB2312"/>
          <w:sz w:val="32"/>
          <w:szCs w:val="32"/>
          <w:lang w:val="en-US" w:eastAsia="zh-CN"/>
        </w:rPr>
        <w:t>3</w:t>
      </w:r>
      <w:r>
        <w:rPr>
          <w:rFonts w:hint="eastAsia" w:ascii="仿宋_GB2312" w:hAnsi="仿宋" w:eastAsia="仿宋_GB2312"/>
          <w:sz w:val="32"/>
          <w:szCs w:val="32"/>
        </w:rPr>
        <w:t>个，占本部门（单位）项目的</w:t>
      </w:r>
      <w:r>
        <w:rPr>
          <w:rFonts w:hint="eastAsia" w:ascii="仿宋_GB2312" w:hAnsi="仿宋" w:eastAsia="仿宋_GB2312"/>
          <w:sz w:val="32"/>
          <w:szCs w:val="32"/>
          <w:lang w:val="en-US" w:eastAsia="zh-CN"/>
        </w:rPr>
        <w:t>100</w:t>
      </w:r>
      <w:r>
        <w:rPr>
          <w:rFonts w:hint="eastAsia" w:ascii="仿宋_GB2312" w:hAnsi="仿宋" w:eastAsia="仿宋_GB2312"/>
          <w:sz w:val="32"/>
          <w:szCs w:val="32"/>
        </w:rPr>
        <w:t>%。截至10月底，如期完成预算执行和绩效目标指标值的项目</w:t>
      </w:r>
      <w:r>
        <w:rPr>
          <w:rFonts w:hint="eastAsia" w:ascii="仿宋_GB2312" w:hAnsi="仿宋" w:eastAsia="仿宋_GB2312"/>
          <w:sz w:val="32"/>
          <w:szCs w:val="32"/>
          <w:lang w:val="en-US" w:eastAsia="zh-CN"/>
        </w:rPr>
        <w:t>3</w:t>
      </w:r>
      <w:r>
        <w:rPr>
          <w:rFonts w:hint="eastAsia" w:ascii="仿宋_GB2312" w:hAnsi="仿宋" w:eastAsia="仿宋_GB2312"/>
          <w:sz w:val="32"/>
          <w:szCs w:val="32"/>
        </w:rPr>
        <w:t>个，完成率为</w:t>
      </w:r>
      <w:r>
        <w:rPr>
          <w:rFonts w:hint="eastAsia" w:ascii="仿宋_GB2312" w:hAnsi="仿宋" w:eastAsia="仿宋_GB2312"/>
          <w:sz w:val="32"/>
          <w:szCs w:val="32"/>
          <w:lang w:val="en-US" w:eastAsia="zh-CN"/>
        </w:rPr>
        <w:t>100</w:t>
      </w:r>
      <w:r>
        <w:rPr>
          <w:rFonts w:hint="eastAsia" w:ascii="仿宋_GB2312" w:hAnsi="仿宋" w:eastAsia="仿宋_GB2312"/>
          <w:sz w:val="32"/>
          <w:szCs w:val="32"/>
        </w:rPr>
        <w:t xml:space="preserve"> %。</w:t>
      </w:r>
    </w:p>
    <w:p w14:paraId="651C1E26">
      <w:pPr>
        <w:keepNext w:val="0"/>
        <w:keepLines w:val="0"/>
        <w:pageBreakBefore w:val="0"/>
        <w:widowControl/>
        <w:kinsoku/>
        <w:wordWrap/>
        <w:overflowPunct/>
        <w:topLinePunct w:val="0"/>
        <w:autoSpaceDE/>
        <w:autoSpaceDN/>
        <w:bidi w:val="0"/>
        <w:adjustRightInd w:val="0"/>
        <w:snapToGrid w:val="0"/>
        <w:spacing w:line="600" w:lineRule="exact"/>
        <w:ind w:right="0" w:firstLine="643" w:firstLineChars="200"/>
        <w:contextualSpacing/>
        <w:jc w:val="both"/>
        <w:textAlignment w:val="auto"/>
        <w:rPr>
          <w:rFonts w:hint="eastAsia" w:ascii="仿宋_GB2312" w:hAnsi="仿宋" w:eastAsia="仿宋_GB2312"/>
          <w:sz w:val="32"/>
          <w:szCs w:val="32"/>
        </w:rPr>
      </w:pPr>
      <w:r>
        <w:rPr>
          <w:rFonts w:hint="eastAsia" w:ascii="仿宋_GB2312" w:hAnsi="仿宋" w:eastAsia="仿宋_GB2312"/>
          <w:b/>
          <w:sz w:val="32"/>
          <w:szCs w:val="32"/>
        </w:rPr>
        <w:t>3.绩效自评开展情况。</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年度，组织开展绩效自评项目共</w:t>
      </w:r>
      <w:r>
        <w:rPr>
          <w:rFonts w:hint="eastAsia" w:ascii="仿宋_GB2312" w:hAnsi="仿宋" w:eastAsia="仿宋_GB2312"/>
          <w:sz w:val="32"/>
          <w:szCs w:val="32"/>
          <w:lang w:val="en-US" w:eastAsia="zh-CN"/>
        </w:rPr>
        <w:t>3</w:t>
      </w:r>
      <w:r>
        <w:rPr>
          <w:rFonts w:hint="eastAsia" w:ascii="仿宋_GB2312" w:hAnsi="仿宋" w:eastAsia="仿宋_GB2312"/>
          <w:sz w:val="32"/>
          <w:szCs w:val="32"/>
        </w:rPr>
        <w:t xml:space="preserve">个，其中，部门（单位）整体支出 </w:t>
      </w:r>
      <w:r>
        <w:rPr>
          <w:rFonts w:hint="eastAsia" w:ascii="仿宋_GB2312" w:hAnsi="仿宋" w:eastAsia="仿宋_GB2312"/>
          <w:sz w:val="32"/>
          <w:szCs w:val="32"/>
          <w:lang w:val="en-US" w:eastAsia="zh-CN"/>
        </w:rPr>
        <w:t>1</w:t>
      </w:r>
      <w:r>
        <w:rPr>
          <w:rFonts w:hint="eastAsia" w:ascii="仿宋_GB2312" w:hAnsi="仿宋" w:eastAsia="仿宋_GB2312"/>
          <w:sz w:val="32"/>
          <w:szCs w:val="32"/>
        </w:rPr>
        <w:t>个，项目支出</w:t>
      </w:r>
      <w:r>
        <w:rPr>
          <w:rFonts w:hint="eastAsia" w:ascii="仿宋_GB2312" w:hAnsi="仿宋" w:eastAsia="仿宋_GB2312"/>
          <w:sz w:val="32"/>
          <w:szCs w:val="32"/>
          <w:lang w:val="en-US" w:eastAsia="zh-CN"/>
        </w:rPr>
        <w:t>2</w:t>
      </w:r>
      <w:r>
        <w:rPr>
          <w:rFonts w:hint="eastAsia" w:ascii="仿宋_GB2312" w:hAnsi="仿宋" w:eastAsia="仿宋_GB2312"/>
          <w:sz w:val="32"/>
          <w:szCs w:val="32"/>
        </w:rPr>
        <w:t>个，绩效自评覆盖率为</w:t>
      </w:r>
      <w:r>
        <w:rPr>
          <w:rFonts w:hint="eastAsia" w:ascii="仿宋_GB2312" w:hAnsi="仿宋" w:eastAsia="仿宋_GB2312"/>
          <w:sz w:val="32"/>
          <w:szCs w:val="32"/>
          <w:lang w:val="en-US" w:eastAsia="zh-CN"/>
        </w:rPr>
        <w:t>100</w:t>
      </w:r>
      <w:r>
        <w:rPr>
          <w:rFonts w:hint="eastAsia" w:ascii="仿宋_GB2312" w:hAnsi="仿宋" w:eastAsia="仿宋_GB2312"/>
          <w:sz w:val="32"/>
          <w:szCs w:val="32"/>
        </w:rPr>
        <w:t>%。绩效自评结果随部门决算报送财政和随决算公开情况：</w:t>
      </w:r>
      <w:r>
        <w:rPr>
          <w:rFonts w:hint="eastAsia" w:ascii="仿宋_GB2312" w:hAnsi="仿宋" w:eastAsia="仿宋_GB2312"/>
          <w:sz w:val="32"/>
          <w:szCs w:val="32"/>
          <w:lang w:eastAsia="zh-CN"/>
        </w:rPr>
        <w:t>根据县财政统一时间结点安排，</w:t>
      </w:r>
      <w:r>
        <w:rPr>
          <w:rFonts w:hint="eastAsia" w:ascii="仿宋_GB2312" w:hAnsi="仿宋" w:eastAsia="仿宋_GB2312"/>
          <w:sz w:val="32"/>
          <w:szCs w:val="32"/>
          <w:lang w:val="en-US" w:eastAsia="zh-CN"/>
        </w:rPr>
        <w:t>2025年绩效自评结果将随2025年决算一起公开</w:t>
      </w:r>
      <w:r>
        <w:rPr>
          <w:rFonts w:hint="eastAsia" w:ascii="仿宋_GB2312" w:hAnsi="仿宋" w:eastAsia="仿宋_GB2312"/>
          <w:sz w:val="32"/>
          <w:szCs w:val="32"/>
        </w:rPr>
        <w:t>。</w:t>
      </w:r>
    </w:p>
    <w:p w14:paraId="1B5CB531">
      <w:pPr>
        <w:widowControl/>
        <w:adjustRightInd w:val="0"/>
        <w:snapToGrid w:val="0"/>
        <w:spacing w:line="640" w:lineRule="exact"/>
        <w:ind w:firstLine="643" w:firstLineChars="200"/>
        <w:contextualSpacing/>
        <w:jc w:val="left"/>
        <w:rPr>
          <w:rFonts w:ascii="仿宋_GB2312" w:hAnsi="仿宋" w:eastAsia="仿宋_GB2312"/>
          <w:sz w:val="32"/>
          <w:szCs w:val="32"/>
        </w:rPr>
      </w:pPr>
      <w:r>
        <w:rPr>
          <w:rFonts w:hint="eastAsia" w:ascii="仿宋_GB2312" w:hAnsi="仿宋" w:eastAsia="仿宋_GB2312"/>
          <w:b/>
          <w:sz w:val="32"/>
          <w:szCs w:val="32"/>
        </w:rPr>
        <w:t>4.绩效结果应用情况。</w:t>
      </w:r>
      <w:r>
        <w:rPr>
          <w:rFonts w:hint="eastAsia" w:ascii="仿宋_GB2312" w:hAnsi="仿宋" w:eastAsia="仿宋_GB2312"/>
          <w:sz w:val="32"/>
          <w:szCs w:val="32"/>
        </w:rPr>
        <w:t>根据</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年度绩效运行监控、绩效自评等情况，当年盘活财政资金</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年度增加（减少）部门预算项目</w:t>
      </w:r>
      <w:r>
        <w:rPr>
          <w:rFonts w:hint="eastAsia" w:ascii="仿宋_GB2312" w:hAnsi="仿宋" w:eastAsia="仿宋_GB2312"/>
          <w:sz w:val="32"/>
          <w:szCs w:val="32"/>
          <w:lang w:val="en-US" w:eastAsia="zh-CN"/>
        </w:rPr>
        <w:t>0</w:t>
      </w:r>
      <w:r>
        <w:rPr>
          <w:rFonts w:hint="eastAsia" w:ascii="仿宋_GB2312" w:hAnsi="仿宋" w:eastAsia="仿宋_GB2312"/>
          <w:sz w:val="32"/>
          <w:szCs w:val="32"/>
        </w:rPr>
        <w:t>个，增长率/压减率</w:t>
      </w:r>
      <w:r>
        <w:rPr>
          <w:rFonts w:hint="eastAsia" w:ascii="仿宋_GB2312" w:hAnsi="仿宋" w:eastAsia="仿宋_GB2312"/>
          <w:sz w:val="32"/>
          <w:szCs w:val="32"/>
          <w:lang w:val="en-US" w:eastAsia="zh-CN"/>
        </w:rPr>
        <w:t>0</w:t>
      </w:r>
      <w:r>
        <w:rPr>
          <w:rFonts w:hint="eastAsia" w:ascii="仿宋_GB2312" w:hAnsi="仿宋" w:eastAsia="仿宋_GB2312"/>
          <w:sz w:val="32"/>
          <w:szCs w:val="32"/>
        </w:rPr>
        <w:t xml:space="preserve"> %。同时对政策和项目资金管理作出调整的   个。</w:t>
      </w:r>
    </w:p>
    <w:p w14:paraId="7067FDF0">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w:t>
      </w:r>
      <w:r>
        <w:rPr>
          <w:rFonts w:hint="eastAsia" w:ascii="楷体_GB2312" w:hAnsi="楷体" w:eastAsia="楷体_GB2312" w:cs="宋体"/>
          <w:b/>
          <w:bCs/>
          <w:kern w:val="0"/>
          <w:sz w:val="32"/>
          <w:szCs w:val="32"/>
          <w:lang w:eastAsia="zh-CN"/>
        </w:rPr>
        <w:t>202</w:t>
      </w:r>
      <w:r>
        <w:rPr>
          <w:rFonts w:hint="eastAsia" w:ascii="楷体_GB2312" w:hAnsi="楷体" w:eastAsia="楷体_GB2312" w:cs="宋体"/>
          <w:b/>
          <w:bCs/>
          <w:kern w:val="0"/>
          <w:sz w:val="32"/>
          <w:szCs w:val="32"/>
          <w:lang w:val="en-US" w:eastAsia="zh-CN"/>
        </w:rPr>
        <w:t>6</w:t>
      </w:r>
      <w:r>
        <w:rPr>
          <w:rFonts w:hint="eastAsia" w:ascii="楷体_GB2312" w:hAnsi="楷体" w:eastAsia="楷体_GB2312" w:cs="宋体"/>
          <w:b/>
          <w:bCs/>
          <w:kern w:val="0"/>
          <w:sz w:val="32"/>
          <w:szCs w:val="32"/>
        </w:rPr>
        <w:t>年绩效目标编制情况</w:t>
      </w:r>
    </w:p>
    <w:p w14:paraId="5ED3C404">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年，纳入部门/单位预算绩效目标管理的项目</w:t>
      </w:r>
      <w:r>
        <w:rPr>
          <w:rFonts w:hint="eastAsia" w:ascii="仿宋_GB2312" w:hAnsi="仿宋" w:eastAsia="仿宋_GB2312"/>
          <w:sz w:val="32"/>
          <w:szCs w:val="32"/>
          <w:lang w:val="en-US" w:eastAsia="zh-CN"/>
        </w:rPr>
        <w:t>3</w:t>
      </w:r>
      <w:r>
        <w:rPr>
          <w:rFonts w:hint="eastAsia" w:ascii="仿宋_GB2312" w:hAnsi="仿宋" w:eastAsia="仿宋_GB2312"/>
          <w:sz w:val="32"/>
          <w:szCs w:val="32"/>
        </w:rPr>
        <w:t>个。其中，部门整体支出绩效目标围绕部门管理、履职效果、能力建设三个维度，设置二级指标</w:t>
      </w:r>
      <w:r>
        <w:rPr>
          <w:rFonts w:hint="eastAsia" w:ascii="仿宋_GB2312" w:hAnsi="仿宋" w:eastAsia="仿宋_GB2312"/>
          <w:sz w:val="32"/>
          <w:szCs w:val="32"/>
          <w:lang w:val="en-US" w:eastAsia="zh-CN"/>
        </w:rPr>
        <w:t>17</w:t>
      </w:r>
      <w:r>
        <w:rPr>
          <w:rFonts w:hint="eastAsia" w:ascii="仿宋_GB2312" w:hAnsi="仿宋" w:eastAsia="仿宋_GB2312"/>
          <w:sz w:val="32"/>
          <w:szCs w:val="32"/>
        </w:rPr>
        <w:t>个、三级指标</w:t>
      </w:r>
      <w:r>
        <w:rPr>
          <w:rFonts w:hint="eastAsia" w:ascii="仿宋_GB2312" w:hAnsi="仿宋" w:eastAsia="仿宋_GB2312"/>
          <w:sz w:val="32"/>
          <w:szCs w:val="32"/>
          <w:lang w:val="en-US" w:eastAsia="zh-CN"/>
        </w:rPr>
        <w:t>27</w:t>
      </w:r>
      <w:r>
        <w:rPr>
          <w:rFonts w:hint="eastAsia" w:ascii="仿宋_GB2312" w:hAnsi="仿宋" w:eastAsia="仿宋_GB2312"/>
          <w:sz w:val="32"/>
          <w:szCs w:val="32"/>
        </w:rPr>
        <w:t>个；项目支出绩效目标围绕成本指标、产出指标、效益指标、满意度指标四个维度，设置二级指标</w:t>
      </w:r>
      <w:r>
        <w:rPr>
          <w:rFonts w:hint="eastAsia" w:ascii="仿宋_GB2312" w:hAnsi="仿宋" w:eastAsia="仿宋_GB2312"/>
          <w:sz w:val="32"/>
          <w:szCs w:val="32"/>
          <w:lang w:val="en-US" w:eastAsia="zh-CN"/>
        </w:rPr>
        <w:t>9</w:t>
      </w:r>
      <w:r>
        <w:rPr>
          <w:rFonts w:hint="eastAsia" w:ascii="仿宋_GB2312" w:hAnsi="仿宋" w:eastAsia="仿宋_GB2312"/>
          <w:sz w:val="32"/>
          <w:szCs w:val="32"/>
        </w:rPr>
        <w:t>个、三级指标</w:t>
      </w:r>
      <w:r>
        <w:rPr>
          <w:rFonts w:hint="eastAsia" w:ascii="仿宋_GB2312" w:hAnsi="仿宋" w:eastAsia="仿宋_GB2312"/>
          <w:sz w:val="32"/>
          <w:szCs w:val="32"/>
          <w:lang w:val="en-US" w:eastAsia="zh-CN"/>
        </w:rPr>
        <w:t>17</w:t>
      </w:r>
      <w:r>
        <w:rPr>
          <w:rFonts w:hint="eastAsia" w:ascii="仿宋_GB2312" w:hAnsi="仿宋" w:eastAsia="仿宋_GB2312"/>
          <w:sz w:val="32"/>
          <w:szCs w:val="32"/>
        </w:rPr>
        <w:t>个。各项绩效目标内容指向明确、细化量化、合理可行，符合规定的格式要求。</w:t>
      </w:r>
    </w:p>
    <w:p w14:paraId="1B6BE290">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十一、名词解释</w:t>
      </w:r>
    </w:p>
    <w:p w14:paraId="476EBD1E">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1、财政拨款:</w:t>
      </w:r>
      <w:r>
        <w:rPr>
          <w:rFonts w:hint="eastAsia" w:ascii="仿宋_GB2312" w:hAnsi="CIDFont+F6" w:eastAsia="仿宋_GB2312"/>
          <w:color w:val="000000"/>
          <w:sz w:val="32"/>
          <w:szCs w:val="32"/>
        </w:rPr>
        <w:t>指由一般公共预算、政府性基金预算、国有资本经营预算安排的财政拨款数。</w:t>
      </w:r>
    </w:p>
    <w:p w14:paraId="4CC6C57A">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2、一般公共预算:</w:t>
      </w:r>
      <w:r>
        <w:rPr>
          <w:rFonts w:hint="eastAsia" w:ascii="仿宋_GB2312" w:hAnsi="CIDFont+F6" w:eastAsia="仿宋_GB2312"/>
          <w:color w:val="000000"/>
          <w:sz w:val="32"/>
          <w:szCs w:val="32"/>
        </w:rPr>
        <w:t>包括公共财政拨款（补助）资金、专项收入。</w:t>
      </w:r>
    </w:p>
    <w:p w14:paraId="7908A71B">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3、财政专户管理资金:</w:t>
      </w:r>
      <w:r>
        <w:rPr>
          <w:rFonts w:hint="eastAsia" w:ascii="仿宋_GB2312" w:hAnsi="CIDFont+F6" w:eastAsia="仿宋_GB2312"/>
          <w:color w:val="000000"/>
          <w:sz w:val="32"/>
          <w:szCs w:val="32"/>
        </w:rPr>
        <w:t>包括专户管理行政事业性收费（主要是教育收费）、其他非税收入。</w:t>
      </w:r>
    </w:p>
    <w:p w14:paraId="4CE172D2">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4、其他资金:</w:t>
      </w:r>
      <w:r>
        <w:rPr>
          <w:rFonts w:hint="eastAsia" w:ascii="仿宋_GB2312" w:hAnsi="CIDFont+F6" w:eastAsia="仿宋_GB2312"/>
          <w:color w:val="000000"/>
          <w:sz w:val="32"/>
          <w:szCs w:val="32"/>
        </w:rPr>
        <w:t>包括事业收入、事业经营收入、其他收入等。</w:t>
      </w:r>
    </w:p>
    <w:p w14:paraId="6D5803A7">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5、基本支出:</w:t>
      </w:r>
      <w:r>
        <w:rPr>
          <w:rFonts w:hint="eastAsia" w:ascii="仿宋_GB2312" w:hAnsi="CIDFont+F6" w:eastAsia="仿宋_GB2312"/>
          <w:color w:val="000000"/>
          <w:sz w:val="32"/>
          <w:szCs w:val="32"/>
        </w:rPr>
        <w:t>包括人员经费、公用经费（定额）。其中，人员经费包括工资福利支出、对个人和家庭的补助。</w:t>
      </w:r>
    </w:p>
    <w:p w14:paraId="696C919E">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6、项目支出:</w:t>
      </w:r>
      <w:r>
        <w:rPr>
          <w:rFonts w:hint="eastAsia" w:ascii="仿宋_GB2312" w:hAnsi="CIDFont+F6" w:eastAsia="仿宋_GB2312"/>
          <w:color w:val="000000"/>
          <w:sz w:val="32"/>
          <w:szCs w:val="32"/>
        </w:rPr>
        <w:t>部门（单位）支出预算的组成部分，是各部门（单位）为完成其特定的行政任务或事业发展目标，在基本支出预算之外编制的年度项目支出计划。</w:t>
      </w:r>
    </w:p>
    <w:p w14:paraId="3E4D9AA1">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7、“三公”经费:</w:t>
      </w:r>
      <w:r>
        <w:rPr>
          <w:rFonts w:hint="eastAsia" w:ascii="仿宋_GB2312" w:hAnsi="CIDFont+F6" w:eastAsia="仿宋_GB2312"/>
          <w:color w:val="000000"/>
          <w:sz w:val="32"/>
          <w:szCs w:val="32"/>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14:paraId="4CA7FF0F">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8、机关运行经费:</w:t>
      </w:r>
      <w:r>
        <w:rPr>
          <w:rFonts w:hint="eastAsia" w:ascii="仿宋_GB2312" w:hAnsi="CIDFont+F6" w:eastAsia="仿宋_GB2312"/>
          <w:color w:val="000000"/>
          <w:sz w:val="32"/>
          <w:szCs w:val="32"/>
        </w:rPr>
        <w:t>为保障行政单位（包括实行公务员管理的事业单位）运行用于购买货物和服务的各项资金，包括办公及印刷费、邮电费、差旅费、会议费、福利费、日常维修费、一般设备购置费、办公用房水电费、办公用房取暖费、办公用房物业管理费、公务用车运行维护费以及其他费用。</w:t>
      </w:r>
    </w:p>
    <w:p w14:paraId="49B31ED0">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w:t>
      </w:r>
    </w:p>
    <w:p w14:paraId="2FC9AB6B">
      <w:pPr>
        <w:adjustRightInd w:val="0"/>
        <w:snapToGrid w:val="0"/>
        <w:spacing w:line="640" w:lineRule="exact"/>
        <w:contextualSpacing/>
        <w:rPr>
          <w:rFonts w:hint="eastAsia" w:ascii="仿宋_GB2312" w:hAnsi="CIDFont+F4" w:eastAsia="仿宋_GB2312"/>
          <w:b/>
          <w:color w:val="000000"/>
          <w:sz w:val="32"/>
          <w:szCs w:val="32"/>
        </w:rPr>
      </w:pPr>
      <w:r>
        <w:rPr>
          <w:rFonts w:hint="eastAsia" w:ascii="仿宋_GB2312" w:hAnsi="CIDFont+F4" w:eastAsia="仿宋_GB2312"/>
          <w:b/>
          <w:color w:val="000000"/>
          <w:sz w:val="32"/>
          <w:szCs w:val="32"/>
        </w:rPr>
        <w:t>（请部门/单位对编制中涉及的专业名词进行补充解释）</w:t>
      </w:r>
    </w:p>
    <w:p w14:paraId="18C50624">
      <w:pPr>
        <w:adjustRightInd w:val="0"/>
        <w:snapToGrid w:val="0"/>
        <w:spacing w:line="640" w:lineRule="exact"/>
        <w:contextualSpacing/>
        <w:jc w:val="right"/>
        <w:rPr>
          <w:rFonts w:hint="eastAsia" w:ascii="仿宋_GB2312" w:hAnsi="CIDFont+F6" w:eastAsia="仿宋_GB2312"/>
          <w:color w:val="000000"/>
          <w:sz w:val="32"/>
          <w:szCs w:val="32"/>
        </w:rPr>
      </w:pPr>
    </w:p>
    <w:p w14:paraId="453FCEBD">
      <w:pPr>
        <w:adjustRightInd w:val="0"/>
        <w:snapToGrid w:val="0"/>
        <w:spacing w:line="640" w:lineRule="exact"/>
        <w:contextualSpacing/>
        <w:jc w:val="right"/>
        <w:rPr>
          <w:rFonts w:hint="eastAsia" w:ascii="仿宋_GB2312" w:hAnsi="CIDFont+F6" w:eastAsia="仿宋_GB2312"/>
          <w:color w:val="000000"/>
          <w:sz w:val="32"/>
          <w:szCs w:val="32"/>
        </w:rPr>
      </w:pPr>
    </w:p>
    <w:p w14:paraId="4DBF9639">
      <w:pPr>
        <w:keepNext w:val="0"/>
        <w:keepLines w:val="0"/>
        <w:pageBreakBefore w:val="0"/>
        <w:kinsoku/>
        <w:wordWrap/>
        <w:overflowPunct/>
        <w:topLinePunct w:val="0"/>
        <w:autoSpaceDE/>
        <w:autoSpaceDN/>
        <w:bidi w:val="0"/>
        <w:adjustRightInd w:val="0"/>
        <w:snapToGrid w:val="0"/>
        <w:spacing w:line="600" w:lineRule="exact"/>
        <w:ind w:left="0" w:leftChars="0" w:right="0" w:firstLine="5760" w:firstLineChars="1800"/>
        <w:contextualSpacing/>
        <w:jc w:val="both"/>
        <w:textAlignment w:val="auto"/>
        <w:rPr>
          <w:rFonts w:hint="default" w:ascii="仿宋_GB2312" w:hAnsi="CIDFont+F6" w:eastAsia="仿宋_GB2312"/>
          <w:color w:val="000000"/>
          <w:sz w:val="32"/>
          <w:szCs w:val="32"/>
          <w:lang w:val="en-US" w:eastAsia="zh-CN"/>
        </w:rPr>
      </w:pPr>
      <w:r>
        <w:rPr>
          <w:rFonts w:hint="eastAsia" w:ascii="仿宋_GB2312" w:hAnsi="CIDFont+F6" w:eastAsia="仿宋_GB2312"/>
          <w:color w:val="000000"/>
          <w:sz w:val="32"/>
          <w:szCs w:val="32"/>
          <w:lang w:val="en-US" w:eastAsia="zh-CN"/>
        </w:rPr>
        <w:t>华池县科学技术局</w:t>
      </w:r>
    </w:p>
    <w:p w14:paraId="72149368">
      <w:pPr>
        <w:adjustRightInd w:val="0"/>
        <w:snapToGrid w:val="0"/>
        <w:spacing w:line="640" w:lineRule="exact"/>
        <w:ind w:firstLine="6080" w:firstLineChars="1900"/>
        <w:contextualSpacing/>
        <w:rPr>
          <w:rFonts w:ascii="仿宋_GB2312" w:hAnsi="宋体" w:eastAsia="仿宋_GB2312" w:cs="宋体"/>
          <w:kern w:val="0"/>
          <w:sz w:val="32"/>
          <w:szCs w:val="32"/>
        </w:rPr>
      </w:pPr>
      <w:r>
        <w:rPr>
          <w:rFonts w:hint="eastAsia" w:ascii="仿宋_GB2312" w:hAnsi="CIDFont+F6" w:eastAsia="仿宋_GB2312"/>
          <w:color w:val="000000"/>
          <w:sz w:val="32"/>
          <w:szCs w:val="32"/>
          <w:lang w:val="en-US" w:eastAsia="zh-CN"/>
        </w:rPr>
        <w:t>2026</w:t>
      </w:r>
      <w:r>
        <w:rPr>
          <w:rFonts w:hint="eastAsia" w:ascii="仿宋_GB2312" w:hAnsi="CIDFont+F6" w:eastAsia="仿宋_GB2312"/>
          <w:color w:val="000000"/>
          <w:sz w:val="32"/>
          <w:szCs w:val="32"/>
        </w:rPr>
        <w:t xml:space="preserve">年 </w:t>
      </w:r>
      <w:r>
        <w:rPr>
          <w:rFonts w:hint="eastAsia" w:ascii="仿宋_GB2312" w:hAnsi="CIDFont+F6" w:eastAsia="仿宋_GB2312"/>
          <w:color w:val="000000"/>
          <w:sz w:val="32"/>
          <w:szCs w:val="32"/>
          <w:lang w:val="en-US" w:eastAsia="zh-CN"/>
        </w:rPr>
        <w:t>3</w:t>
      </w:r>
      <w:r>
        <w:rPr>
          <w:rFonts w:hint="eastAsia" w:ascii="仿宋_GB2312" w:hAnsi="CIDFont+F6" w:eastAsia="仿宋_GB2312"/>
          <w:color w:val="000000"/>
          <w:sz w:val="32"/>
          <w:szCs w:val="32"/>
        </w:rPr>
        <w:t xml:space="preserve">月 </w:t>
      </w:r>
      <w:r>
        <w:rPr>
          <w:rFonts w:hint="eastAsia" w:ascii="仿宋_GB2312" w:hAnsi="CIDFont+F6" w:eastAsia="仿宋_GB2312"/>
          <w:color w:val="000000"/>
          <w:sz w:val="32"/>
          <w:szCs w:val="32"/>
          <w:lang w:val="en-US" w:eastAsia="zh-CN"/>
        </w:rPr>
        <w:t>12</w:t>
      </w:r>
      <w:r>
        <w:rPr>
          <w:rFonts w:hint="eastAsia" w:ascii="仿宋_GB2312" w:hAnsi="CIDFont+F6" w:eastAsia="仿宋_GB2312"/>
          <w:color w:val="000000"/>
          <w:sz w:val="32"/>
          <w:szCs w:val="32"/>
        </w:rPr>
        <w:t>日</w:t>
      </w:r>
    </w:p>
    <w:p w14:paraId="0358EE45">
      <w:pPr>
        <w:adjustRightInd w:val="0"/>
        <w:snapToGrid w:val="0"/>
        <w:spacing w:line="640" w:lineRule="exact"/>
        <w:ind w:firstLine="640" w:firstLineChars="200"/>
        <w:contextualSpacing/>
        <w:rPr>
          <w:rFonts w:ascii="仿宋_GB2312" w:hAnsi="宋体" w:eastAsia="仿宋_GB2312" w:cs="宋体"/>
          <w:spacing w:val="-20"/>
          <w:kern w:val="0"/>
          <w:sz w:val="32"/>
          <w:szCs w:val="32"/>
        </w:rPr>
      </w:pPr>
      <w:r>
        <w:rPr>
          <w:rFonts w:hint="eastAsia" w:ascii="仿宋_GB2312" w:hAnsi="宋体" w:eastAsia="仿宋_GB2312" w:cs="宋体"/>
          <w:kern w:val="0"/>
          <w:sz w:val="32"/>
          <w:szCs w:val="32"/>
        </w:rPr>
        <w:t>附件：</w:t>
      </w:r>
      <w:r>
        <w:rPr>
          <w:rFonts w:hint="eastAsia" w:ascii="仿宋_GB2312" w:hAnsi="宋体" w:eastAsia="仿宋_GB2312" w:cs="宋体"/>
          <w:spacing w:val="-20"/>
          <w:kern w:val="0"/>
          <w:sz w:val="32"/>
          <w:szCs w:val="32"/>
        </w:rPr>
        <w:t>1.</w:t>
      </w:r>
      <w:r>
        <w:rPr>
          <w:rFonts w:hint="eastAsia" w:ascii="仿宋_GB2312" w:hAnsi="宋体" w:eastAsia="仿宋_GB2312" w:cs="宋体"/>
          <w:spacing w:val="-20"/>
          <w:kern w:val="0"/>
          <w:sz w:val="32"/>
          <w:szCs w:val="32"/>
          <w:lang w:val="en-US" w:eastAsia="zh-CN"/>
        </w:rPr>
        <w:t>华池县科学技术局</w:t>
      </w:r>
      <w:r>
        <w:rPr>
          <w:rFonts w:hint="eastAsia" w:ascii="仿宋_GB2312" w:hAnsi="宋体" w:eastAsia="仿宋_GB2312" w:cs="宋体"/>
          <w:spacing w:val="-20"/>
          <w:kern w:val="0"/>
          <w:sz w:val="32"/>
          <w:szCs w:val="32"/>
          <w:lang w:eastAsia="zh-CN"/>
        </w:rPr>
        <w:t>202</w:t>
      </w:r>
      <w:r>
        <w:rPr>
          <w:rFonts w:hint="eastAsia" w:ascii="仿宋_GB2312" w:hAnsi="宋体" w:eastAsia="仿宋_GB2312" w:cs="宋体"/>
          <w:spacing w:val="-20"/>
          <w:kern w:val="0"/>
          <w:sz w:val="32"/>
          <w:szCs w:val="32"/>
          <w:lang w:val="en-US" w:eastAsia="zh-CN"/>
        </w:rPr>
        <w:t>6</w:t>
      </w:r>
      <w:r>
        <w:rPr>
          <w:rFonts w:hint="eastAsia" w:ascii="仿宋_GB2312" w:hAnsi="宋体" w:eastAsia="仿宋_GB2312" w:cs="宋体"/>
          <w:spacing w:val="-20"/>
          <w:kern w:val="0"/>
          <w:sz w:val="32"/>
          <w:szCs w:val="32"/>
        </w:rPr>
        <w:t>年</w:t>
      </w:r>
      <w:r>
        <w:rPr>
          <w:rFonts w:hint="eastAsia" w:ascii="仿宋_GB2312" w:hAnsi="CIDFont+F6" w:eastAsia="仿宋_GB2312"/>
          <w:color w:val="000000"/>
          <w:sz w:val="32"/>
          <w:szCs w:val="32"/>
        </w:rPr>
        <w:t>部门/单位</w:t>
      </w:r>
      <w:r>
        <w:rPr>
          <w:rFonts w:hint="eastAsia" w:ascii="仿宋_GB2312" w:hAnsi="宋体" w:eastAsia="仿宋_GB2312" w:cs="宋体"/>
          <w:spacing w:val="-20"/>
          <w:kern w:val="0"/>
          <w:sz w:val="32"/>
          <w:szCs w:val="32"/>
        </w:rPr>
        <w:t>预算公开表</w:t>
      </w:r>
    </w:p>
    <w:p w14:paraId="4E90257E">
      <w:pPr>
        <w:adjustRightInd w:val="0"/>
        <w:snapToGrid w:val="0"/>
        <w:spacing w:line="640" w:lineRule="exact"/>
        <w:ind w:left="1796" w:leftChars="767" w:hanging="185" w:hangingChars="58"/>
        <w:contextualSpacing/>
        <w:rPr>
          <w:rFonts w:ascii="仿宋_GB2312" w:hAnsi="宋体" w:eastAsia="仿宋_GB2312" w:cs="宋体"/>
          <w:kern w:val="0"/>
          <w:sz w:val="32"/>
          <w:szCs w:val="32"/>
        </w:rPr>
      </w:pPr>
      <w:r>
        <w:rPr>
          <w:rFonts w:hint="eastAsia" w:ascii="仿宋_GB2312" w:hAnsi="宋体" w:eastAsia="仿宋_GB2312" w:cs="宋体"/>
          <w:kern w:val="0"/>
          <w:sz w:val="32"/>
          <w:szCs w:val="32"/>
        </w:rPr>
        <w:t>2.</w:t>
      </w:r>
      <w:r>
        <w:rPr>
          <w:rFonts w:hint="eastAsia" w:ascii="仿宋_GB2312" w:hAnsi="宋体" w:eastAsia="仿宋_GB2312" w:cs="宋体"/>
          <w:spacing w:val="-20"/>
          <w:kern w:val="0"/>
          <w:sz w:val="32"/>
          <w:szCs w:val="32"/>
          <w:lang w:val="en-US" w:eastAsia="zh-CN"/>
        </w:rPr>
        <w:t>华池县科学技术局</w:t>
      </w:r>
      <w:r>
        <w:rPr>
          <w:rFonts w:hint="eastAsia" w:ascii="仿宋_GB2312" w:hAnsi="宋体" w:eastAsia="仿宋_GB2312" w:cs="宋体"/>
          <w:kern w:val="0"/>
          <w:sz w:val="32"/>
          <w:szCs w:val="32"/>
        </w:rPr>
        <w:t xml:space="preserve"> </w:t>
      </w:r>
      <w:r>
        <w:rPr>
          <w:rFonts w:hint="eastAsia" w:ascii="仿宋_GB2312" w:hAnsi="宋体" w:eastAsia="仿宋_GB2312" w:cs="宋体"/>
          <w:kern w:val="0"/>
          <w:sz w:val="32"/>
          <w:szCs w:val="32"/>
          <w:lang w:eastAsia="zh-CN"/>
        </w:rPr>
        <w:t>202</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年</w:t>
      </w:r>
      <w:r>
        <w:rPr>
          <w:rFonts w:hint="eastAsia" w:ascii="仿宋_GB2312" w:hAnsi="CIDFont+F6" w:eastAsia="仿宋_GB2312"/>
          <w:color w:val="000000"/>
          <w:sz w:val="32"/>
          <w:szCs w:val="32"/>
        </w:rPr>
        <w:t>部门/单位</w:t>
      </w:r>
      <w:r>
        <w:rPr>
          <w:rFonts w:hint="eastAsia" w:ascii="仿宋_GB2312" w:hAnsi="宋体" w:eastAsia="仿宋_GB2312" w:cs="宋体"/>
          <w:kern w:val="0"/>
          <w:sz w:val="32"/>
          <w:szCs w:val="32"/>
        </w:rPr>
        <w:t>整体支出绩效目标及预算项目绩效目标表</w:t>
      </w:r>
    </w:p>
    <w:p w14:paraId="22DB4760">
      <w:pPr>
        <w:tabs>
          <w:tab w:val="left" w:pos="1272"/>
        </w:tabs>
      </w:pP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TimesNewRomanPSMT">
    <w:altName w:val="Times New Roman"/>
    <w:panose1 w:val="00000000000000000000"/>
    <w:charset w:val="00"/>
    <w:family w:val="roma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CIDFont+F6">
    <w:altName w:val="ESRI AMFM Electric"/>
    <w:panose1 w:val="00000000000000000000"/>
    <w:charset w:val="00"/>
    <w:family w:val="roman"/>
    <w:pitch w:val="default"/>
    <w:sig w:usb0="00000000" w:usb1="00000000" w:usb2="00000000" w:usb3="00000000" w:csb0="00000000" w:csb1="00000000"/>
  </w:font>
  <w:font w:name="ESRI AMFM Electric">
    <w:panose1 w:val="02000400000000000000"/>
    <w:charset w:val="00"/>
    <w:family w:val="auto"/>
    <w:pitch w:val="default"/>
    <w:sig w:usb0="00000003" w:usb1="00000000" w:usb2="00000000" w:usb3="00000000" w:csb0="00000001" w:csb1="00000000"/>
  </w:font>
  <w:font w:name="CIDFont+F4">
    <w:altName w:val="ESRI AMFM Electric"/>
    <w:panose1 w:val="00000000000000000000"/>
    <w:charset w:val="00"/>
    <w:family w:val="roman"/>
    <w:pitch w:val="default"/>
    <w:sig w:usb0="00000000" w:usb1="00000000" w:usb2="00000000" w:usb3="00000000" w:csb0="00000000" w:csb1="00000000"/>
  </w:font>
  <w:font w:name="KSOFF9CC6125">
    <w:panose1 w:val="02010609060101010101"/>
    <w:charset w:val="86"/>
    <w:family w:val="auto"/>
    <w:pitch w:val="default"/>
    <w:sig w:usb0="00000001" w:usb1="00000000" w:usb2="00000000"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EBF69E">
    <w:pPr>
      <w:pStyle w:val="5"/>
      <w:jc w:val="center"/>
    </w:pPr>
  </w:p>
  <w:p w14:paraId="18AFAB9B">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4C854A">
    <w:pPr>
      <w:pStyle w:val="5"/>
      <w:jc w:val="center"/>
    </w:pPr>
    <w:r>
      <w:fldChar w:fldCharType="begin"/>
    </w:r>
    <w:r>
      <w:instrText xml:space="preserve">PAGE   \* MERGEFORMAT</w:instrText>
    </w:r>
    <w:r>
      <w:fldChar w:fldCharType="separate"/>
    </w:r>
    <w:r>
      <w:rPr>
        <w:lang w:val="zh-CN"/>
      </w:rPr>
      <w:t>27</w:t>
    </w:r>
    <w:r>
      <w:fldChar w:fldCharType="end"/>
    </w:r>
  </w:p>
  <w:p w14:paraId="7F222DAC">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BjNDcxNWMxNzA4MWQ4MjRlNWExMTQwYmYzY2EyYmIifQ=="/>
  </w:docVars>
  <w:rsids>
    <w:rsidRoot w:val="00FB4362"/>
    <w:rsid w:val="00000C55"/>
    <w:rsid w:val="00001446"/>
    <w:rsid w:val="0001130C"/>
    <w:rsid w:val="00011F27"/>
    <w:rsid w:val="00012457"/>
    <w:rsid w:val="00021BBF"/>
    <w:rsid w:val="00030443"/>
    <w:rsid w:val="00030F4C"/>
    <w:rsid w:val="0003278A"/>
    <w:rsid w:val="000368FE"/>
    <w:rsid w:val="00042A06"/>
    <w:rsid w:val="00043601"/>
    <w:rsid w:val="000442B5"/>
    <w:rsid w:val="0004639D"/>
    <w:rsid w:val="000465E2"/>
    <w:rsid w:val="0005161F"/>
    <w:rsid w:val="000547D1"/>
    <w:rsid w:val="00055759"/>
    <w:rsid w:val="000612EE"/>
    <w:rsid w:val="00061BAF"/>
    <w:rsid w:val="0006337D"/>
    <w:rsid w:val="00074626"/>
    <w:rsid w:val="00076B62"/>
    <w:rsid w:val="00082093"/>
    <w:rsid w:val="000861D5"/>
    <w:rsid w:val="0009273A"/>
    <w:rsid w:val="000A20A7"/>
    <w:rsid w:val="000A655B"/>
    <w:rsid w:val="000B54DD"/>
    <w:rsid w:val="000C2055"/>
    <w:rsid w:val="000C2B7F"/>
    <w:rsid w:val="000C37BE"/>
    <w:rsid w:val="000C4C50"/>
    <w:rsid w:val="000D0130"/>
    <w:rsid w:val="000D2EEE"/>
    <w:rsid w:val="000D2F19"/>
    <w:rsid w:val="000E0CEA"/>
    <w:rsid w:val="000F3CBF"/>
    <w:rsid w:val="000F3F42"/>
    <w:rsid w:val="000F473D"/>
    <w:rsid w:val="001017F3"/>
    <w:rsid w:val="0011297B"/>
    <w:rsid w:val="00123768"/>
    <w:rsid w:val="00126B08"/>
    <w:rsid w:val="001272E5"/>
    <w:rsid w:val="00127D01"/>
    <w:rsid w:val="00130F5F"/>
    <w:rsid w:val="001374F5"/>
    <w:rsid w:val="00152FDC"/>
    <w:rsid w:val="001561FD"/>
    <w:rsid w:val="0015647B"/>
    <w:rsid w:val="00156619"/>
    <w:rsid w:val="00156C8B"/>
    <w:rsid w:val="00160A8C"/>
    <w:rsid w:val="001700B4"/>
    <w:rsid w:val="00171070"/>
    <w:rsid w:val="001A416A"/>
    <w:rsid w:val="001A6118"/>
    <w:rsid w:val="001B0364"/>
    <w:rsid w:val="001B0B8E"/>
    <w:rsid w:val="001B342F"/>
    <w:rsid w:val="001C1259"/>
    <w:rsid w:val="001D1DA7"/>
    <w:rsid w:val="001E17E4"/>
    <w:rsid w:val="001E2410"/>
    <w:rsid w:val="001E347C"/>
    <w:rsid w:val="001E6110"/>
    <w:rsid w:val="001F3C4D"/>
    <w:rsid w:val="002033EA"/>
    <w:rsid w:val="00214046"/>
    <w:rsid w:val="0022561F"/>
    <w:rsid w:val="00232DBE"/>
    <w:rsid w:val="002355E7"/>
    <w:rsid w:val="00235F73"/>
    <w:rsid w:val="0023681E"/>
    <w:rsid w:val="00241FEC"/>
    <w:rsid w:val="00243562"/>
    <w:rsid w:val="0025164A"/>
    <w:rsid w:val="00265C3D"/>
    <w:rsid w:val="00266C2E"/>
    <w:rsid w:val="00270DF8"/>
    <w:rsid w:val="002754B3"/>
    <w:rsid w:val="0028392B"/>
    <w:rsid w:val="002934F2"/>
    <w:rsid w:val="002A3A19"/>
    <w:rsid w:val="002A3ED4"/>
    <w:rsid w:val="002A7274"/>
    <w:rsid w:val="002B2833"/>
    <w:rsid w:val="002B7BA1"/>
    <w:rsid w:val="002C01BB"/>
    <w:rsid w:val="002C3FA4"/>
    <w:rsid w:val="002E2161"/>
    <w:rsid w:val="002E30F2"/>
    <w:rsid w:val="002E4E72"/>
    <w:rsid w:val="002F0CE0"/>
    <w:rsid w:val="002F4ED9"/>
    <w:rsid w:val="002F75FE"/>
    <w:rsid w:val="002F7FA5"/>
    <w:rsid w:val="003017F4"/>
    <w:rsid w:val="00301AAB"/>
    <w:rsid w:val="00306B68"/>
    <w:rsid w:val="003129FE"/>
    <w:rsid w:val="003322AC"/>
    <w:rsid w:val="00335342"/>
    <w:rsid w:val="00343A8E"/>
    <w:rsid w:val="00345713"/>
    <w:rsid w:val="003566B9"/>
    <w:rsid w:val="00356C98"/>
    <w:rsid w:val="0036367B"/>
    <w:rsid w:val="0036496C"/>
    <w:rsid w:val="00365414"/>
    <w:rsid w:val="00372734"/>
    <w:rsid w:val="00372A33"/>
    <w:rsid w:val="0037374A"/>
    <w:rsid w:val="00377A88"/>
    <w:rsid w:val="00392E2B"/>
    <w:rsid w:val="003A396F"/>
    <w:rsid w:val="003A68FD"/>
    <w:rsid w:val="003A7A18"/>
    <w:rsid w:val="003B3187"/>
    <w:rsid w:val="003B327A"/>
    <w:rsid w:val="003B4612"/>
    <w:rsid w:val="003B76D2"/>
    <w:rsid w:val="003D6D41"/>
    <w:rsid w:val="003E3B0A"/>
    <w:rsid w:val="0040581D"/>
    <w:rsid w:val="00417BF3"/>
    <w:rsid w:val="00425D21"/>
    <w:rsid w:val="00426463"/>
    <w:rsid w:val="00427875"/>
    <w:rsid w:val="004317A0"/>
    <w:rsid w:val="0043556D"/>
    <w:rsid w:val="0043739B"/>
    <w:rsid w:val="00441579"/>
    <w:rsid w:val="004418B5"/>
    <w:rsid w:val="00445789"/>
    <w:rsid w:val="00463FB8"/>
    <w:rsid w:val="00480A2F"/>
    <w:rsid w:val="00480B47"/>
    <w:rsid w:val="00481F19"/>
    <w:rsid w:val="00487BC0"/>
    <w:rsid w:val="00490FF8"/>
    <w:rsid w:val="004A1851"/>
    <w:rsid w:val="004B337A"/>
    <w:rsid w:val="004B5538"/>
    <w:rsid w:val="004C3127"/>
    <w:rsid w:val="004D27C3"/>
    <w:rsid w:val="004D44D2"/>
    <w:rsid w:val="004D491E"/>
    <w:rsid w:val="004E3E51"/>
    <w:rsid w:val="004E625A"/>
    <w:rsid w:val="004F73BD"/>
    <w:rsid w:val="00502474"/>
    <w:rsid w:val="00515110"/>
    <w:rsid w:val="00523062"/>
    <w:rsid w:val="00532434"/>
    <w:rsid w:val="00537019"/>
    <w:rsid w:val="0054271B"/>
    <w:rsid w:val="00545281"/>
    <w:rsid w:val="00551A39"/>
    <w:rsid w:val="00566585"/>
    <w:rsid w:val="00580A2F"/>
    <w:rsid w:val="005A2CB7"/>
    <w:rsid w:val="005B15C7"/>
    <w:rsid w:val="005B51EA"/>
    <w:rsid w:val="005C6B92"/>
    <w:rsid w:val="005F4CC9"/>
    <w:rsid w:val="0060056E"/>
    <w:rsid w:val="006039C9"/>
    <w:rsid w:val="00605602"/>
    <w:rsid w:val="00605D22"/>
    <w:rsid w:val="00620A03"/>
    <w:rsid w:val="00621126"/>
    <w:rsid w:val="0062145A"/>
    <w:rsid w:val="00633C60"/>
    <w:rsid w:val="00645C9F"/>
    <w:rsid w:val="00650775"/>
    <w:rsid w:val="0065388D"/>
    <w:rsid w:val="00655506"/>
    <w:rsid w:val="00674396"/>
    <w:rsid w:val="006849AD"/>
    <w:rsid w:val="006853A7"/>
    <w:rsid w:val="0069507F"/>
    <w:rsid w:val="006955DD"/>
    <w:rsid w:val="00697A98"/>
    <w:rsid w:val="006A0492"/>
    <w:rsid w:val="006A3DED"/>
    <w:rsid w:val="006A6E23"/>
    <w:rsid w:val="006B05FF"/>
    <w:rsid w:val="006C4D2E"/>
    <w:rsid w:val="006D3D60"/>
    <w:rsid w:val="006E1F9C"/>
    <w:rsid w:val="006E4A2C"/>
    <w:rsid w:val="006E721A"/>
    <w:rsid w:val="006F0E11"/>
    <w:rsid w:val="006F40C8"/>
    <w:rsid w:val="00700872"/>
    <w:rsid w:val="00706BB4"/>
    <w:rsid w:val="00714029"/>
    <w:rsid w:val="007203B6"/>
    <w:rsid w:val="007222C1"/>
    <w:rsid w:val="00725205"/>
    <w:rsid w:val="0074091B"/>
    <w:rsid w:val="00740927"/>
    <w:rsid w:val="00744302"/>
    <w:rsid w:val="00747C60"/>
    <w:rsid w:val="007732EA"/>
    <w:rsid w:val="00777EA3"/>
    <w:rsid w:val="007933F9"/>
    <w:rsid w:val="00793C7B"/>
    <w:rsid w:val="007954B6"/>
    <w:rsid w:val="007A5E22"/>
    <w:rsid w:val="007B3768"/>
    <w:rsid w:val="007B5395"/>
    <w:rsid w:val="007C38FB"/>
    <w:rsid w:val="007C6434"/>
    <w:rsid w:val="007D4E4C"/>
    <w:rsid w:val="007D5F13"/>
    <w:rsid w:val="007D69F8"/>
    <w:rsid w:val="007E4819"/>
    <w:rsid w:val="007E4E03"/>
    <w:rsid w:val="007E7289"/>
    <w:rsid w:val="00805F3F"/>
    <w:rsid w:val="00817A5D"/>
    <w:rsid w:val="00821209"/>
    <w:rsid w:val="00821491"/>
    <w:rsid w:val="00831411"/>
    <w:rsid w:val="00842536"/>
    <w:rsid w:val="00843692"/>
    <w:rsid w:val="0085135B"/>
    <w:rsid w:val="0085287C"/>
    <w:rsid w:val="008559B6"/>
    <w:rsid w:val="008559FD"/>
    <w:rsid w:val="00855E65"/>
    <w:rsid w:val="0085612E"/>
    <w:rsid w:val="00880868"/>
    <w:rsid w:val="00880D30"/>
    <w:rsid w:val="008811AD"/>
    <w:rsid w:val="008812FA"/>
    <w:rsid w:val="008B222B"/>
    <w:rsid w:val="008C138F"/>
    <w:rsid w:val="008C204C"/>
    <w:rsid w:val="008C2625"/>
    <w:rsid w:val="008C4FE2"/>
    <w:rsid w:val="008D4D6A"/>
    <w:rsid w:val="008F7014"/>
    <w:rsid w:val="009049E9"/>
    <w:rsid w:val="00907F9B"/>
    <w:rsid w:val="00911503"/>
    <w:rsid w:val="00917C2D"/>
    <w:rsid w:val="009209B6"/>
    <w:rsid w:val="00923CB4"/>
    <w:rsid w:val="009335E0"/>
    <w:rsid w:val="00941732"/>
    <w:rsid w:val="009510F3"/>
    <w:rsid w:val="00954018"/>
    <w:rsid w:val="00955590"/>
    <w:rsid w:val="00970435"/>
    <w:rsid w:val="009704EC"/>
    <w:rsid w:val="00971619"/>
    <w:rsid w:val="00982EAB"/>
    <w:rsid w:val="0098505E"/>
    <w:rsid w:val="00991480"/>
    <w:rsid w:val="009945A7"/>
    <w:rsid w:val="00995E63"/>
    <w:rsid w:val="0099643D"/>
    <w:rsid w:val="009969DC"/>
    <w:rsid w:val="00996BA5"/>
    <w:rsid w:val="009A0F79"/>
    <w:rsid w:val="009A3C75"/>
    <w:rsid w:val="009B03F2"/>
    <w:rsid w:val="009C4EE2"/>
    <w:rsid w:val="009D46B1"/>
    <w:rsid w:val="009E7F6E"/>
    <w:rsid w:val="009F2B6A"/>
    <w:rsid w:val="009F5541"/>
    <w:rsid w:val="00A01204"/>
    <w:rsid w:val="00A022BA"/>
    <w:rsid w:val="00A256AC"/>
    <w:rsid w:val="00A32BE3"/>
    <w:rsid w:val="00A4207A"/>
    <w:rsid w:val="00A5653E"/>
    <w:rsid w:val="00A63533"/>
    <w:rsid w:val="00A723C4"/>
    <w:rsid w:val="00A72D2B"/>
    <w:rsid w:val="00A820E9"/>
    <w:rsid w:val="00A82942"/>
    <w:rsid w:val="00A83E24"/>
    <w:rsid w:val="00AA20F8"/>
    <w:rsid w:val="00AA327B"/>
    <w:rsid w:val="00AA55AF"/>
    <w:rsid w:val="00AB19A5"/>
    <w:rsid w:val="00AC2FD6"/>
    <w:rsid w:val="00AC78FC"/>
    <w:rsid w:val="00AD4CFE"/>
    <w:rsid w:val="00AE79BA"/>
    <w:rsid w:val="00AF350E"/>
    <w:rsid w:val="00AF3D8F"/>
    <w:rsid w:val="00AF5273"/>
    <w:rsid w:val="00AF5D3D"/>
    <w:rsid w:val="00B0671C"/>
    <w:rsid w:val="00B13495"/>
    <w:rsid w:val="00B262DD"/>
    <w:rsid w:val="00B278DE"/>
    <w:rsid w:val="00B30287"/>
    <w:rsid w:val="00B30EBD"/>
    <w:rsid w:val="00B351C3"/>
    <w:rsid w:val="00B36AC9"/>
    <w:rsid w:val="00B36E7A"/>
    <w:rsid w:val="00B542CD"/>
    <w:rsid w:val="00B6465B"/>
    <w:rsid w:val="00B772D7"/>
    <w:rsid w:val="00B85451"/>
    <w:rsid w:val="00B86006"/>
    <w:rsid w:val="00B86D86"/>
    <w:rsid w:val="00BA2A96"/>
    <w:rsid w:val="00BA5FE5"/>
    <w:rsid w:val="00BC1FD9"/>
    <w:rsid w:val="00BC30FF"/>
    <w:rsid w:val="00BC500D"/>
    <w:rsid w:val="00BD7FD7"/>
    <w:rsid w:val="00BF1606"/>
    <w:rsid w:val="00BF1647"/>
    <w:rsid w:val="00BF5A25"/>
    <w:rsid w:val="00C06428"/>
    <w:rsid w:val="00C11347"/>
    <w:rsid w:val="00C35018"/>
    <w:rsid w:val="00C40A34"/>
    <w:rsid w:val="00C4484E"/>
    <w:rsid w:val="00C46F7C"/>
    <w:rsid w:val="00C519B5"/>
    <w:rsid w:val="00C55EDB"/>
    <w:rsid w:val="00C573E9"/>
    <w:rsid w:val="00C729DA"/>
    <w:rsid w:val="00C764B7"/>
    <w:rsid w:val="00C90B56"/>
    <w:rsid w:val="00CA3F25"/>
    <w:rsid w:val="00CB5B9D"/>
    <w:rsid w:val="00CB6428"/>
    <w:rsid w:val="00CC01A5"/>
    <w:rsid w:val="00CC2134"/>
    <w:rsid w:val="00CD255A"/>
    <w:rsid w:val="00D126EC"/>
    <w:rsid w:val="00D14955"/>
    <w:rsid w:val="00D24CD6"/>
    <w:rsid w:val="00D24FA6"/>
    <w:rsid w:val="00D544D2"/>
    <w:rsid w:val="00D660F8"/>
    <w:rsid w:val="00D744C5"/>
    <w:rsid w:val="00D827AF"/>
    <w:rsid w:val="00D8451F"/>
    <w:rsid w:val="00D8474D"/>
    <w:rsid w:val="00D84D5B"/>
    <w:rsid w:val="00D86771"/>
    <w:rsid w:val="00D90C73"/>
    <w:rsid w:val="00D90F17"/>
    <w:rsid w:val="00D9480E"/>
    <w:rsid w:val="00D94FFD"/>
    <w:rsid w:val="00DA7038"/>
    <w:rsid w:val="00DB4AF2"/>
    <w:rsid w:val="00DB572A"/>
    <w:rsid w:val="00DC14B3"/>
    <w:rsid w:val="00DC399C"/>
    <w:rsid w:val="00DC7D6D"/>
    <w:rsid w:val="00DD2999"/>
    <w:rsid w:val="00DD2B43"/>
    <w:rsid w:val="00DD2CF8"/>
    <w:rsid w:val="00DD5C58"/>
    <w:rsid w:val="00DE240B"/>
    <w:rsid w:val="00DE529C"/>
    <w:rsid w:val="00DE6D9E"/>
    <w:rsid w:val="00DF3482"/>
    <w:rsid w:val="00DF450F"/>
    <w:rsid w:val="00E04A58"/>
    <w:rsid w:val="00E07425"/>
    <w:rsid w:val="00E07A05"/>
    <w:rsid w:val="00E16025"/>
    <w:rsid w:val="00E167FD"/>
    <w:rsid w:val="00E16F50"/>
    <w:rsid w:val="00E24179"/>
    <w:rsid w:val="00E31783"/>
    <w:rsid w:val="00E36636"/>
    <w:rsid w:val="00E43A34"/>
    <w:rsid w:val="00E44D37"/>
    <w:rsid w:val="00E52850"/>
    <w:rsid w:val="00E609A5"/>
    <w:rsid w:val="00E61928"/>
    <w:rsid w:val="00E656D2"/>
    <w:rsid w:val="00E7276C"/>
    <w:rsid w:val="00E84382"/>
    <w:rsid w:val="00E9180B"/>
    <w:rsid w:val="00EA0646"/>
    <w:rsid w:val="00EA2BA4"/>
    <w:rsid w:val="00EA3103"/>
    <w:rsid w:val="00EB15C1"/>
    <w:rsid w:val="00EC325A"/>
    <w:rsid w:val="00EC3A8E"/>
    <w:rsid w:val="00EC57F0"/>
    <w:rsid w:val="00ED68AF"/>
    <w:rsid w:val="00EF2E7C"/>
    <w:rsid w:val="00F01A6E"/>
    <w:rsid w:val="00F11811"/>
    <w:rsid w:val="00F20178"/>
    <w:rsid w:val="00F23C6C"/>
    <w:rsid w:val="00F24BC8"/>
    <w:rsid w:val="00F25045"/>
    <w:rsid w:val="00F30F3E"/>
    <w:rsid w:val="00F32002"/>
    <w:rsid w:val="00F4605D"/>
    <w:rsid w:val="00F51EF5"/>
    <w:rsid w:val="00F74928"/>
    <w:rsid w:val="00F8197E"/>
    <w:rsid w:val="00F833B1"/>
    <w:rsid w:val="00F87D90"/>
    <w:rsid w:val="00F90495"/>
    <w:rsid w:val="00FA4179"/>
    <w:rsid w:val="00FB4362"/>
    <w:rsid w:val="00FB53A1"/>
    <w:rsid w:val="00FD30CF"/>
    <w:rsid w:val="00FE0E46"/>
    <w:rsid w:val="00FF0AEC"/>
    <w:rsid w:val="00FF1DF4"/>
    <w:rsid w:val="00FF4165"/>
    <w:rsid w:val="013C246A"/>
    <w:rsid w:val="02E03DF9"/>
    <w:rsid w:val="04B213C1"/>
    <w:rsid w:val="058A152F"/>
    <w:rsid w:val="05F72E03"/>
    <w:rsid w:val="07980CB8"/>
    <w:rsid w:val="09E12944"/>
    <w:rsid w:val="0CE916F8"/>
    <w:rsid w:val="0D782A7C"/>
    <w:rsid w:val="0EE7610B"/>
    <w:rsid w:val="102C2EDA"/>
    <w:rsid w:val="113741D2"/>
    <w:rsid w:val="13441D7E"/>
    <w:rsid w:val="18330BA7"/>
    <w:rsid w:val="1C7F5BD5"/>
    <w:rsid w:val="1D34261E"/>
    <w:rsid w:val="1D5F5A06"/>
    <w:rsid w:val="20D109C9"/>
    <w:rsid w:val="237C10C0"/>
    <w:rsid w:val="24A26904"/>
    <w:rsid w:val="25D074A1"/>
    <w:rsid w:val="260D24A3"/>
    <w:rsid w:val="2A1B6414"/>
    <w:rsid w:val="2ACD0453"/>
    <w:rsid w:val="2ADC41F2"/>
    <w:rsid w:val="2B3C1135"/>
    <w:rsid w:val="30717AD3"/>
    <w:rsid w:val="30ED7159"/>
    <w:rsid w:val="3115045E"/>
    <w:rsid w:val="3925145A"/>
    <w:rsid w:val="3EB76FF8"/>
    <w:rsid w:val="3F1B1335"/>
    <w:rsid w:val="3FFD6C8D"/>
    <w:rsid w:val="42A05423"/>
    <w:rsid w:val="464F7B16"/>
    <w:rsid w:val="46F54B62"/>
    <w:rsid w:val="4C433C79"/>
    <w:rsid w:val="4EDB288F"/>
    <w:rsid w:val="527E074E"/>
    <w:rsid w:val="53F73CC7"/>
    <w:rsid w:val="543A1E06"/>
    <w:rsid w:val="543C16DA"/>
    <w:rsid w:val="56393C72"/>
    <w:rsid w:val="577675F9"/>
    <w:rsid w:val="579503FF"/>
    <w:rsid w:val="5A0E3CEB"/>
    <w:rsid w:val="5B597015"/>
    <w:rsid w:val="5E360964"/>
    <w:rsid w:val="60535296"/>
    <w:rsid w:val="615564D1"/>
    <w:rsid w:val="619A6E81"/>
    <w:rsid w:val="63525D02"/>
    <w:rsid w:val="63F7561D"/>
    <w:rsid w:val="6A350C4E"/>
    <w:rsid w:val="6AD95A7D"/>
    <w:rsid w:val="71A16BC9"/>
    <w:rsid w:val="72023B0B"/>
    <w:rsid w:val="72FD2525"/>
    <w:rsid w:val="73E62FB9"/>
    <w:rsid w:val="78106856"/>
    <w:rsid w:val="7C95557C"/>
    <w:rsid w:val="FF7FF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qFormat="1" w:unhideWhenUsed="0" w:uiPriority="0" w:semiHidden="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6"/>
    <w:qFormat/>
    <w:uiPriority w:val="0"/>
    <w:pPr>
      <w:keepNext/>
      <w:keepLines/>
      <w:spacing w:before="340" w:after="330" w:line="578" w:lineRule="auto"/>
      <w:outlineLvl w:val="0"/>
    </w:pPr>
    <w:rPr>
      <w:rFonts w:ascii="Times New Roman" w:hAnsi="Times New Roman"/>
      <w:b/>
      <w:bCs/>
      <w:kern w:val="44"/>
      <w:sz w:val="44"/>
      <w:szCs w:val="44"/>
    </w:rPr>
  </w:style>
  <w:style w:type="character" w:default="1" w:styleId="9">
    <w:name w:val="Default Paragraph Font"/>
    <w:autoRedefine/>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8"/>
    <w:autoRedefine/>
    <w:qFormat/>
    <w:uiPriority w:val="0"/>
    <w:pPr>
      <w:jc w:val="left"/>
    </w:pPr>
  </w:style>
  <w:style w:type="paragraph" w:styleId="4">
    <w:name w:val="Balloon Text"/>
    <w:basedOn w:val="1"/>
    <w:link w:val="15"/>
    <w:qFormat/>
    <w:uiPriority w:val="0"/>
    <w:rPr>
      <w:sz w:val="18"/>
      <w:szCs w:val="18"/>
    </w:rPr>
  </w:style>
  <w:style w:type="paragraph" w:styleId="5">
    <w:name w:val="footer"/>
    <w:basedOn w:val="1"/>
    <w:link w:val="12"/>
    <w:qFormat/>
    <w:uiPriority w:val="0"/>
    <w:pPr>
      <w:tabs>
        <w:tab w:val="center" w:pos="4153"/>
        <w:tab w:val="right" w:pos="8306"/>
      </w:tabs>
      <w:snapToGrid w:val="0"/>
      <w:jc w:val="left"/>
    </w:pPr>
    <w:rPr>
      <w:sz w:val="18"/>
      <w:szCs w:val="18"/>
    </w:rPr>
  </w:style>
  <w:style w:type="paragraph" w:styleId="6">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19"/>
    <w:autoRedefine/>
    <w:qFormat/>
    <w:uiPriority w:val="0"/>
    <w:rPr>
      <w:b/>
      <w:bCs/>
    </w:rPr>
  </w:style>
  <w:style w:type="character" w:styleId="10">
    <w:name w:val="line number"/>
    <w:autoRedefine/>
    <w:qFormat/>
    <w:uiPriority w:val="0"/>
  </w:style>
  <w:style w:type="character" w:styleId="11">
    <w:name w:val="annotation reference"/>
    <w:autoRedefine/>
    <w:qFormat/>
    <w:uiPriority w:val="0"/>
    <w:rPr>
      <w:sz w:val="21"/>
      <w:szCs w:val="21"/>
    </w:rPr>
  </w:style>
  <w:style w:type="character" w:customStyle="1" w:styleId="12">
    <w:name w:val="页脚 Char"/>
    <w:link w:val="5"/>
    <w:qFormat/>
    <w:uiPriority w:val="0"/>
    <w:rPr>
      <w:sz w:val="18"/>
      <w:szCs w:val="18"/>
    </w:rPr>
  </w:style>
  <w:style w:type="character" w:customStyle="1" w:styleId="13">
    <w:name w:val="页眉 Char"/>
    <w:link w:val="6"/>
    <w:autoRedefine/>
    <w:qFormat/>
    <w:uiPriority w:val="0"/>
    <w:rPr>
      <w:sz w:val="18"/>
      <w:szCs w:val="18"/>
    </w:rPr>
  </w:style>
  <w:style w:type="paragraph" w:styleId="14">
    <w:name w:val="List Paragraph"/>
    <w:basedOn w:val="1"/>
    <w:qFormat/>
    <w:uiPriority w:val="0"/>
    <w:pPr>
      <w:ind w:firstLine="420" w:firstLineChars="200"/>
    </w:pPr>
  </w:style>
  <w:style w:type="character" w:customStyle="1" w:styleId="15">
    <w:name w:val="批注框文本 Char"/>
    <w:link w:val="4"/>
    <w:qFormat/>
    <w:uiPriority w:val="0"/>
    <w:rPr>
      <w:kern w:val="2"/>
      <w:sz w:val="18"/>
      <w:szCs w:val="18"/>
    </w:rPr>
  </w:style>
  <w:style w:type="character" w:customStyle="1" w:styleId="16">
    <w:name w:val="标题 1 Char"/>
    <w:link w:val="2"/>
    <w:autoRedefine/>
    <w:qFormat/>
    <w:uiPriority w:val="0"/>
    <w:rPr>
      <w:rFonts w:ascii="Times New Roman" w:hAnsi="Times New Roman"/>
      <w:b/>
      <w:bCs/>
      <w:kern w:val="44"/>
      <w:sz w:val="44"/>
      <w:szCs w:val="44"/>
    </w:rPr>
  </w:style>
  <w:style w:type="paragraph" w:customStyle="1" w:styleId="17">
    <w:name w:val="TOC Heading"/>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character" w:customStyle="1" w:styleId="18">
    <w:name w:val="批注文字 Char"/>
    <w:link w:val="3"/>
    <w:qFormat/>
    <w:uiPriority w:val="0"/>
    <w:rPr>
      <w:kern w:val="2"/>
      <w:sz w:val="21"/>
      <w:szCs w:val="22"/>
    </w:rPr>
  </w:style>
  <w:style w:type="character" w:customStyle="1" w:styleId="19">
    <w:name w:val="批注主题 Char"/>
    <w:link w:val="7"/>
    <w:qFormat/>
    <w:uiPriority w:val="0"/>
    <w:rPr>
      <w:b/>
      <w:bCs/>
      <w:kern w:val="2"/>
      <w:sz w:val="21"/>
      <w:szCs w:val="22"/>
    </w:rPr>
  </w:style>
  <w:style w:type="character" w:customStyle="1" w:styleId="20">
    <w:name w:val="fontstyle01"/>
    <w:autoRedefine/>
    <w:qFormat/>
    <w:uiPriority w:val="0"/>
    <w:rPr>
      <w:rFonts w:hint="eastAsia" w:ascii="仿宋_GB2312" w:eastAsia="仿宋_GB2312"/>
      <w:color w:val="000000"/>
      <w:sz w:val="32"/>
      <w:szCs w:val="32"/>
    </w:rPr>
  </w:style>
  <w:style w:type="character" w:customStyle="1" w:styleId="21">
    <w:name w:val="fontstyle21"/>
    <w:autoRedefine/>
    <w:qFormat/>
    <w:uiPriority w:val="0"/>
    <w:rPr>
      <w:rFonts w:hint="default" w:ascii="TimesNewRomanPSMT" w:hAnsi="TimesNewRomanPSMT"/>
      <w:color w:val="000000"/>
      <w:sz w:val="32"/>
      <w:szCs w:val="32"/>
    </w:rPr>
  </w:style>
  <w:style w:type="character" w:customStyle="1" w:styleId="22">
    <w:name w:val="fontstyle11"/>
    <w:autoRedefine/>
    <w:qFormat/>
    <w:uiPriority w:val="0"/>
    <w:rPr>
      <w:rFonts w:hint="eastAsia" w:ascii="仿宋_GB2312" w:eastAsia="仿宋_GB2312"/>
      <w:color w:val="000000"/>
      <w:sz w:val="32"/>
      <w:szCs w:val="32"/>
    </w:rPr>
  </w:style>
  <w:style w:type="character" w:customStyle="1" w:styleId="23">
    <w:name w:val="fontstyle31"/>
    <w:autoRedefine/>
    <w:qFormat/>
    <w:uiPriority w:val="0"/>
    <w:rPr>
      <w:rFonts w:hint="default" w:ascii="TimesNewRomanPSMT" w:hAnsi="TimesNewRomanPSMT"/>
      <w:color w:val="00000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beijing</Company>
  <Pages>15</Pages>
  <Words>4760</Words>
  <Characters>5089</Characters>
  <Lines>68</Lines>
  <Paragraphs>19</Paragraphs>
  <TotalTime>36</TotalTime>
  <ScaleCrop>false</ScaleCrop>
  <LinksUpToDate>false</LinksUpToDate>
  <CharactersWithSpaces>5126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2024-01-30T17:03:00Z</dcterms:created>
  <dc:creator>home</dc:creator>
  <cp:lastModifiedBy>-</cp:lastModifiedBy>
  <cp:lastPrinted>2022-02-15T15:45:00Z</cp:lastPrinted>
  <dcterms:modified xsi:type="dcterms:W3CDTF">2026-03-12T06:58:32Z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4746AA2B63644A919A7677ADD6665D0C</vt:lpwstr>
  </property>
  <property fmtid="{D5CDD505-2E9C-101B-9397-08002B2CF9AE}" pid="4" name="KSOTemplateDocerSaveRecord">
    <vt:lpwstr>eyJoZGlkIjoiMTE3MGQ4NjM4OTU1ZmYxYWNmNzRlMmI1NjRiYTYxMGEiLCJ1c2VySWQiOiI0MTAxNjMwMjIifQ==</vt:lpwstr>
  </property>
</Properties>
</file>