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8B6B5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065D36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AF7918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9CF7469">
      <w:pPr>
        <w:spacing w:line="660" w:lineRule="exact"/>
        <w:jc w:val="center"/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华池县工商业联合会</w:t>
      </w:r>
    </w:p>
    <w:p w14:paraId="67ACC143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</w:t>
      </w:r>
      <w:r>
        <w:rPr>
          <w:rFonts w:hint="default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年单位预算公开情况说明 </w:t>
      </w:r>
    </w:p>
    <w:p w14:paraId="2329893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404A490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81C7286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53002029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部门/单位基本概况</w:t>
      </w:r>
    </w:p>
    <w:p w14:paraId="70C024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一、部门/单位职责</w:t>
      </w:r>
    </w:p>
    <w:p w14:paraId="4D83AF2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433351F8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年部门/单位预算情况说明</w:t>
      </w:r>
    </w:p>
    <w:p w14:paraId="44EBD67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0BB73FF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4A12B8C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435BC81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2F88CE3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5046C44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6D55E2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171C491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7042C3D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734FD345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年部门（单位）预算公开表</w:t>
      </w:r>
    </w:p>
    <w:p w14:paraId="3FD2078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一、部门/单位收支总体情况表</w:t>
      </w:r>
    </w:p>
    <w:p w14:paraId="72142C8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二、部门/单位收入总体情况表</w:t>
      </w:r>
    </w:p>
    <w:p w14:paraId="45966E8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三、部门/单位支出总体情况表</w:t>
      </w:r>
    </w:p>
    <w:p w14:paraId="675B820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7622165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6361183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600E529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5189B48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4B121EF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031FDB5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5FFFCFA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505BB7C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4129F3F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 w14:paraId="7F85859C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6DBFCF8A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42E458F6">
      <w:pPr>
        <w:spacing w:line="600" w:lineRule="exact"/>
        <w:ind w:firstLine="643" w:firstLineChars="2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0AD557B8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1BFDDEEA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一、部门/单位职责</w:t>
      </w:r>
    </w:p>
    <w:p w14:paraId="38B9822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0" w:firstLineChars="200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(一)加强和改进非公有制经济人士思想政治工作;</w:t>
      </w:r>
    </w:p>
    <w:p w14:paraId="30E70AA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0" w:firstLineChars="200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(二)参与政治协商，发挥民主监督作用，积极参政议政;</w:t>
      </w:r>
    </w:p>
    <w:p w14:paraId="0C01CC8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0" w:firstLineChars="200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(三)协助政府管理和服务非公有制经济;</w:t>
      </w:r>
    </w:p>
    <w:p w14:paraId="1DAB75A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0" w:firstLineChars="200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(四)促进行业协会商会改革发展;</w:t>
      </w:r>
    </w:p>
    <w:p w14:paraId="2263132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0" w:firstLineChars="200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(五)参与协调劳动关系，协同社会治理，促进社会和谐稳定;</w:t>
      </w:r>
    </w:p>
    <w:p w14:paraId="5D89AD7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0" w:firstLineChars="200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(六)引导非公有制企业和非公有制经济人士依法诚信经营，了解反映非公有制企业和非公有制经济人士诉求，帮助其依法维护合法权益;</w:t>
      </w:r>
    </w:p>
    <w:p w14:paraId="7A0C425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0" w:firstLineChars="200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(七)依法加强会产管理、经营和保护。</w:t>
      </w:r>
    </w:p>
    <w:p w14:paraId="5CCEBAD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0" w:firstLineChars="200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(八)承担县委、县劲府和上级业务部门交办的其他工作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。</w:t>
      </w:r>
    </w:p>
    <w:p w14:paraId="720E48B4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316EB73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3" w:firstLineChars="200"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（一）机关内设机构</w:t>
      </w:r>
    </w:p>
    <w:p w14:paraId="39C0C7E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0" w:firstLineChars="200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无</w:t>
      </w:r>
    </w:p>
    <w:p w14:paraId="739B388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3" w:firstLineChars="200"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（二）参照公务员法管理单位</w:t>
      </w:r>
    </w:p>
    <w:p w14:paraId="022213E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0" w:firstLineChars="200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无</w:t>
      </w:r>
    </w:p>
    <w:p w14:paraId="20064A1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3" w:firstLineChars="200"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（三）直属事业单位</w:t>
      </w:r>
    </w:p>
    <w:p w14:paraId="5640CD5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0" w:firstLineChars="200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无</w:t>
      </w:r>
    </w:p>
    <w:p w14:paraId="154D8898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三、部门/单位收支总体情况</w:t>
      </w:r>
    </w:p>
    <w:p w14:paraId="10AF1836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年单位收支包括机关预算和直属单位预算在内的汇总情况。</w:t>
      </w:r>
    </w:p>
    <w:p w14:paraId="02D85CDC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93.85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万元。按照综合预算的原则，单位所有收入和支出均纳入部门预算管理。收入包括：一般公共预算拨款收入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93.85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万元、政府性基金预算拨款收入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万元、事业收入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万元、事业单位经营收入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万元、其他收入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万元、使用非财政拨款结余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万元、上年结转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万元；支出包括：一般公共服务支出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72.45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万元、公共安全支出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万元、教育支出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万元、科学技术支出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万元、社会保障和就业支出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11.87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万元、卫生健康支出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3.79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万元、交通运输支出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万元、住房保障支出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5.74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万元、其他支出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</w:t>
      </w:r>
      <w:bookmarkStart w:id="0" w:name="_GoBack"/>
      <w:bookmarkEnd w:id="0"/>
      <w:r>
        <w:rPr>
          <w:rFonts w:hint="eastAsia" w:ascii="仿宋_GB2312" w:hAnsi="仿宋" w:eastAsia="仿宋_GB2312" w:cs="宋体"/>
          <w:kern w:val="0"/>
          <w:sz w:val="32"/>
          <w:szCs w:val="32"/>
        </w:rPr>
        <w:t>。</w:t>
      </w:r>
    </w:p>
    <w:p w14:paraId="78846D78"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7E3AB6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93.85</w:t>
      </w:r>
      <w:r>
        <w:rPr>
          <w:rFonts w:hint="eastAsia" w:ascii="仿宋_GB2312" w:hAnsi="仿宋" w:eastAsia="仿宋_GB2312"/>
          <w:sz w:val="32"/>
          <w:szCs w:val="32"/>
        </w:rPr>
        <w:t>万元。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（</w:t>
      </w:r>
      <w:r>
        <w:rPr>
          <w:rFonts w:hint="eastAsia" w:ascii="仿宋_GB2312" w:hAnsi="仿宋" w:eastAsia="仿宋_GB2312"/>
          <w:sz w:val="32"/>
          <w:szCs w:val="32"/>
        </w:rPr>
        <w:t>单位预算公开表1,2）包括：</w:t>
      </w:r>
    </w:p>
    <w:p w14:paraId="14E911E5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一般公共预算收入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93.85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6DC38958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政府性基金预算收入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7ABC9C50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上年结转收入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06AE385C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其他收入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2217B58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356FC48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93.85</w:t>
      </w:r>
      <w:r>
        <w:rPr>
          <w:rFonts w:hint="eastAsia" w:ascii="仿宋_GB2312" w:hAnsi="仿宋" w:eastAsia="仿宋_GB2312"/>
          <w:sz w:val="32"/>
          <w:szCs w:val="32"/>
        </w:rPr>
        <w:t>万元（详见单位预算公开表3）。</w:t>
      </w:r>
      <w:r>
        <w:rPr>
          <w:rStyle w:val="20"/>
          <w:rFonts w:hint="default" w:hAnsi="仿宋"/>
        </w:rPr>
        <w:t>其中：基本支出</w:t>
      </w:r>
      <w:r>
        <w:rPr>
          <w:rStyle w:val="21"/>
          <w:rFonts w:hint="eastAsia" w:ascii="仿宋_GB2312" w:hAnsi="仿宋" w:eastAsia="仿宋_GB2312"/>
          <w:lang w:val="en-US" w:eastAsia="zh-CN"/>
        </w:rPr>
        <w:t>83.85</w:t>
      </w:r>
      <w:r>
        <w:rPr>
          <w:rStyle w:val="20"/>
          <w:rFonts w:hint="default" w:hAnsi="仿宋"/>
        </w:rPr>
        <w:t>万元，占</w:t>
      </w:r>
      <w:r>
        <w:rPr>
          <w:rStyle w:val="20"/>
          <w:rFonts w:hint="eastAsia" w:hAnsi="仿宋" w:eastAsia="仿宋_GB2312"/>
          <w:lang w:val="en-US" w:eastAsia="zh-CN"/>
        </w:rPr>
        <w:t>89.34</w:t>
      </w:r>
      <w:r>
        <w:rPr>
          <w:rStyle w:val="21"/>
          <w:rFonts w:hint="eastAsia" w:ascii="仿宋_GB2312" w:hAnsi="仿宋" w:eastAsia="仿宋_GB2312"/>
        </w:rPr>
        <w:t xml:space="preserve"> %</w:t>
      </w:r>
      <w:r>
        <w:rPr>
          <w:rStyle w:val="21"/>
          <w:rFonts w:hint="eastAsia" w:ascii="仿宋_GB2312" w:hAnsi="仿宋" w:eastAsia="仿宋_GB2312"/>
          <w:lang w:eastAsia="zh-CN"/>
        </w:rPr>
        <w:t>；</w:t>
      </w:r>
      <w:r>
        <w:rPr>
          <w:rStyle w:val="20"/>
          <w:rFonts w:hint="default" w:hAnsi="仿宋"/>
        </w:rPr>
        <w:t>项目支出</w:t>
      </w:r>
      <w:r>
        <w:rPr>
          <w:rStyle w:val="20"/>
          <w:rFonts w:hint="eastAsia" w:hAnsi="仿宋" w:eastAsia="仿宋_GB2312"/>
          <w:lang w:val="en-US" w:eastAsia="zh-CN"/>
        </w:rPr>
        <w:t>10</w:t>
      </w:r>
      <w:r>
        <w:rPr>
          <w:rStyle w:val="20"/>
          <w:rFonts w:hint="default" w:hAnsi="仿宋"/>
        </w:rPr>
        <w:t>万元，占</w:t>
      </w:r>
      <w:r>
        <w:rPr>
          <w:rStyle w:val="21"/>
          <w:rFonts w:hint="eastAsia" w:ascii="仿宋_GB2312" w:hAnsi="仿宋" w:eastAsia="仿宋_GB2312"/>
          <w:lang w:val="en-US" w:eastAsia="zh-CN"/>
        </w:rPr>
        <w:t>10.66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； 上年结转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万元，占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。</w:t>
      </w:r>
    </w:p>
    <w:p w14:paraId="7D7ADD5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0F3C656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Style w:val="21"/>
          <w:rFonts w:hint="eastAsia" w:ascii="仿宋_GB2312" w:hAnsi="仿宋" w:eastAsia="仿宋_GB2312"/>
          <w:lang w:eastAsia="zh-CN"/>
        </w:rPr>
        <w:t>202</w:t>
      </w:r>
      <w:r>
        <w:rPr>
          <w:rStyle w:val="21"/>
          <w:rFonts w:hint="default" w:ascii="仿宋_GB2312" w:hAnsi="仿宋" w:eastAsia="仿宋_GB2312"/>
          <w:lang w:val="en-US" w:eastAsia="zh-CN"/>
        </w:rPr>
        <w:t>6</w:t>
      </w:r>
      <w:r>
        <w:rPr>
          <w:rStyle w:val="20"/>
          <w:rFonts w:hint="default" w:hAnsi="仿宋"/>
        </w:rPr>
        <w:t>年一般公共预算当年支出</w:t>
      </w:r>
      <w:r>
        <w:rPr>
          <w:rStyle w:val="21"/>
          <w:rFonts w:hint="eastAsia" w:ascii="仿宋_GB2312" w:hAnsi="仿宋" w:eastAsia="仿宋_GB2312"/>
          <w:lang w:val="en-US" w:eastAsia="zh-CN"/>
        </w:rPr>
        <w:t>93.85</w:t>
      </w:r>
      <w:r>
        <w:rPr>
          <w:rStyle w:val="20"/>
          <w:rFonts w:hint="default" w:hAnsi="仿宋"/>
        </w:rPr>
        <w:t>万元，包括：一般公共服务支出</w:t>
      </w:r>
      <w:r>
        <w:rPr>
          <w:rStyle w:val="21"/>
          <w:rFonts w:hint="eastAsia" w:ascii="仿宋_GB2312" w:hAnsi="仿宋" w:eastAsia="仿宋_GB2312"/>
          <w:lang w:val="en-US" w:eastAsia="zh-CN"/>
        </w:rPr>
        <w:t>72.45</w:t>
      </w:r>
      <w:r>
        <w:rPr>
          <w:rStyle w:val="20"/>
          <w:rFonts w:hint="default" w:hAnsi="仿宋"/>
        </w:rPr>
        <w:t>万元、公共安全支出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万元、教育支出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万元、科学技术支出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万元、社会保障和就业支出</w:t>
      </w:r>
      <w:r>
        <w:rPr>
          <w:rStyle w:val="21"/>
          <w:rFonts w:hint="eastAsia" w:ascii="仿宋_GB2312" w:hAnsi="仿宋" w:eastAsia="仿宋_GB2312"/>
          <w:lang w:val="en-US" w:eastAsia="zh-CN"/>
        </w:rPr>
        <w:t>11.87</w:t>
      </w:r>
      <w:r>
        <w:rPr>
          <w:rStyle w:val="20"/>
          <w:rFonts w:hint="default" w:hAnsi="仿宋"/>
        </w:rPr>
        <w:t>万元、</w:t>
      </w:r>
      <w:r>
        <w:rPr>
          <w:rStyle w:val="20"/>
          <w:rFonts w:hint="eastAsia" w:hAnsi="仿宋" w:eastAsia="仿宋_GB2312"/>
          <w:lang w:val="en-US" w:eastAsia="zh-CN"/>
        </w:rPr>
        <w:t>卫生健康支出3.79万元、住房保障支出5.74万元</w:t>
      </w:r>
      <w:r>
        <w:rPr>
          <w:rStyle w:val="20"/>
          <w:rFonts w:hint="default" w:hAnsi="仿宋"/>
        </w:rPr>
        <w:t>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（详见部门（单位）预算公开表4,5,6,7）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59725234"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1AE41538">
      <w:pPr>
        <w:widowControl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83.85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4.67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5.90</w:t>
      </w:r>
      <w:r>
        <w:rPr>
          <w:rFonts w:hint="eastAsia" w:ascii="仿宋_GB2312" w:hAnsi="仿宋" w:eastAsia="仿宋_GB2312"/>
          <w:sz w:val="32"/>
          <w:szCs w:val="32"/>
        </w:rPr>
        <w:t>%，增长的主要原因是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人员工资福利增加。</w:t>
      </w:r>
    </w:p>
    <w:p w14:paraId="7088349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76.08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23.72万元</w:t>
      </w:r>
      <w:r>
        <w:rPr>
          <w:rFonts w:hint="eastAsia" w:ascii="仿宋_GB2312" w:hAnsi="仿宋" w:eastAsia="仿宋_GB2312"/>
          <w:sz w:val="32"/>
          <w:szCs w:val="32"/>
        </w:rPr>
        <w:t>、津贴补贴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25.98万元</w:t>
      </w:r>
      <w:r>
        <w:rPr>
          <w:rFonts w:hint="eastAsia" w:ascii="仿宋_GB2312" w:hAnsi="仿宋" w:eastAsia="仿宋_GB2312"/>
          <w:sz w:val="32"/>
          <w:szCs w:val="32"/>
        </w:rPr>
        <w:t>、奖金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4.98万元</w:t>
      </w:r>
      <w:r>
        <w:rPr>
          <w:rFonts w:hint="eastAsia" w:ascii="仿宋_GB2312" w:hAnsi="仿宋" w:eastAsia="仿宋_GB2312"/>
          <w:sz w:val="32"/>
          <w:szCs w:val="32"/>
        </w:rPr>
        <w:t>、机关事业单位基本养老保险缴费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7.66万元</w:t>
      </w:r>
      <w:r>
        <w:rPr>
          <w:rFonts w:hint="eastAsia" w:ascii="仿宋_GB2312" w:hAnsi="仿宋" w:eastAsia="仿宋_GB2312"/>
          <w:sz w:val="32"/>
          <w:szCs w:val="32"/>
        </w:rPr>
        <w:t>、职业年金缴费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3.83万元</w:t>
      </w:r>
      <w:r>
        <w:rPr>
          <w:rFonts w:hint="eastAsia" w:ascii="仿宋_GB2312" w:hAnsi="仿宋" w:eastAsia="仿宋_GB2312"/>
          <w:sz w:val="32"/>
          <w:szCs w:val="32"/>
        </w:rPr>
        <w:t>、职工基本医疗保险缴费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3.11万元</w:t>
      </w:r>
      <w:r>
        <w:rPr>
          <w:rFonts w:hint="eastAsia" w:ascii="仿宋_GB2312" w:hAnsi="仿宋" w:eastAsia="仿宋_GB2312"/>
          <w:sz w:val="32"/>
          <w:szCs w:val="32"/>
        </w:rPr>
        <w:t>、公务员医疗补助缴费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0.68万元</w:t>
      </w:r>
      <w:r>
        <w:rPr>
          <w:rFonts w:hint="eastAsia" w:ascii="仿宋_GB2312" w:hAnsi="仿宋" w:eastAsia="仿宋_GB2312"/>
          <w:sz w:val="32"/>
          <w:szCs w:val="32"/>
        </w:rPr>
        <w:t>、其他社会保障缴费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0.38万元</w:t>
      </w:r>
      <w:r>
        <w:rPr>
          <w:rFonts w:hint="eastAsia" w:ascii="仿宋_GB2312" w:hAnsi="仿宋" w:eastAsia="仿宋_GB2312"/>
          <w:sz w:val="32"/>
          <w:szCs w:val="32"/>
        </w:rPr>
        <w:t>、住房公积金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5.74万元</w:t>
      </w:r>
      <w:r>
        <w:rPr>
          <w:rFonts w:hint="eastAsia" w:ascii="仿宋_GB2312" w:hAnsi="仿宋" w:eastAsia="仿宋_GB2312"/>
          <w:sz w:val="32"/>
          <w:szCs w:val="32"/>
        </w:rPr>
        <w:t>等。</w:t>
      </w:r>
    </w:p>
    <w:p w14:paraId="5167C9C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7.77</w:t>
      </w:r>
      <w:r>
        <w:rPr>
          <w:rFonts w:hint="eastAsia" w:ascii="仿宋_GB2312" w:hAnsi="仿宋" w:eastAsia="仿宋_GB2312"/>
          <w:sz w:val="32"/>
          <w:szCs w:val="32"/>
        </w:rPr>
        <w:t>万元，主要包括：办公费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0.93万元</w:t>
      </w:r>
      <w:r>
        <w:rPr>
          <w:rFonts w:hint="eastAsia" w:ascii="仿宋_GB2312" w:hAnsi="仿宋" w:eastAsia="仿宋_GB2312"/>
          <w:sz w:val="32"/>
          <w:szCs w:val="32"/>
        </w:rPr>
        <w:t>、印刷费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0.5万元</w:t>
      </w:r>
      <w:r>
        <w:rPr>
          <w:rFonts w:hint="eastAsia" w:ascii="仿宋_GB2312" w:hAnsi="仿宋" w:eastAsia="仿宋_GB2312"/>
          <w:sz w:val="32"/>
          <w:szCs w:val="32"/>
        </w:rPr>
        <w:t>、水费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0.1万元</w:t>
      </w:r>
      <w:r>
        <w:rPr>
          <w:rFonts w:hint="eastAsia" w:ascii="仿宋_GB2312" w:hAnsi="仿宋" w:eastAsia="仿宋_GB2312"/>
          <w:sz w:val="32"/>
          <w:szCs w:val="32"/>
        </w:rPr>
        <w:t>、邮电费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0.28万元</w:t>
      </w:r>
      <w:r>
        <w:rPr>
          <w:rFonts w:hint="eastAsia" w:ascii="仿宋_GB2312" w:hAnsi="仿宋" w:eastAsia="仿宋_GB2312"/>
          <w:sz w:val="32"/>
          <w:szCs w:val="32"/>
        </w:rPr>
        <w:t>、取暖费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0.39万元</w:t>
      </w:r>
      <w:r>
        <w:rPr>
          <w:rFonts w:hint="eastAsia" w:ascii="仿宋_GB2312" w:hAnsi="仿宋" w:eastAsia="仿宋_GB2312"/>
          <w:sz w:val="32"/>
          <w:szCs w:val="32"/>
        </w:rPr>
        <w:t>、差旅费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0.5万元</w:t>
      </w:r>
      <w:r>
        <w:rPr>
          <w:rFonts w:hint="eastAsia" w:ascii="仿宋_GB2312" w:hAnsi="仿宋" w:eastAsia="仿宋_GB2312"/>
          <w:sz w:val="32"/>
          <w:szCs w:val="32"/>
        </w:rPr>
        <w:t>、会议费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0.1万元</w:t>
      </w:r>
      <w:r>
        <w:rPr>
          <w:rFonts w:hint="eastAsia" w:ascii="仿宋_GB2312" w:hAnsi="仿宋" w:eastAsia="仿宋_GB2312"/>
          <w:sz w:val="32"/>
          <w:szCs w:val="32"/>
        </w:rPr>
        <w:t>、培训费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0.2万元</w:t>
      </w:r>
      <w:r>
        <w:rPr>
          <w:rFonts w:hint="eastAsia" w:ascii="仿宋_GB2312" w:hAnsi="仿宋" w:eastAsia="仿宋_GB2312"/>
          <w:sz w:val="32"/>
          <w:szCs w:val="32"/>
        </w:rPr>
        <w:t>、公务接待费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0.19万元</w:t>
      </w:r>
      <w:r>
        <w:rPr>
          <w:rFonts w:hint="eastAsia" w:ascii="仿宋_GB2312" w:hAnsi="仿宋" w:eastAsia="仿宋_GB2312"/>
          <w:sz w:val="32"/>
          <w:szCs w:val="32"/>
        </w:rPr>
        <w:t>、工会经费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0.55万元</w:t>
      </w:r>
      <w:r>
        <w:rPr>
          <w:rFonts w:hint="eastAsia" w:ascii="仿宋_GB2312" w:hAnsi="仿宋" w:eastAsia="仿宋_GB2312"/>
          <w:sz w:val="32"/>
          <w:szCs w:val="32"/>
        </w:rPr>
        <w:t>、福利费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0.34万元</w:t>
      </w:r>
      <w:r>
        <w:rPr>
          <w:rFonts w:hint="eastAsia" w:ascii="仿宋_GB2312" w:hAnsi="仿宋" w:eastAsia="仿宋_GB2312"/>
          <w:sz w:val="32"/>
          <w:szCs w:val="32"/>
        </w:rPr>
        <w:t>、其他交通费用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1.8万元</w:t>
      </w:r>
      <w:r>
        <w:rPr>
          <w:rFonts w:hint="eastAsia" w:ascii="仿宋_GB2312" w:hAnsi="仿宋" w:eastAsia="仿宋_GB2312"/>
          <w:sz w:val="32"/>
          <w:szCs w:val="32"/>
        </w:rPr>
        <w:t>、其他商品和服务支出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1.89万元</w:t>
      </w:r>
      <w:r>
        <w:rPr>
          <w:rFonts w:hint="eastAsia" w:ascii="仿宋_GB2312" w:hAnsi="仿宋" w:eastAsia="仿宋_GB2312"/>
          <w:sz w:val="32"/>
          <w:szCs w:val="32"/>
        </w:rPr>
        <w:t>等。</w:t>
      </w:r>
    </w:p>
    <w:p w14:paraId="47B7981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 w14:paraId="7012EF0C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年一般公共预算财政拨款项目支出预算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相比持平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1280E1B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部门专项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个，主要是项目1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：工商联商会建设专项工作经费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5万元</w:t>
      </w:r>
      <w:r>
        <w:rPr>
          <w:rFonts w:hint="eastAsia" w:ascii="仿宋_GB2312" w:hAnsi="仿宋" w:eastAsia="仿宋_GB2312"/>
          <w:sz w:val="32"/>
          <w:szCs w:val="32"/>
        </w:rPr>
        <w:t>、项目2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：非公有制经济人士教育培训经费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5万元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2CA5B85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（三）支出功能分类说明</w:t>
      </w:r>
    </w:p>
    <w:p w14:paraId="3ACCDB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contextualSpacing/>
        <w:jc w:val="left"/>
        <w:textAlignment w:val="auto"/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1.一般公共服务支出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eastAsia="zh-CN"/>
        </w:rPr>
        <w:t>（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类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eastAsia="zh-CN"/>
        </w:rPr>
        <w:t>）民主党派及工商联事务（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款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行政运行（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项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）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72.45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万元，比 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</w:rPr>
        <w:t>年预算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增加3.45</w:t>
      </w:r>
      <w:r>
        <w:rPr>
          <w:rFonts w:hint="eastAsia" w:ascii="仿宋_GB2312" w:eastAsia="仿宋_GB2312"/>
          <w:color w:val="000000"/>
          <w:sz w:val="32"/>
          <w:szCs w:val="32"/>
        </w:rPr>
        <w:t>万元， 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人员工资福利增加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 w14:paraId="02BAD26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contextualSpacing/>
        <w:jc w:val="left"/>
        <w:textAlignment w:val="auto"/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2.社会保障和就业支出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类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）行政事业单位养老支出（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款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2026年预算数为11.49万元，比2025年增加0.88万元，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人员工资福利增加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。</w:t>
      </w:r>
    </w:p>
    <w:p w14:paraId="1078ED4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contextualSpacing/>
        <w:jc w:val="left"/>
        <w:textAlignment w:val="auto"/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000000"/>
          <w:sz w:val="32"/>
          <w:szCs w:val="32"/>
        </w:rPr>
        <w:t>.社会保障和就业支出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类）其他社会保障和就业支出（款）</w:t>
      </w:r>
      <w:r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  <w:t>其他社会保障和就业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支出（项）2026年预算数为0.38万元，比2025年减少0.44万元，主要是由于今年残疾人保障金没有预算在内。</w:t>
      </w:r>
    </w:p>
    <w:p w14:paraId="2779E93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contextualSpacing/>
        <w:jc w:val="left"/>
        <w:textAlignment w:val="auto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.卫生健康支出（ 类）行政事业单位医疗（ 款） 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行政单位医疗（项）2026年预算数为3.79万元，比2025年增加0.35万元，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人员工资福利增加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。</w:t>
      </w:r>
    </w:p>
    <w:p w14:paraId="12ECF0A8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.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</w:rPr>
        <w:t xml:space="preserve">住房保障支出（ 类） 住房改革支出（ 款） 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住房公积金（项）2026年预算数为5.74万元，比2025年增加0.43万元，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</w:rPr>
        <w:t>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人员工资福利增加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eastAsia="zh-CN"/>
        </w:rPr>
        <w:t>。</w:t>
      </w:r>
    </w:p>
    <w:p w14:paraId="0A65071F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 w14:paraId="1A1EA64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00BD625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contextualSpacing/>
        <w:textAlignment w:val="auto"/>
        <w:rPr>
          <w:rFonts w:ascii="仿宋_GB2312" w:hAnsi="仿宋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“三公”经费预算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0.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19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较</w:t>
      </w: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持平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2556AD8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1.因公出国（境）费用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5089E40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2.公务接待费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0.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19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较</w:t>
      </w: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持平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75FF2E92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3.公务用车购置及运行维护费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3C18502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（二）培训费预算情况说明</w:t>
      </w:r>
    </w:p>
    <w:p w14:paraId="7ED815E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4.培训费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0.2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持平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27BFF129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 w14:paraId="0C1AA7B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5.会议费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0.1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与</w:t>
      </w: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持平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7D35BB7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2A2D2CF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机关运行经费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5.03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减少0.33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下降率6.16</w:t>
      </w:r>
      <w:r>
        <w:rPr>
          <w:rFonts w:hint="eastAsia" w:ascii="仿宋_GB2312" w:hAnsi="仿宋" w:eastAsia="仿宋_GB2312"/>
          <w:sz w:val="32"/>
          <w:szCs w:val="32"/>
        </w:rPr>
        <w:t>%，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下降</w:t>
      </w:r>
      <w:r>
        <w:rPr>
          <w:rFonts w:hint="eastAsia" w:ascii="仿宋_GB2312" w:hAnsi="仿宋" w:eastAsia="仿宋_GB2312"/>
          <w:sz w:val="32"/>
          <w:szCs w:val="32"/>
        </w:rPr>
        <w:t>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职工福利费减少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57B4FFA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73FD1C8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年，部门（单位）政府采购预算总额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1.6</w:t>
      </w:r>
      <w:r>
        <w:rPr>
          <w:rFonts w:hint="eastAsia" w:ascii="仿宋_GB2312" w:hAnsi="仿宋" w:eastAsia="仿宋_GB2312"/>
          <w:sz w:val="32"/>
          <w:szCs w:val="32"/>
        </w:rPr>
        <w:t>万元，其中：政府采购货物预算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1.6</w:t>
      </w:r>
      <w:r>
        <w:rPr>
          <w:rFonts w:hint="eastAsia" w:ascii="仿宋_GB2312" w:hAnsi="仿宋" w:eastAsia="仿宋_GB2312"/>
          <w:sz w:val="32"/>
          <w:szCs w:val="32"/>
        </w:rPr>
        <w:t>万元，政府采购工程预算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万元，政府采购服务预算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51697EF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 xml:space="preserve">年，部门（单位）面向中小企业预留政府采购项目预算金额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万元，小微企业预留政府采购项目预算金额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6A193527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7051FEC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上年末固定资产金额为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7.9</w:t>
      </w:r>
      <w:r>
        <w:rPr>
          <w:rFonts w:hint="eastAsia" w:ascii="仿宋_GB2312" w:hAnsi="仿宋" w:eastAsia="仿宋_GB2312"/>
          <w:sz w:val="32"/>
          <w:szCs w:val="32"/>
        </w:rPr>
        <w:t>万元。其中：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通用设备5.04万元，家具和用具2.86万元。</w:t>
      </w:r>
    </w:p>
    <w:p w14:paraId="4AAB33A2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35FD68F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6F73688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未安排预算，政府性基金预算支出情况表为空表。</w:t>
      </w:r>
    </w:p>
    <w:p w14:paraId="0D4C3D1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1E8A2D8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无非税收入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6AEED59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116D892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本单位年初预算未安排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重点</w:t>
      </w:r>
      <w:r>
        <w:rPr>
          <w:rFonts w:hint="eastAsia" w:ascii="仿宋_GB2312" w:hAnsi="仿宋" w:eastAsia="仿宋_GB2312"/>
          <w:sz w:val="32"/>
          <w:szCs w:val="32"/>
        </w:rPr>
        <w:t>项目支出，无重点项目说明。</w:t>
      </w:r>
    </w:p>
    <w:p w14:paraId="01892E2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1C7347B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未安排预算，单位管理转移支付表为空表。</w:t>
      </w:r>
    </w:p>
    <w:p w14:paraId="2D70BDE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1029F0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contextualSpacing/>
        <w:jc w:val="left"/>
        <w:textAlignment w:val="auto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未安排预算，国有资本经营预算支出情况表为空表。</w:t>
      </w:r>
    </w:p>
    <w:p w14:paraId="1ED9B13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1C62EBE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592E718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2988721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3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 xml:space="preserve">整体支出和项目绩效目标 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 xml:space="preserve">个，按规定随年度预算一并公开项目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个，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其中整体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个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89.18万元，项目2个10万元，</w:t>
      </w:r>
      <w:r>
        <w:rPr>
          <w:rFonts w:hint="eastAsia" w:ascii="仿宋_GB2312" w:hAnsi="仿宋" w:eastAsia="仿宋_GB2312"/>
          <w:sz w:val="32"/>
          <w:szCs w:val="32"/>
        </w:rPr>
        <w:t>公开率为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13F47A4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3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年7月，组织开展1-6月绩效运行监控项目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个，占本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仿宋" w:eastAsia="仿宋_GB2312"/>
          <w:sz w:val="32"/>
          <w:szCs w:val="32"/>
        </w:rPr>
        <w:t>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%。截至7月底，如期完成预算执行和绩效目标指标值的项目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监控</w:t>
      </w:r>
      <w:r>
        <w:rPr>
          <w:rFonts w:hint="eastAsia" w:ascii="仿宋_GB2312" w:hAnsi="仿宋" w:eastAsia="仿宋_GB2312"/>
          <w:sz w:val="32"/>
          <w:szCs w:val="32"/>
        </w:rPr>
        <w:t>发现存在的问题和主要原因是：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资金未及时兑付</w:t>
      </w:r>
      <w:r>
        <w:rPr>
          <w:rFonts w:hint="eastAsia" w:ascii="仿宋_GB2312" w:hAnsi="仿宋" w:eastAsia="仿宋_GB2312"/>
          <w:sz w:val="32"/>
          <w:szCs w:val="32"/>
        </w:rPr>
        <w:t>。绩效运行监控在部门内部通报整改情况：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及时协商财政兑付资金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385E067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3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 xml:space="preserve">个，其中，部门（单位）整体支出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 xml:space="preserve"> 个，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89.18万元；</w:t>
      </w:r>
      <w:r>
        <w:rPr>
          <w:rFonts w:hint="eastAsia" w:ascii="仿宋_GB2312" w:hAnsi="仿宋" w:eastAsia="仿宋_GB2312"/>
          <w:sz w:val="32"/>
          <w:szCs w:val="32"/>
        </w:rPr>
        <w:t xml:space="preserve">项目支出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 xml:space="preserve"> 个，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10万元；</w:t>
      </w:r>
      <w:r>
        <w:rPr>
          <w:rFonts w:hint="eastAsia" w:ascii="仿宋_GB2312" w:hAnsi="仿宋" w:eastAsia="仿宋_GB2312"/>
          <w:sz w:val="32"/>
          <w:szCs w:val="32"/>
        </w:rPr>
        <w:t xml:space="preserve">转移支付项目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自评得分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96.55分，</w:t>
      </w:r>
      <w:r>
        <w:rPr>
          <w:rFonts w:hint="eastAsia" w:ascii="仿宋_GB2312" w:hAnsi="仿宋" w:eastAsia="仿宋_GB2312"/>
          <w:sz w:val="32"/>
          <w:szCs w:val="32"/>
        </w:rPr>
        <w:t>绩效自评覆盖率为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%。绩效自评结果随部门决算报送财政和随决算公开情况：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及时公开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65FF75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3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 xml:space="preserve">年度绩效运行监控、绩效自评等情况，当年盘活财政资金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万元，202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年度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整体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增加</w:t>
      </w:r>
      <w:r>
        <w:rPr>
          <w:rFonts w:hint="eastAsia" w:ascii="仿宋_GB2312" w:hAnsi="仿宋" w:eastAsia="仿宋_GB2312"/>
          <w:sz w:val="32"/>
          <w:szCs w:val="32"/>
        </w:rPr>
        <w:t>部门预算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4.67万元，</w:t>
      </w:r>
      <w:r>
        <w:rPr>
          <w:rFonts w:hint="eastAsia" w:ascii="仿宋_GB2312" w:eastAsia="仿宋_GB2312"/>
          <w:color w:val="000000"/>
          <w:sz w:val="32"/>
          <w:szCs w:val="32"/>
        </w:rPr>
        <w:t>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人员工资福利增加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；</w:t>
      </w:r>
      <w:r>
        <w:rPr>
          <w:rFonts w:hint="eastAsia" w:ascii="仿宋_GB2312" w:hAnsi="仿宋" w:eastAsia="仿宋_GB2312"/>
          <w:sz w:val="32"/>
          <w:szCs w:val="32"/>
        </w:rPr>
        <w:t>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10万元，与上年持平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2820B5E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4D6CA4C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年，纳入单位预算绩效目标管理的项目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个。其中，部门整体支出绩效目标围绕部门管理、履职效果、能力建设三个维度，设置二级指标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18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34</w:t>
      </w:r>
      <w:r>
        <w:rPr>
          <w:rFonts w:hint="eastAsia" w:ascii="仿宋_GB2312" w:hAnsi="仿宋" w:eastAsia="仿宋_GB2312"/>
          <w:sz w:val="32"/>
          <w:szCs w:val="32"/>
        </w:rPr>
        <w:t>个；项目支出绩效目标围绕成本指标、产出指标、效益指标、满意度指标四个维度，设置二级指标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/>
          <w:sz w:val="32"/>
          <w:szCs w:val="32"/>
        </w:rPr>
        <w:t>个。各项绩效目标内容指向明确、细化量化、合理可行，符合规定的格式要求。</w:t>
      </w:r>
    </w:p>
    <w:p w14:paraId="1B6BE29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476EBD1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4CC6C57A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7908A71B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4CE172D2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6D5803A7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696C919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3E4D9AA1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4CA7FF0F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453FCEBD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5548359E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2CFD7CC3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7BF108C1">
      <w:pPr>
        <w:adjustRightInd w:val="0"/>
        <w:snapToGrid w:val="0"/>
        <w:spacing w:line="640" w:lineRule="exact"/>
        <w:ind w:right="960"/>
        <w:contextualSpacing/>
        <w:jc w:val="right"/>
        <w:rPr>
          <w:rFonts w:hint="default" w:ascii="仿宋_GB2312" w:hAnsi="CIDFont+F6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华池县工商业联合会</w:t>
      </w:r>
    </w:p>
    <w:p w14:paraId="77E85168">
      <w:pPr>
        <w:adjustRightInd w:val="0"/>
        <w:snapToGrid w:val="0"/>
        <w:spacing w:line="640" w:lineRule="exact"/>
        <w:ind w:right="1120"/>
        <w:contextualSpacing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 xml:space="preserve">年 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 xml:space="preserve"> 月 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11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 xml:space="preserve"> 日</w:t>
      </w:r>
    </w:p>
    <w:p w14:paraId="104DAE91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</w:p>
    <w:p w14:paraId="0B2BAD3B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</w:p>
    <w:p w14:paraId="0358EE45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华池县工商业联合会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 w14:paraId="4E90257E">
      <w:pPr>
        <w:adjustRightInd w:val="0"/>
        <w:snapToGrid w:val="0"/>
        <w:spacing w:line="640" w:lineRule="exact"/>
        <w:ind w:left="1796" w:leftChars="767" w:hanging="185" w:hangingChars="58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华池县工商业联合会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整体支出绩效目标及预算项目绩效目标表</w:t>
      </w:r>
    </w:p>
    <w:p w14:paraId="22DB4760">
      <w:pPr>
        <w:tabs>
          <w:tab w:val="left" w:pos="1272"/>
        </w:tabs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imesNewRomanPS-BoldMT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IDFont+F6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4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BF69E">
    <w:pPr>
      <w:pStyle w:val="5"/>
      <w:jc w:val="center"/>
    </w:pPr>
  </w:p>
  <w:p w14:paraId="18AFAB9B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C854A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7F222DAC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1C513FF"/>
    <w:rsid w:val="02E03DF9"/>
    <w:rsid w:val="05FA7061"/>
    <w:rsid w:val="113741D2"/>
    <w:rsid w:val="18330BA7"/>
    <w:rsid w:val="18A46E1B"/>
    <w:rsid w:val="1D34261E"/>
    <w:rsid w:val="30B13040"/>
    <w:rsid w:val="347A665B"/>
    <w:rsid w:val="402932CE"/>
    <w:rsid w:val="42A05423"/>
    <w:rsid w:val="4C433C79"/>
    <w:rsid w:val="527E074E"/>
    <w:rsid w:val="56393C72"/>
    <w:rsid w:val="579503FF"/>
    <w:rsid w:val="60535296"/>
    <w:rsid w:val="6E011F24"/>
    <w:rsid w:val="72FD2525"/>
    <w:rsid w:val="78106856"/>
    <w:rsid w:val="FF7F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autoRedefine/>
    <w:qFormat/>
    <w:uiPriority w:val="0"/>
    <w:pPr>
      <w:jc w:val="left"/>
    </w:pPr>
  </w:style>
  <w:style w:type="paragraph" w:styleId="4">
    <w:name w:val="Balloon Text"/>
    <w:basedOn w:val="1"/>
    <w:link w:val="15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9"/>
    <w:autoRedefine/>
    <w:qFormat/>
    <w:uiPriority w:val="0"/>
    <w:rPr>
      <w:b/>
      <w:bCs/>
    </w:rPr>
  </w:style>
  <w:style w:type="character" w:styleId="10">
    <w:name w:val="line number"/>
    <w:autoRedefine/>
    <w:qFormat/>
    <w:uiPriority w:val="0"/>
  </w:style>
  <w:style w:type="character" w:styleId="11">
    <w:name w:val="annotation reference"/>
    <w:autoRedefine/>
    <w:qFormat/>
    <w:uiPriority w:val="0"/>
    <w:rPr>
      <w:sz w:val="21"/>
      <w:szCs w:val="21"/>
    </w:rPr>
  </w:style>
  <w:style w:type="character" w:customStyle="1" w:styleId="12">
    <w:name w:val="页脚 Char"/>
    <w:link w:val="5"/>
    <w:qFormat/>
    <w:uiPriority w:val="0"/>
    <w:rPr>
      <w:sz w:val="18"/>
      <w:szCs w:val="18"/>
    </w:rPr>
  </w:style>
  <w:style w:type="character" w:customStyle="1" w:styleId="13">
    <w:name w:val="页眉 Char"/>
    <w:link w:val="6"/>
    <w:autoRedefine/>
    <w:qFormat/>
    <w:uiPriority w:val="0"/>
    <w:rPr>
      <w:sz w:val="18"/>
      <w:szCs w:val="18"/>
    </w:rPr>
  </w:style>
  <w:style w:type="paragraph" w:styleId="14">
    <w:name w:val="List Paragraph"/>
    <w:basedOn w:val="1"/>
    <w:qFormat/>
    <w:uiPriority w:val="0"/>
    <w:pPr>
      <w:ind w:firstLine="420" w:firstLineChars="200"/>
    </w:pPr>
  </w:style>
  <w:style w:type="character" w:customStyle="1" w:styleId="15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6">
    <w:name w:val="标题 1 Char"/>
    <w:link w:val="2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7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8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19">
    <w:name w:val="批注主题 Char"/>
    <w:link w:val="7"/>
    <w:qFormat/>
    <w:uiPriority w:val="0"/>
    <w:rPr>
      <w:b/>
      <w:bCs/>
      <w:kern w:val="2"/>
      <w:sz w:val="21"/>
      <w:szCs w:val="22"/>
    </w:rPr>
  </w:style>
  <w:style w:type="character" w:customStyle="1" w:styleId="20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1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2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3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11</Pages>
  <Words>23</Words>
  <Characters>26</Characters>
  <Lines>68</Lines>
  <Paragraphs>19</Paragraphs>
  <TotalTime>4</TotalTime>
  <ScaleCrop>false</ScaleCrop>
  <LinksUpToDate>false</LinksUpToDate>
  <CharactersWithSpaces>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哟哟</cp:lastModifiedBy>
  <cp:lastPrinted>2022-02-15T15:45:00Z</cp:lastPrinted>
  <dcterms:modified xsi:type="dcterms:W3CDTF">2026-03-12T02:29:02Z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5150C1D181844B4D8A0D7A3F2569CD50_13</vt:lpwstr>
  </property>
  <property fmtid="{D5CDD505-2E9C-101B-9397-08002B2CF9AE}" pid="4" name="KSOTemplateDocerSaveRecord">
    <vt:lpwstr>eyJoZGlkIjoiYzRlZWMwOWMwOTMwZWE5YzExYjU2YWQzOTIwYzE0OTQiLCJ1c2VySWQiOiIxMDQyMTQxNjQ4In0=</vt:lpwstr>
  </property>
</Properties>
</file>