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B6B5">
      <w:pPr>
        <w:spacing w:line="660" w:lineRule="exact"/>
        <w:jc w:val="center"/>
        <w:rPr>
          <w:rFonts w:ascii="宋体" w:hAnsi="宋体" w:cs="宋体"/>
          <w:b/>
          <w:bCs/>
          <w:kern w:val="0"/>
          <w:sz w:val="44"/>
          <w:szCs w:val="44"/>
        </w:rPr>
      </w:pPr>
    </w:p>
    <w:p w14:paraId="0065D364">
      <w:pPr>
        <w:spacing w:line="660" w:lineRule="exact"/>
        <w:jc w:val="center"/>
        <w:rPr>
          <w:rFonts w:ascii="宋体" w:hAnsi="宋体" w:cs="宋体"/>
          <w:b/>
          <w:bCs/>
          <w:kern w:val="0"/>
          <w:sz w:val="44"/>
          <w:szCs w:val="44"/>
        </w:rPr>
      </w:pPr>
    </w:p>
    <w:p w14:paraId="5AF7918B">
      <w:pPr>
        <w:spacing w:line="660" w:lineRule="exact"/>
        <w:jc w:val="center"/>
        <w:rPr>
          <w:rFonts w:ascii="宋体" w:hAnsi="宋体" w:cs="宋体"/>
          <w:b/>
          <w:bCs/>
          <w:kern w:val="0"/>
          <w:sz w:val="44"/>
          <w:szCs w:val="44"/>
        </w:rPr>
      </w:pPr>
    </w:p>
    <w:p w14:paraId="4F9BB75B">
      <w:pPr>
        <w:spacing w:line="660" w:lineRule="exact"/>
        <w:jc w:val="center"/>
        <w:rPr>
          <w:rFonts w:ascii="宋体" w:hAnsi="宋体" w:cs="宋体"/>
          <w:b/>
          <w:bCs/>
          <w:kern w:val="0"/>
          <w:sz w:val="44"/>
          <w:szCs w:val="44"/>
        </w:rPr>
      </w:pPr>
      <w:r>
        <w:rPr>
          <w:rFonts w:hint="eastAsia" w:ascii="宋体" w:hAnsi="宋体" w:cs="宋体"/>
          <w:b/>
          <w:bCs/>
          <w:kern w:val="0"/>
          <w:sz w:val="44"/>
          <w:szCs w:val="44"/>
          <w:lang w:val="en-US" w:eastAsia="zh-CN"/>
        </w:rPr>
        <w:t>华池县动物疫病预防控制中心</w:t>
      </w:r>
    </w:p>
    <w:p w14:paraId="67ACC143">
      <w:pPr>
        <w:spacing w:line="660" w:lineRule="exact"/>
        <w:jc w:val="center"/>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r>
        <w:rPr>
          <w:rFonts w:hint="eastAsia" w:ascii="宋体" w:hAnsi="宋体" w:cs="宋体"/>
          <w:b/>
          <w:bCs/>
          <w:kern w:val="0"/>
          <w:sz w:val="44"/>
          <w:szCs w:val="44"/>
          <w:lang w:eastAsia="zh-CN"/>
        </w:rPr>
        <w:t>202</w:t>
      </w:r>
      <w:r>
        <w:rPr>
          <w:rFonts w:hint="default" w:ascii="宋体" w:hAnsi="宋体" w:cs="宋体"/>
          <w:b/>
          <w:bCs/>
          <w:kern w:val="0"/>
          <w:sz w:val="44"/>
          <w:szCs w:val="44"/>
          <w:lang w:val="en-US" w:eastAsia="zh-CN"/>
        </w:rPr>
        <w:t>6</w:t>
      </w:r>
      <w:r>
        <w:rPr>
          <w:rFonts w:hint="eastAsia" w:ascii="宋体" w:hAnsi="宋体" w:cs="宋体"/>
          <w:b/>
          <w:bCs/>
          <w:kern w:val="0"/>
          <w:sz w:val="44"/>
          <w:szCs w:val="44"/>
        </w:rPr>
        <w:t xml:space="preserve">年单位预算公开情况说明 </w:t>
      </w:r>
    </w:p>
    <w:p w14:paraId="23298934">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14:paraId="404A4908">
      <w:pPr>
        <w:spacing w:line="660" w:lineRule="exact"/>
        <w:jc w:val="center"/>
        <w:rPr>
          <w:rFonts w:ascii="宋体" w:hAnsi="宋体" w:cs="宋体"/>
          <w:b/>
          <w:bCs/>
          <w:kern w:val="0"/>
          <w:sz w:val="44"/>
          <w:szCs w:val="44"/>
        </w:rPr>
      </w:pPr>
    </w:p>
    <w:p w14:paraId="581C7286">
      <w:pPr>
        <w:spacing w:line="30" w:lineRule="exact"/>
        <w:jc w:val="center"/>
        <w:rPr>
          <w:rFonts w:ascii="黑体" w:eastAsia="黑体"/>
          <w:color w:val="000000"/>
          <w:sz w:val="18"/>
          <w:szCs w:val="18"/>
        </w:rPr>
      </w:pPr>
    </w:p>
    <w:p w14:paraId="53002029">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第一部分 部门/单位基本概况</w:t>
      </w:r>
    </w:p>
    <w:p w14:paraId="70C024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一、部门/单位职责</w:t>
      </w:r>
    </w:p>
    <w:p w14:paraId="4D83AF2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433351F8">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第二部分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年部门/单位预算情况说明</w:t>
      </w:r>
    </w:p>
    <w:p w14:paraId="44EBD67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14:paraId="0BB73FF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14:paraId="4A12B8C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14:paraId="435BC81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14:paraId="2F88CE3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14:paraId="5046C44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14:paraId="6D55E2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14:paraId="171C4917">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14:paraId="7042C3D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14:paraId="734FD345">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第三部分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年部门（单位）预算公开表</w:t>
      </w:r>
    </w:p>
    <w:p w14:paraId="3FD2078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一、部门/单位收支总体情况表</w:t>
      </w:r>
    </w:p>
    <w:p w14:paraId="72142C8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二、部门/单位收入总体情况表</w:t>
      </w:r>
    </w:p>
    <w:p w14:paraId="45966E8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三、部门/单位支出总体情况表</w:t>
      </w:r>
    </w:p>
    <w:p w14:paraId="675B820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7622165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6361183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600E529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5189B486">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B121EF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031FDB5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5FFFCFA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505BB7C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4129F3F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十三、部门/单位整体支出绩效目标表和项目支出绩效目标表</w:t>
      </w:r>
    </w:p>
    <w:p w14:paraId="7F85859C">
      <w:pPr>
        <w:spacing w:line="660" w:lineRule="exact"/>
        <w:jc w:val="center"/>
        <w:rPr>
          <w:rFonts w:ascii="仿宋_GB2312" w:hAnsi="宋体" w:eastAsia="仿宋_GB2312" w:cs="宋体"/>
          <w:b/>
          <w:bCs/>
          <w:kern w:val="0"/>
          <w:sz w:val="44"/>
          <w:szCs w:val="44"/>
        </w:rPr>
      </w:pPr>
    </w:p>
    <w:p w14:paraId="6DBFCF8A">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14:paraId="42E458F6">
      <w:pPr>
        <w:spacing w:line="600" w:lineRule="exact"/>
        <w:ind w:firstLine="643" w:firstLineChars="200"/>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14:paraId="0AD557B8">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年部门预算公开如下：</w:t>
      </w:r>
    </w:p>
    <w:p w14:paraId="1BFDDEEA">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一、部门/单位职责</w:t>
      </w:r>
    </w:p>
    <w:p w14:paraId="20718F51">
      <w:pPr>
        <w:keepNext w:val="0"/>
        <w:keepLines w:val="0"/>
        <w:pageBreakBefore w:val="0"/>
        <w:widowControl/>
        <w:kinsoku/>
        <w:wordWrap/>
        <w:overflowPunct/>
        <w:topLinePunct w:val="0"/>
        <w:autoSpaceDE/>
        <w:autoSpaceDN/>
        <w:bidi w:val="0"/>
        <w:adjustRightInd/>
        <w:snapToGrid/>
        <w:spacing w:before="100" w:beforeLines="0" w:after="100" w:afterLines="0"/>
        <w:ind w:firstLine="640" w:firstLineChars="200"/>
        <w:jc w:val="left"/>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lang w:val="zh-CN" w:eastAsia="zh-CN"/>
        </w:rPr>
        <w:t>我</w:t>
      </w:r>
      <w:r>
        <w:rPr>
          <w:rFonts w:hint="eastAsia" w:ascii="仿宋_GB2312" w:hAnsi="仿宋" w:eastAsia="仿宋_GB2312" w:cs="宋体"/>
          <w:kern w:val="0"/>
          <w:sz w:val="32"/>
          <w:szCs w:val="32"/>
          <w:lang w:val="en-US" w:eastAsia="zh-CN"/>
        </w:rPr>
        <w:t>单位</w:t>
      </w:r>
      <w:r>
        <w:rPr>
          <w:rFonts w:hint="eastAsia" w:ascii="仿宋_GB2312" w:hAnsi="仿宋" w:eastAsia="仿宋_GB2312" w:cs="宋体"/>
          <w:kern w:val="0"/>
          <w:sz w:val="32"/>
          <w:szCs w:val="32"/>
        </w:rPr>
        <w:t>隶属</w:t>
      </w:r>
      <w:r>
        <w:rPr>
          <w:rFonts w:hint="eastAsia" w:ascii="仿宋_GB2312" w:hAnsi="仿宋" w:eastAsia="仿宋_GB2312" w:cs="宋体"/>
          <w:kern w:val="0"/>
          <w:sz w:val="32"/>
          <w:szCs w:val="32"/>
          <w:lang w:eastAsia="zh-CN"/>
        </w:rPr>
        <w:t>于华池县</w:t>
      </w:r>
      <w:r>
        <w:rPr>
          <w:rFonts w:hint="eastAsia" w:ascii="仿宋_GB2312" w:hAnsi="仿宋" w:eastAsia="仿宋_GB2312" w:cs="宋体"/>
          <w:kern w:val="0"/>
          <w:sz w:val="32"/>
          <w:szCs w:val="32"/>
          <w:lang w:val="en-US" w:eastAsia="zh-CN"/>
        </w:rPr>
        <w:t>农业农村局</w:t>
      </w:r>
      <w:r>
        <w:rPr>
          <w:rFonts w:hint="eastAsia" w:ascii="仿宋_GB2312" w:hAnsi="仿宋" w:eastAsia="仿宋_GB2312" w:cs="宋体"/>
          <w:kern w:val="0"/>
          <w:sz w:val="32"/>
          <w:szCs w:val="32"/>
        </w:rPr>
        <w:t>，</w:t>
      </w:r>
      <w:r>
        <w:rPr>
          <w:rFonts w:hint="eastAsia" w:ascii="仿宋_GB2312" w:hAnsi="仿宋" w:eastAsia="仿宋_GB2312" w:cs="宋体"/>
          <w:kern w:val="0"/>
          <w:sz w:val="32"/>
          <w:szCs w:val="32"/>
          <w:lang w:eastAsia="zh-CN"/>
        </w:rPr>
        <w:t>主要职责是：</w:t>
      </w:r>
      <w:r>
        <w:rPr>
          <w:rFonts w:hint="eastAsia" w:ascii="仿宋_GB2312" w:hAnsi="仿宋" w:eastAsia="仿宋_GB2312" w:cs="宋体"/>
          <w:kern w:val="0"/>
          <w:sz w:val="32"/>
          <w:szCs w:val="32"/>
          <w:lang w:val="en-US" w:eastAsia="zh-CN"/>
        </w:rPr>
        <w:t>（1）</w:t>
      </w:r>
      <w:r>
        <w:rPr>
          <w:rFonts w:hint="eastAsia" w:ascii="仿宋_GB2312" w:hAnsi="仿宋" w:eastAsia="仿宋_GB2312" w:cs="宋体"/>
          <w:kern w:val="0"/>
          <w:sz w:val="32"/>
          <w:szCs w:val="32"/>
          <w:lang w:val="zh-CN" w:eastAsia="zh-CN"/>
        </w:rPr>
        <w:t>按照《中华人民共和国动物防疫法》及《甘肃省动物防疫条例》，华池县动物疫病预防控制中心负责全县重大动物疫病及人畜共患病防控工作，制定动物疫病预防控制规划、措施、应急预案并提供科学依据，负责全县动物疫情汇总、分析、疫情报告工作；（</w:t>
      </w:r>
      <w:r>
        <w:rPr>
          <w:rFonts w:hint="eastAsia" w:ascii="仿宋_GB2312" w:hAnsi="仿宋" w:eastAsia="仿宋_GB2312" w:cs="宋体"/>
          <w:kern w:val="0"/>
          <w:sz w:val="32"/>
          <w:szCs w:val="32"/>
          <w:lang w:val="en-US" w:eastAsia="zh-CN"/>
        </w:rPr>
        <w:t>2</w:t>
      </w:r>
      <w:r>
        <w:rPr>
          <w:rFonts w:hint="eastAsia" w:ascii="仿宋_GB2312" w:hAnsi="仿宋" w:eastAsia="仿宋_GB2312" w:cs="宋体"/>
          <w:kern w:val="0"/>
          <w:sz w:val="32"/>
          <w:szCs w:val="32"/>
          <w:lang w:val="zh-CN" w:eastAsia="zh-CN"/>
        </w:rPr>
        <w:t>）负责全县动物疫病监测、免疫效果监测评估、采样及实验室定性诊断和技术仲裁；</w:t>
      </w:r>
      <w:r>
        <w:rPr>
          <w:rFonts w:hint="eastAsia" w:ascii="仿宋_GB2312" w:hAnsi="仿宋" w:eastAsia="仿宋_GB2312" w:cs="宋体"/>
          <w:kern w:val="0"/>
          <w:sz w:val="32"/>
          <w:szCs w:val="32"/>
          <w:lang w:val="en-US" w:eastAsia="zh-CN"/>
        </w:rPr>
        <w:t>（3）</w:t>
      </w:r>
      <w:r>
        <w:rPr>
          <w:rFonts w:hint="eastAsia" w:ascii="仿宋_GB2312" w:hAnsi="仿宋" w:eastAsia="仿宋_GB2312" w:cs="宋体"/>
          <w:kern w:val="0"/>
          <w:sz w:val="32"/>
          <w:szCs w:val="32"/>
          <w:lang w:val="zh-CN" w:eastAsia="zh-CN"/>
        </w:rPr>
        <w:t>负责流行病学调查、动物疫情的预警、预报等工作，提出重大动物疫情处置技术方案并采取疫情扑灭措施，负责动物疫病防控技术培训、科普宣传等工作；</w:t>
      </w:r>
      <w:r>
        <w:rPr>
          <w:rFonts w:hint="eastAsia" w:ascii="仿宋_GB2312" w:hAnsi="仿宋" w:eastAsia="仿宋_GB2312" w:cs="宋体"/>
          <w:kern w:val="0"/>
          <w:sz w:val="32"/>
          <w:szCs w:val="32"/>
          <w:lang w:val="en-US" w:eastAsia="zh-CN"/>
        </w:rPr>
        <w:t>（4）</w:t>
      </w:r>
      <w:r>
        <w:rPr>
          <w:rFonts w:hint="eastAsia" w:ascii="仿宋_GB2312" w:hAnsi="仿宋" w:eastAsia="仿宋_GB2312" w:cs="宋体"/>
          <w:kern w:val="0"/>
          <w:sz w:val="32"/>
          <w:szCs w:val="32"/>
          <w:lang w:val="zh-CN" w:eastAsia="zh-CN"/>
        </w:rPr>
        <w:t>负责全县重大动物疫病防控物资和疫苗的计划、订购、保管和供应工作；</w:t>
      </w:r>
      <w:r>
        <w:rPr>
          <w:rFonts w:hint="eastAsia" w:ascii="仿宋_GB2312" w:hAnsi="仿宋" w:eastAsia="仿宋_GB2312" w:cs="宋体"/>
          <w:kern w:val="0"/>
          <w:sz w:val="32"/>
          <w:szCs w:val="32"/>
          <w:lang w:val="en-US" w:eastAsia="zh-CN"/>
        </w:rPr>
        <w:t>（5）负责全县15个乡镇畜牧兽医站及村级兽医技术人员的业务管理指导、技术培训等工作；（6）</w:t>
      </w:r>
      <w:r>
        <w:rPr>
          <w:rFonts w:hint="eastAsia" w:ascii="仿宋_GB2312" w:hAnsi="仿宋" w:eastAsia="仿宋_GB2312" w:cs="宋体"/>
          <w:kern w:val="0"/>
          <w:sz w:val="32"/>
          <w:szCs w:val="32"/>
          <w:lang w:val="zh-CN" w:eastAsia="zh-CN"/>
        </w:rPr>
        <w:t>负责全县动物疫病防控情况的督促检查。</w:t>
      </w:r>
    </w:p>
    <w:p w14:paraId="720E48B4">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二、机构设置情况</w:t>
      </w:r>
    </w:p>
    <w:p w14:paraId="30941076">
      <w:pPr>
        <w:numPr>
          <w:ilvl w:val="0"/>
          <w:numId w:val="0"/>
        </w:numPr>
        <w:spacing w:line="600" w:lineRule="exact"/>
        <w:ind w:firstLine="616" w:firstLineChars="200"/>
        <w:rPr>
          <w:rFonts w:hint="eastAsia" w:ascii="仿宋_GB2312" w:hAnsi="仿宋" w:eastAsia="仿宋_GB2312" w:cs="Times New Roman"/>
          <w:spacing w:val="-6"/>
          <w:sz w:val="32"/>
          <w:szCs w:val="32"/>
          <w:lang w:eastAsia="zh-CN"/>
        </w:rPr>
      </w:pPr>
      <w:r>
        <w:rPr>
          <w:rFonts w:hint="eastAsia" w:ascii="仿宋_GB2312" w:hAnsi="仿宋" w:eastAsia="仿宋_GB2312" w:cs="宋体"/>
          <w:spacing w:val="-6"/>
          <w:kern w:val="0"/>
          <w:sz w:val="32"/>
          <w:szCs w:val="32"/>
          <w:lang w:val="en-US" w:eastAsia="zh-CN"/>
        </w:rPr>
        <w:t>我单位为独立编制、独立核算机构。2025年底，我单位财政供养人员27人，其中：在职人员23人（人员编制8人），退休人员4人。</w:t>
      </w:r>
    </w:p>
    <w:p w14:paraId="10AF1836">
      <w:pPr>
        <w:spacing w:line="600" w:lineRule="exact"/>
        <w:ind w:firstLine="640" w:firstLineChars="200"/>
        <w:rPr>
          <w:rFonts w:ascii="仿宋_GB2312" w:hAnsi="仿宋" w:eastAsia="仿宋_GB2312" w:cs="宋体"/>
          <w:kern w:val="0"/>
          <w:sz w:val="32"/>
          <w:szCs w:val="32"/>
        </w:rPr>
      </w:pPr>
      <w:r>
        <w:rPr>
          <w:rFonts w:hint="eastAsia" w:ascii="黑体" w:hAnsi="黑体" w:eastAsia="黑体" w:cs="宋体"/>
          <w:kern w:val="0"/>
          <w:sz w:val="32"/>
          <w:szCs w:val="32"/>
        </w:rPr>
        <w:t>三、部门/单位收支总体情况</w:t>
      </w:r>
    </w:p>
    <w:p w14:paraId="02D85CDC">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年部门收支总预算</w:t>
      </w:r>
      <w:r>
        <w:rPr>
          <w:rFonts w:hint="eastAsia" w:ascii="仿宋_GB2312" w:hAnsi="仿宋" w:eastAsia="仿宋_GB2312" w:cs="宋体"/>
          <w:kern w:val="0"/>
          <w:sz w:val="32"/>
          <w:szCs w:val="32"/>
          <w:lang w:val="en-US" w:eastAsia="zh-CN"/>
        </w:rPr>
        <w:t>404.91</w:t>
      </w:r>
      <w:r>
        <w:rPr>
          <w:rFonts w:hint="eastAsia" w:ascii="仿宋_GB2312" w:hAnsi="仿宋" w:eastAsia="仿宋_GB2312" w:cs="宋体"/>
          <w:kern w:val="0"/>
          <w:sz w:val="32"/>
          <w:szCs w:val="32"/>
        </w:rPr>
        <w:t>万元。按照综合预算的原则，单位所有收入和支出均纳入部门预算管理。收入包括：一般公共预算拨款收入；支出包括：科学技术支出、社会保障和就业支出、卫生健康支出、住房保障支出。</w:t>
      </w:r>
    </w:p>
    <w:p w14:paraId="78846D78">
      <w:pPr>
        <w:spacing w:line="600" w:lineRule="exact"/>
        <w:ind w:firstLine="643" w:firstLineChars="200"/>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7E3AB6EB">
      <w:pPr>
        <w:widowControl/>
        <w:spacing w:line="560" w:lineRule="exact"/>
        <w:ind w:firstLine="596" w:firstLineChars="200"/>
        <w:jc w:val="left"/>
        <w:rPr>
          <w:rFonts w:ascii="仿宋_GB2312" w:hAnsi="仿宋" w:eastAsia="仿宋_GB2312"/>
          <w:spacing w:val="-11"/>
          <w:sz w:val="32"/>
          <w:szCs w:val="32"/>
        </w:rPr>
      </w:pPr>
      <w:r>
        <w:rPr>
          <w:rFonts w:hint="eastAsia" w:ascii="仿宋_GB2312" w:hAnsi="仿宋" w:eastAsia="仿宋_GB2312"/>
          <w:spacing w:val="-11"/>
          <w:sz w:val="32"/>
          <w:szCs w:val="32"/>
          <w:lang w:eastAsia="zh-CN"/>
        </w:rPr>
        <w:t>202</w:t>
      </w:r>
      <w:r>
        <w:rPr>
          <w:rFonts w:hint="default" w:ascii="仿宋_GB2312" w:hAnsi="仿宋" w:eastAsia="仿宋_GB2312"/>
          <w:spacing w:val="-11"/>
          <w:sz w:val="32"/>
          <w:szCs w:val="32"/>
          <w:lang w:val="en-US" w:eastAsia="zh-CN"/>
        </w:rPr>
        <w:t>6</w:t>
      </w:r>
      <w:r>
        <w:rPr>
          <w:rFonts w:hint="eastAsia" w:ascii="仿宋_GB2312" w:hAnsi="仿宋" w:eastAsia="仿宋_GB2312"/>
          <w:spacing w:val="-11"/>
          <w:sz w:val="32"/>
          <w:szCs w:val="32"/>
        </w:rPr>
        <w:t>年收入预算</w:t>
      </w:r>
      <w:r>
        <w:rPr>
          <w:rFonts w:hint="eastAsia" w:ascii="仿宋_GB2312" w:hAnsi="仿宋" w:eastAsia="仿宋_GB2312"/>
          <w:spacing w:val="-11"/>
          <w:sz w:val="32"/>
          <w:szCs w:val="32"/>
          <w:lang w:val="en-US" w:eastAsia="zh-CN"/>
        </w:rPr>
        <w:t>404.91</w:t>
      </w:r>
      <w:r>
        <w:rPr>
          <w:rFonts w:hint="eastAsia" w:ascii="仿宋_GB2312" w:hAnsi="仿宋" w:eastAsia="仿宋_GB2312"/>
          <w:spacing w:val="-11"/>
          <w:sz w:val="32"/>
          <w:szCs w:val="32"/>
        </w:rPr>
        <w:t>万元（详见部门/单位预算公开表1,2）。包括：</w:t>
      </w:r>
    </w:p>
    <w:p w14:paraId="14E911E5">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一般公共预算收入</w:t>
      </w:r>
      <w:r>
        <w:rPr>
          <w:rFonts w:hint="eastAsia" w:ascii="仿宋_GB2312" w:hAnsi="仿宋" w:eastAsia="仿宋_GB2312"/>
          <w:sz w:val="32"/>
          <w:szCs w:val="32"/>
          <w:lang w:val="en-US" w:eastAsia="zh-CN"/>
        </w:rPr>
        <w:t>404.91</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100.00</w:t>
      </w:r>
      <w:r>
        <w:rPr>
          <w:rFonts w:hint="eastAsia" w:ascii="仿宋_GB2312" w:hAnsi="仿宋" w:eastAsia="仿宋_GB2312"/>
          <w:sz w:val="32"/>
          <w:szCs w:val="32"/>
        </w:rPr>
        <w:t>%；</w:t>
      </w:r>
    </w:p>
    <w:p w14:paraId="5924EDD1">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政府性基金预算收入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272ACA35">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上年结转收入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2D6B809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其他收入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2217B58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14:paraId="789B76AD">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年支出预算</w:t>
      </w:r>
      <w:r>
        <w:rPr>
          <w:rFonts w:hint="eastAsia" w:ascii="仿宋_GB2312" w:hAnsi="仿宋" w:eastAsia="仿宋_GB2312"/>
          <w:sz w:val="32"/>
          <w:szCs w:val="32"/>
          <w:lang w:val="en-US" w:eastAsia="zh-CN"/>
        </w:rPr>
        <w:t>404.91</w:t>
      </w:r>
      <w:r>
        <w:rPr>
          <w:rFonts w:hint="eastAsia" w:ascii="仿宋_GB2312" w:hAnsi="仿宋" w:eastAsia="仿宋_GB2312"/>
          <w:sz w:val="32"/>
          <w:szCs w:val="32"/>
        </w:rPr>
        <w:t>万元（详见部门/单位预算公开表3）。</w:t>
      </w:r>
      <w:r>
        <w:rPr>
          <w:rStyle w:val="20"/>
          <w:rFonts w:hint="default" w:hAnsi="仿宋"/>
        </w:rPr>
        <w:t>其中：基本支出</w:t>
      </w:r>
      <w:r>
        <w:rPr>
          <w:rFonts w:hint="eastAsia" w:ascii="仿宋_GB2312" w:hAnsi="仿宋" w:eastAsia="仿宋_GB2312"/>
          <w:sz w:val="32"/>
          <w:szCs w:val="32"/>
          <w:lang w:val="en-US" w:eastAsia="zh-CN"/>
        </w:rPr>
        <w:t>404.91</w:t>
      </w:r>
      <w:r>
        <w:rPr>
          <w:rStyle w:val="20"/>
          <w:rFonts w:hint="default" w:hAnsi="仿宋"/>
        </w:rPr>
        <w:t>万元，占</w:t>
      </w:r>
      <w:r>
        <w:rPr>
          <w:rStyle w:val="20"/>
          <w:rFonts w:hint="eastAsia" w:hAnsi="仿宋" w:eastAsia="仿宋_GB2312"/>
          <w:lang w:val="en-US" w:eastAsia="zh-CN"/>
        </w:rPr>
        <w:t>100</w:t>
      </w:r>
      <w:r>
        <w:rPr>
          <w:rStyle w:val="21"/>
          <w:rFonts w:hint="eastAsia" w:ascii="仿宋_GB2312" w:hAnsi="仿宋" w:eastAsia="仿宋_GB2312"/>
        </w:rPr>
        <w:t>%</w:t>
      </w:r>
      <w:r>
        <w:rPr>
          <w:rStyle w:val="20"/>
          <w:rFonts w:hint="default" w:hAnsi="仿宋"/>
        </w:rPr>
        <w:t>；项目支出</w:t>
      </w:r>
      <w:r>
        <w:rPr>
          <w:rStyle w:val="21"/>
          <w:rFonts w:hint="eastAsia" w:ascii="仿宋_GB2312" w:hAnsi="仿宋" w:eastAsia="仿宋_GB2312"/>
          <w:lang w:val="en-US" w:eastAsia="zh-CN"/>
        </w:rPr>
        <w:t>0</w:t>
      </w:r>
      <w:r>
        <w:rPr>
          <w:rStyle w:val="20"/>
          <w:rFonts w:hint="default" w:hAnsi="仿宋"/>
        </w:rPr>
        <w:t>万元，占</w:t>
      </w:r>
      <w:r>
        <w:rPr>
          <w:rStyle w:val="21"/>
          <w:rFonts w:hint="eastAsia" w:ascii="仿宋_GB2312" w:hAnsi="仿宋" w:eastAsia="仿宋_GB2312"/>
          <w:lang w:val="en-US" w:eastAsia="zh-CN"/>
        </w:rPr>
        <w:t>0</w:t>
      </w:r>
      <w:r>
        <w:rPr>
          <w:rStyle w:val="21"/>
          <w:rFonts w:hint="eastAsia" w:ascii="仿宋_GB2312" w:hAnsi="仿宋" w:eastAsia="仿宋_GB2312"/>
        </w:rPr>
        <w:t>%</w:t>
      </w:r>
      <w:r>
        <w:rPr>
          <w:rStyle w:val="20"/>
          <w:rFonts w:hint="default" w:hAnsi="仿宋"/>
        </w:rPr>
        <w:t>；上年结转</w:t>
      </w:r>
      <w:r>
        <w:rPr>
          <w:rStyle w:val="21"/>
          <w:rFonts w:hint="eastAsia" w:ascii="仿宋_GB2312" w:hAnsi="仿宋" w:eastAsia="仿宋_GB2312"/>
          <w:lang w:val="en-US" w:eastAsia="zh-CN"/>
        </w:rPr>
        <w:t>0</w:t>
      </w:r>
      <w:r>
        <w:rPr>
          <w:rStyle w:val="20"/>
          <w:rFonts w:hint="default" w:hAnsi="仿宋"/>
        </w:rPr>
        <w:t>万元，占</w:t>
      </w:r>
      <w:r>
        <w:rPr>
          <w:rStyle w:val="21"/>
          <w:rFonts w:hint="eastAsia" w:ascii="仿宋_GB2312" w:hAnsi="仿宋" w:eastAsia="仿宋_GB2312"/>
          <w:lang w:val="en-US" w:eastAsia="zh-CN"/>
        </w:rPr>
        <w:t>0</w:t>
      </w:r>
      <w:r>
        <w:rPr>
          <w:rStyle w:val="21"/>
          <w:rFonts w:hint="eastAsia" w:ascii="仿宋_GB2312" w:hAnsi="仿宋" w:eastAsia="仿宋_GB2312"/>
        </w:rPr>
        <w:t>%</w:t>
      </w:r>
      <w:r>
        <w:rPr>
          <w:rStyle w:val="20"/>
          <w:rFonts w:hint="default" w:hAnsi="仿宋"/>
        </w:rPr>
        <w:t>。</w:t>
      </w:r>
    </w:p>
    <w:p w14:paraId="7D7ADD5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四、一般公共预算情况</w:t>
      </w:r>
    </w:p>
    <w:p w14:paraId="0F3C656B">
      <w:pPr>
        <w:widowControl/>
        <w:adjustRightInd w:val="0"/>
        <w:snapToGrid w:val="0"/>
        <w:spacing w:line="640" w:lineRule="exact"/>
        <w:ind w:firstLine="640" w:firstLineChars="200"/>
        <w:contextualSpacing/>
        <w:jc w:val="left"/>
        <w:rPr>
          <w:rFonts w:ascii="仿宋_GB2312" w:hAnsi="仿宋" w:eastAsia="仿宋_GB2312"/>
          <w:sz w:val="32"/>
          <w:szCs w:val="32"/>
        </w:rPr>
      </w:pPr>
      <w:r>
        <w:rPr>
          <w:rStyle w:val="21"/>
          <w:rFonts w:hint="eastAsia" w:ascii="仿宋_GB2312" w:hAnsi="仿宋" w:eastAsia="仿宋_GB2312"/>
          <w:lang w:eastAsia="zh-CN"/>
        </w:rPr>
        <w:t>202</w:t>
      </w:r>
      <w:r>
        <w:rPr>
          <w:rStyle w:val="21"/>
          <w:rFonts w:hint="default" w:ascii="仿宋_GB2312" w:hAnsi="仿宋" w:eastAsia="仿宋_GB2312"/>
          <w:lang w:val="en-US" w:eastAsia="zh-CN"/>
        </w:rPr>
        <w:t>6</w:t>
      </w:r>
      <w:r>
        <w:rPr>
          <w:rStyle w:val="20"/>
          <w:rFonts w:hint="default" w:hAnsi="仿宋"/>
        </w:rPr>
        <w:t>年一般公共预算当年支出</w:t>
      </w:r>
      <w:r>
        <w:rPr>
          <w:rStyle w:val="21"/>
          <w:rFonts w:hint="eastAsia" w:ascii="仿宋_GB2312" w:hAnsi="仿宋" w:eastAsia="仿宋_GB2312"/>
          <w:lang w:val="en-US" w:eastAsia="zh-CN"/>
        </w:rPr>
        <w:t>404.91</w:t>
      </w:r>
      <w:r>
        <w:rPr>
          <w:rStyle w:val="20"/>
          <w:rFonts w:hint="default" w:hAnsi="仿宋"/>
        </w:rPr>
        <w:t>万元，包括：科学技术支出</w:t>
      </w:r>
      <w:r>
        <w:rPr>
          <w:rStyle w:val="21"/>
          <w:rFonts w:hint="eastAsia" w:ascii="仿宋_GB2312" w:hAnsi="仿宋" w:eastAsia="仿宋_GB2312"/>
          <w:lang w:val="en-US" w:eastAsia="zh-CN"/>
        </w:rPr>
        <w:t>296.85</w:t>
      </w:r>
      <w:r>
        <w:rPr>
          <w:rStyle w:val="20"/>
          <w:rFonts w:hint="default" w:hAnsi="仿宋"/>
        </w:rPr>
        <w:t>万元、社会保障和就业支出</w:t>
      </w:r>
      <w:r>
        <w:rPr>
          <w:rStyle w:val="21"/>
          <w:rFonts w:hint="eastAsia" w:ascii="仿宋_GB2312" w:hAnsi="仿宋" w:eastAsia="仿宋_GB2312"/>
          <w:lang w:val="en-US" w:eastAsia="zh-CN"/>
        </w:rPr>
        <w:t>60.11</w:t>
      </w:r>
      <w:r>
        <w:rPr>
          <w:rStyle w:val="20"/>
          <w:rFonts w:hint="default" w:hAnsi="仿宋"/>
        </w:rPr>
        <w:t>万元、</w:t>
      </w:r>
      <w:r>
        <w:rPr>
          <w:rFonts w:hint="eastAsia" w:ascii="仿宋_GB2312" w:hAnsi="仿宋" w:eastAsia="仿宋_GB2312" w:cs="宋体"/>
          <w:kern w:val="0"/>
          <w:sz w:val="32"/>
          <w:szCs w:val="32"/>
        </w:rPr>
        <w:t>卫生健康支出</w:t>
      </w:r>
      <w:r>
        <w:rPr>
          <w:rFonts w:hint="eastAsia" w:ascii="仿宋_GB2312" w:hAnsi="仿宋" w:eastAsia="仿宋_GB2312" w:cs="宋体"/>
          <w:kern w:val="0"/>
          <w:sz w:val="32"/>
          <w:szCs w:val="32"/>
          <w:lang w:val="en-US" w:eastAsia="zh-CN"/>
        </w:rPr>
        <w:t>19.21万元</w:t>
      </w:r>
      <w:r>
        <w:rPr>
          <w:rFonts w:hint="eastAsia" w:ascii="仿宋_GB2312" w:hAnsi="仿宋" w:eastAsia="仿宋_GB2312" w:cs="宋体"/>
          <w:kern w:val="0"/>
          <w:sz w:val="32"/>
          <w:szCs w:val="32"/>
        </w:rPr>
        <w:t>、住房保障支出</w:t>
      </w:r>
      <w:r>
        <w:rPr>
          <w:rFonts w:hint="eastAsia" w:ascii="仿宋_GB2312" w:hAnsi="仿宋" w:eastAsia="仿宋_GB2312" w:cs="宋体"/>
          <w:kern w:val="0"/>
          <w:sz w:val="32"/>
          <w:szCs w:val="32"/>
          <w:lang w:val="en-US" w:eastAsia="zh-CN"/>
        </w:rPr>
        <w:t>28.74</w:t>
      </w:r>
      <w:r>
        <w:rPr>
          <w:rStyle w:val="20"/>
          <w:rFonts w:hint="default" w:hAnsi="仿宋"/>
        </w:rPr>
        <w:t>万元。</w:t>
      </w:r>
      <w:r>
        <w:rPr>
          <w:rFonts w:hint="eastAsia" w:ascii="仿宋_GB2312" w:hAnsi="仿宋" w:eastAsia="仿宋_GB2312"/>
          <w:sz w:val="32"/>
          <w:szCs w:val="32"/>
        </w:rPr>
        <w:t>具体安排情况如下</w:t>
      </w:r>
      <w:r>
        <w:rPr>
          <w:rFonts w:hint="eastAsia" w:ascii="仿宋_GB2312" w:hAnsi="微软雅黑" w:eastAsia="仿宋_GB2312"/>
          <w:sz w:val="32"/>
          <w:szCs w:val="32"/>
        </w:rPr>
        <w:t>（详见部门（单位）预算公开表4,5,6,7）</w:t>
      </w:r>
      <w:r>
        <w:rPr>
          <w:rFonts w:hint="eastAsia" w:ascii="仿宋_GB2312" w:hAnsi="仿宋" w:eastAsia="仿宋_GB2312"/>
          <w:sz w:val="32"/>
          <w:szCs w:val="32"/>
        </w:rPr>
        <w:t>：</w:t>
      </w:r>
    </w:p>
    <w:p w14:paraId="0E312506">
      <w:pPr>
        <w:numPr>
          <w:ilvl w:val="0"/>
          <w:numId w:val="1"/>
        </w:numPr>
        <w:spacing w:line="640" w:lineRule="exact"/>
        <w:ind w:firstLine="643" w:firstLineChars="200"/>
        <w:contextualSpacing/>
        <w:rPr>
          <w:rFonts w:hint="eastAsia" w:ascii="楷体_GB2312" w:hAnsi="楷体" w:eastAsia="楷体_GB2312" w:cs="宋体"/>
          <w:b/>
          <w:bCs/>
          <w:kern w:val="0"/>
          <w:sz w:val="32"/>
          <w:szCs w:val="32"/>
        </w:rPr>
      </w:pPr>
      <w:r>
        <w:rPr>
          <w:rFonts w:hint="eastAsia" w:ascii="楷体_GB2312" w:hAnsi="楷体" w:eastAsia="楷体_GB2312" w:cs="宋体"/>
          <w:b/>
          <w:bCs/>
          <w:kern w:val="0"/>
          <w:sz w:val="32"/>
          <w:szCs w:val="32"/>
        </w:rPr>
        <w:t>基本支出</w:t>
      </w:r>
    </w:p>
    <w:p w14:paraId="1AE41538">
      <w:pPr>
        <w:numPr>
          <w:numId w:val="0"/>
        </w:numPr>
        <w:spacing w:line="640" w:lineRule="exact"/>
        <w:ind w:firstLine="640" w:firstLineChars="200"/>
        <w:contextualSpacing/>
        <w:rPr>
          <w:rFonts w:hint="default" w:ascii="仿宋_GB2312" w:hAnsi="仿宋" w:eastAsia="仿宋_GB2312"/>
          <w:sz w:val="32"/>
          <w:szCs w:val="32"/>
          <w:lang w:val="en-US"/>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年基本支出</w:t>
      </w:r>
      <w:r>
        <w:rPr>
          <w:rFonts w:hint="eastAsia" w:ascii="仿宋_GB2312" w:hAnsi="仿宋" w:eastAsia="仿宋_GB2312"/>
          <w:sz w:val="32"/>
          <w:szCs w:val="32"/>
          <w:lang w:val="en-US" w:eastAsia="zh-CN"/>
        </w:rPr>
        <w:t>404.91</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26.15</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6.9</w:t>
      </w:r>
      <w:r>
        <w:rPr>
          <w:rFonts w:hint="eastAsia" w:ascii="仿宋_GB2312" w:hAnsi="仿宋" w:eastAsia="仿宋_GB2312"/>
          <w:sz w:val="32"/>
          <w:szCs w:val="32"/>
        </w:rPr>
        <w:t>%，增长的主要原因是</w:t>
      </w:r>
      <w:r>
        <w:rPr>
          <w:rFonts w:hint="eastAsia" w:ascii="仿宋_GB2312" w:hAnsi="仿宋" w:eastAsia="仿宋_GB2312"/>
          <w:sz w:val="32"/>
          <w:szCs w:val="32"/>
          <w:lang w:val="en-US" w:eastAsia="zh-CN"/>
        </w:rPr>
        <w:t>2025年落实国家及地方工资、津贴补贴、社保缴费等正常调整政策，人员支出刚性增长。</w:t>
      </w:r>
    </w:p>
    <w:p w14:paraId="70883497">
      <w:pPr>
        <w:widowControl/>
        <w:adjustRightInd w:val="0"/>
        <w:snapToGrid w:val="0"/>
        <w:spacing w:line="640" w:lineRule="exact"/>
        <w:ind w:firstLine="616" w:firstLineChars="200"/>
        <w:contextualSpacing/>
        <w:jc w:val="left"/>
        <w:rPr>
          <w:rFonts w:ascii="仿宋_GB2312" w:hAnsi="仿宋" w:eastAsia="仿宋_GB2312"/>
          <w:spacing w:val="-6"/>
          <w:sz w:val="32"/>
          <w:szCs w:val="32"/>
        </w:rPr>
      </w:pPr>
      <w:r>
        <w:rPr>
          <w:rFonts w:hint="eastAsia" w:ascii="仿宋_GB2312" w:hAnsi="仿宋" w:eastAsia="仿宋_GB2312"/>
          <w:spacing w:val="-6"/>
          <w:sz w:val="32"/>
          <w:szCs w:val="32"/>
        </w:rPr>
        <w:t>其中：人员经费支出</w:t>
      </w:r>
      <w:r>
        <w:rPr>
          <w:rFonts w:hint="eastAsia" w:ascii="仿宋_GB2312" w:hAnsi="仿宋" w:eastAsia="仿宋_GB2312"/>
          <w:spacing w:val="-6"/>
          <w:sz w:val="32"/>
          <w:szCs w:val="32"/>
          <w:lang w:val="en-US" w:eastAsia="zh-CN"/>
        </w:rPr>
        <w:t>379.51</w:t>
      </w:r>
      <w:r>
        <w:rPr>
          <w:rFonts w:hint="eastAsia" w:ascii="仿宋_GB2312" w:hAnsi="仿宋" w:eastAsia="仿宋_GB2312"/>
          <w:spacing w:val="-6"/>
          <w:sz w:val="32"/>
          <w:szCs w:val="32"/>
        </w:rPr>
        <w:t>万元，主要包括：基本工资</w:t>
      </w:r>
      <w:r>
        <w:rPr>
          <w:rFonts w:hint="eastAsia" w:ascii="仿宋_GB2312" w:hAnsi="仿宋" w:eastAsia="仿宋_GB2312"/>
          <w:spacing w:val="-6"/>
          <w:sz w:val="32"/>
          <w:szCs w:val="32"/>
          <w:lang w:val="en-US" w:eastAsia="zh-CN"/>
        </w:rPr>
        <w:t>111.22万元</w:t>
      </w:r>
      <w:r>
        <w:rPr>
          <w:rFonts w:hint="eastAsia" w:ascii="仿宋_GB2312" w:hAnsi="仿宋" w:eastAsia="仿宋_GB2312"/>
          <w:spacing w:val="-6"/>
          <w:sz w:val="32"/>
          <w:szCs w:val="32"/>
        </w:rPr>
        <w:t>、津贴补贴</w:t>
      </w:r>
      <w:r>
        <w:rPr>
          <w:rFonts w:hint="eastAsia" w:ascii="仿宋_GB2312" w:hAnsi="仿宋" w:eastAsia="仿宋_GB2312"/>
          <w:spacing w:val="-6"/>
          <w:sz w:val="32"/>
          <w:szCs w:val="32"/>
          <w:lang w:val="en-US" w:eastAsia="zh-CN"/>
        </w:rPr>
        <w:t>137.15万元</w:t>
      </w:r>
      <w:r>
        <w:rPr>
          <w:rFonts w:hint="eastAsia" w:ascii="仿宋_GB2312" w:hAnsi="仿宋" w:eastAsia="仿宋_GB2312"/>
          <w:spacing w:val="-6"/>
          <w:sz w:val="32"/>
          <w:szCs w:val="32"/>
        </w:rPr>
        <w:t>、奖金</w:t>
      </w:r>
      <w:r>
        <w:rPr>
          <w:rFonts w:hint="eastAsia" w:ascii="仿宋_GB2312" w:hAnsi="仿宋" w:eastAsia="仿宋_GB2312"/>
          <w:spacing w:val="-6"/>
          <w:sz w:val="32"/>
          <w:szCs w:val="32"/>
          <w:lang w:val="en-US" w:eastAsia="zh-CN"/>
        </w:rPr>
        <w:t>23.07万元</w:t>
      </w:r>
      <w:r>
        <w:rPr>
          <w:rFonts w:hint="eastAsia" w:ascii="仿宋_GB2312" w:hAnsi="仿宋" w:eastAsia="仿宋_GB2312"/>
          <w:spacing w:val="-6"/>
          <w:sz w:val="32"/>
          <w:szCs w:val="32"/>
        </w:rPr>
        <w:t>、机关事业单位基本养老保险缴费</w:t>
      </w:r>
      <w:r>
        <w:rPr>
          <w:rFonts w:hint="eastAsia" w:ascii="仿宋_GB2312" w:hAnsi="仿宋" w:eastAsia="仿宋_GB2312"/>
          <w:spacing w:val="-6"/>
          <w:sz w:val="32"/>
          <w:szCs w:val="32"/>
          <w:lang w:val="en-US" w:eastAsia="zh-CN"/>
        </w:rPr>
        <w:t>38.32万元</w:t>
      </w:r>
      <w:r>
        <w:rPr>
          <w:rFonts w:hint="eastAsia" w:ascii="仿宋_GB2312" w:hAnsi="仿宋" w:eastAsia="仿宋_GB2312"/>
          <w:spacing w:val="-6"/>
          <w:sz w:val="32"/>
          <w:szCs w:val="32"/>
        </w:rPr>
        <w:t>、职业年金缴费</w:t>
      </w:r>
      <w:r>
        <w:rPr>
          <w:rFonts w:hint="eastAsia" w:ascii="仿宋_GB2312" w:hAnsi="仿宋" w:eastAsia="仿宋_GB2312"/>
          <w:spacing w:val="-6"/>
          <w:sz w:val="32"/>
          <w:szCs w:val="32"/>
          <w:lang w:val="en-US" w:eastAsia="zh-CN"/>
        </w:rPr>
        <w:t>19.16万元</w:t>
      </w:r>
      <w:r>
        <w:rPr>
          <w:rFonts w:hint="eastAsia" w:ascii="仿宋_GB2312" w:hAnsi="仿宋" w:eastAsia="仿宋_GB2312"/>
          <w:spacing w:val="-6"/>
          <w:sz w:val="32"/>
          <w:szCs w:val="32"/>
        </w:rPr>
        <w:t>、职工基本医疗保险缴费</w:t>
      </w:r>
      <w:r>
        <w:rPr>
          <w:rFonts w:hint="eastAsia" w:ascii="仿宋_GB2312" w:hAnsi="仿宋" w:eastAsia="仿宋_GB2312"/>
          <w:spacing w:val="-6"/>
          <w:sz w:val="32"/>
          <w:szCs w:val="32"/>
          <w:lang w:val="en-US" w:eastAsia="zh-CN"/>
        </w:rPr>
        <w:t>19.21万元</w:t>
      </w:r>
      <w:r>
        <w:rPr>
          <w:rFonts w:hint="eastAsia" w:ascii="仿宋_GB2312" w:hAnsi="仿宋" w:eastAsia="仿宋_GB2312"/>
          <w:spacing w:val="-6"/>
          <w:sz w:val="32"/>
          <w:szCs w:val="32"/>
        </w:rPr>
        <w:t>、其他社会保障缴费</w:t>
      </w:r>
      <w:r>
        <w:rPr>
          <w:rFonts w:hint="eastAsia" w:ascii="仿宋_GB2312" w:hAnsi="仿宋" w:eastAsia="仿宋_GB2312"/>
          <w:spacing w:val="-6"/>
          <w:sz w:val="32"/>
          <w:szCs w:val="32"/>
          <w:lang w:val="en-US" w:eastAsia="zh-CN"/>
        </w:rPr>
        <w:t>2.64万元</w:t>
      </w:r>
      <w:r>
        <w:rPr>
          <w:rFonts w:hint="eastAsia" w:ascii="仿宋_GB2312" w:hAnsi="仿宋" w:eastAsia="仿宋_GB2312"/>
          <w:spacing w:val="-6"/>
          <w:sz w:val="32"/>
          <w:szCs w:val="32"/>
        </w:rPr>
        <w:t>、住房公积金</w:t>
      </w:r>
      <w:r>
        <w:rPr>
          <w:rFonts w:hint="eastAsia" w:ascii="仿宋_GB2312" w:hAnsi="仿宋" w:eastAsia="仿宋_GB2312"/>
          <w:spacing w:val="-6"/>
          <w:sz w:val="32"/>
          <w:szCs w:val="32"/>
          <w:lang w:val="en-US" w:eastAsia="zh-CN"/>
        </w:rPr>
        <w:t>28.74万元</w:t>
      </w:r>
      <w:r>
        <w:rPr>
          <w:rFonts w:hint="eastAsia" w:ascii="仿宋_GB2312" w:hAnsi="仿宋" w:eastAsia="仿宋_GB2312"/>
          <w:spacing w:val="-6"/>
          <w:sz w:val="32"/>
          <w:szCs w:val="32"/>
        </w:rPr>
        <w:t>。</w:t>
      </w:r>
    </w:p>
    <w:p w14:paraId="5167C9C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公用经费支出</w:t>
      </w:r>
      <w:r>
        <w:rPr>
          <w:rFonts w:hint="eastAsia" w:ascii="仿宋_GB2312" w:hAnsi="仿宋" w:eastAsia="仿宋_GB2312"/>
          <w:sz w:val="32"/>
          <w:szCs w:val="32"/>
          <w:lang w:val="en-US" w:eastAsia="zh-CN"/>
        </w:rPr>
        <w:t>25.4</w:t>
      </w:r>
      <w:r>
        <w:rPr>
          <w:rFonts w:hint="eastAsia" w:ascii="仿宋_GB2312" w:hAnsi="仿宋" w:eastAsia="仿宋_GB2312"/>
          <w:sz w:val="32"/>
          <w:szCs w:val="32"/>
        </w:rPr>
        <w:t>万元，主要包括：办公费</w:t>
      </w:r>
      <w:r>
        <w:rPr>
          <w:rFonts w:hint="eastAsia" w:ascii="仿宋_GB2312" w:hAnsi="仿宋" w:eastAsia="仿宋_GB2312"/>
          <w:sz w:val="32"/>
          <w:szCs w:val="32"/>
          <w:lang w:val="en-US" w:eastAsia="zh-CN"/>
        </w:rPr>
        <w:t>6.20万元</w:t>
      </w:r>
      <w:r>
        <w:rPr>
          <w:rFonts w:hint="eastAsia" w:ascii="仿宋_GB2312" w:hAnsi="仿宋" w:eastAsia="仿宋_GB2312"/>
          <w:sz w:val="32"/>
          <w:szCs w:val="32"/>
        </w:rPr>
        <w:t>、印刷费</w:t>
      </w:r>
      <w:r>
        <w:rPr>
          <w:rFonts w:hint="eastAsia" w:ascii="仿宋_GB2312" w:hAnsi="仿宋" w:eastAsia="仿宋_GB2312"/>
          <w:sz w:val="32"/>
          <w:szCs w:val="32"/>
          <w:lang w:val="en-US" w:eastAsia="zh-CN"/>
        </w:rPr>
        <w:t>0.5万元</w:t>
      </w:r>
      <w:r>
        <w:rPr>
          <w:rFonts w:hint="eastAsia" w:ascii="仿宋_GB2312" w:hAnsi="仿宋" w:eastAsia="仿宋_GB2312"/>
          <w:sz w:val="32"/>
          <w:szCs w:val="32"/>
        </w:rPr>
        <w:t>、水费</w:t>
      </w:r>
      <w:r>
        <w:rPr>
          <w:rFonts w:hint="eastAsia" w:ascii="仿宋_GB2312" w:hAnsi="仿宋" w:eastAsia="仿宋_GB2312"/>
          <w:sz w:val="32"/>
          <w:szCs w:val="32"/>
          <w:lang w:val="en-US" w:eastAsia="zh-CN"/>
        </w:rPr>
        <w:t>0.05万元</w:t>
      </w:r>
      <w:r>
        <w:rPr>
          <w:rFonts w:hint="eastAsia" w:ascii="仿宋_GB2312" w:hAnsi="仿宋" w:eastAsia="仿宋_GB2312"/>
          <w:sz w:val="32"/>
          <w:szCs w:val="32"/>
        </w:rPr>
        <w:t>、电费</w:t>
      </w:r>
      <w:r>
        <w:rPr>
          <w:rFonts w:hint="eastAsia" w:ascii="仿宋_GB2312" w:hAnsi="仿宋" w:eastAsia="仿宋_GB2312"/>
          <w:sz w:val="32"/>
          <w:szCs w:val="32"/>
          <w:lang w:val="en-US" w:eastAsia="zh-CN"/>
        </w:rPr>
        <w:t>0.60万元</w:t>
      </w:r>
      <w:r>
        <w:rPr>
          <w:rFonts w:hint="eastAsia" w:ascii="仿宋_GB2312" w:hAnsi="仿宋" w:eastAsia="仿宋_GB2312"/>
          <w:sz w:val="32"/>
          <w:szCs w:val="32"/>
        </w:rPr>
        <w:t>、邮电费</w:t>
      </w:r>
      <w:r>
        <w:rPr>
          <w:rFonts w:hint="eastAsia" w:ascii="仿宋_GB2312" w:hAnsi="仿宋" w:eastAsia="仿宋_GB2312"/>
          <w:sz w:val="32"/>
          <w:szCs w:val="32"/>
          <w:lang w:val="en-US" w:eastAsia="zh-CN"/>
        </w:rPr>
        <w:t>0.60万元</w:t>
      </w:r>
      <w:r>
        <w:rPr>
          <w:rFonts w:hint="eastAsia" w:ascii="仿宋_GB2312" w:hAnsi="仿宋" w:eastAsia="仿宋_GB2312"/>
          <w:sz w:val="32"/>
          <w:szCs w:val="32"/>
        </w:rPr>
        <w:t>、取暖费</w:t>
      </w:r>
      <w:r>
        <w:rPr>
          <w:rFonts w:hint="eastAsia" w:ascii="仿宋_GB2312" w:hAnsi="仿宋" w:eastAsia="仿宋_GB2312"/>
          <w:sz w:val="32"/>
          <w:szCs w:val="32"/>
          <w:lang w:val="en-US" w:eastAsia="zh-CN"/>
        </w:rPr>
        <w:t>1.09万元</w:t>
      </w:r>
      <w:r>
        <w:rPr>
          <w:rFonts w:hint="eastAsia" w:ascii="仿宋_GB2312" w:hAnsi="仿宋" w:eastAsia="仿宋_GB2312"/>
          <w:sz w:val="32"/>
          <w:szCs w:val="32"/>
        </w:rPr>
        <w:t>、物业管理费</w:t>
      </w:r>
      <w:r>
        <w:rPr>
          <w:rFonts w:hint="eastAsia" w:ascii="仿宋_GB2312" w:hAnsi="仿宋" w:eastAsia="仿宋_GB2312"/>
          <w:sz w:val="32"/>
          <w:szCs w:val="32"/>
          <w:lang w:val="en-US" w:eastAsia="zh-CN"/>
        </w:rPr>
        <w:t>0.9万元</w:t>
      </w:r>
      <w:r>
        <w:rPr>
          <w:rFonts w:hint="eastAsia" w:ascii="仿宋_GB2312" w:hAnsi="仿宋" w:eastAsia="仿宋_GB2312"/>
          <w:sz w:val="32"/>
          <w:szCs w:val="32"/>
        </w:rPr>
        <w:t>、差旅费</w:t>
      </w:r>
      <w:r>
        <w:rPr>
          <w:rFonts w:hint="eastAsia" w:ascii="仿宋_GB2312" w:hAnsi="仿宋" w:eastAsia="仿宋_GB2312"/>
          <w:sz w:val="32"/>
          <w:szCs w:val="32"/>
          <w:lang w:val="en-US" w:eastAsia="zh-CN"/>
        </w:rPr>
        <w:t>3.00万元</w:t>
      </w:r>
      <w:r>
        <w:rPr>
          <w:rFonts w:hint="eastAsia" w:ascii="仿宋_GB2312" w:hAnsi="仿宋" w:eastAsia="仿宋_GB2312"/>
          <w:sz w:val="32"/>
          <w:szCs w:val="32"/>
        </w:rPr>
        <w:t>、工会经费</w:t>
      </w:r>
      <w:r>
        <w:rPr>
          <w:rFonts w:hint="eastAsia" w:ascii="仿宋_GB2312" w:hAnsi="仿宋" w:eastAsia="仿宋_GB2312"/>
          <w:sz w:val="32"/>
          <w:szCs w:val="32"/>
          <w:lang w:val="en-US" w:eastAsia="zh-CN"/>
        </w:rPr>
        <w:t>2.76万元</w:t>
      </w:r>
      <w:r>
        <w:rPr>
          <w:rFonts w:hint="eastAsia" w:ascii="仿宋_GB2312" w:hAnsi="仿宋" w:eastAsia="仿宋_GB2312"/>
          <w:sz w:val="32"/>
          <w:szCs w:val="32"/>
        </w:rPr>
        <w:t>、福利费</w:t>
      </w:r>
      <w:r>
        <w:rPr>
          <w:rFonts w:hint="eastAsia" w:ascii="仿宋_GB2312" w:hAnsi="仿宋" w:eastAsia="仿宋_GB2312"/>
          <w:sz w:val="32"/>
          <w:szCs w:val="32"/>
          <w:lang w:val="en-US" w:eastAsia="zh-CN"/>
        </w:rPr>
        <w:t>1.73万元</w:t>
      </w:r>
      <w:r>
        <w:rPr>
          <w:rFonts w:hint="eastAsia" w:ascii="仿宋_GB2312" w:hAnsi="仿宋" w:eastAsia="仿宋_GB2312"/>
          <w:sz w:val="32"/>
          <w:szCs w:val="32"/>
        </w:rPr>
        <w:t>、公务用车运行维护费</w:t>
      </w:r>
      <w:r>
        <w:rPr>
          <w:rFonts w:hint="eastAsia" w:ascii="仿宋_GB2312" w:hAnsi="仿宋" w:eastAsia="仿宋_GB2312"/>
          <w:sz w:val="32"/>
          <w:szCs w:val="32"/>
          <w:lang w:val="en-US" w:eastAsia="zh-CN"/>
        </w:rPr>
        <w:t>1.35万元</w:t>
      </w:r>
      <w:r>
        <w:rPr>
          <w:rFonts w:hint="eastAsia" w:ascii="仿宋_GB2312" w:hAnsi="仿宋" w:eastAsia="仿宋_GB2312"/>
          <w:sz w:val="32"/>
          <w:szCs w:val="32"/>
        </w:rPr>
        <w:t>、其他商品和服务支出</w:t>
      </w:r>
      <w:r>
        <w:rPr>
          <w:rFonts w:hint="eastAsia" w:ascii="仿宋_GB2312" w:hAnsi="仿宋" w:eastAsia="仿宋_GB2312"/>
          <w:sz w:val="32"/>
          <w:szCs w:val="32"/>
          <w:lang w:val="en-US" w:eastAsia="zh-CN"/>
        </w:rPr>
        <w:t>6.62</w:t>
      </w:r>
      <w:r>
        <w:rPr>
          <w:rFonts w:hint="eastAsia" w:ascii="仿宋_GB2312" w:hAnsi="仿宋" w:eastAsia="仿宋_GB2312"/>
          <w:sz w:val="32"/>
          <w:szCs w:val="32"/>
        </w:rPr>
        <w:t>。</w:t>
      </w:r>
    </w:p>
    <w:p w14:paraId="47B7981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14:paraId="3D781A3D">
      <w:pPr>
        <w:widowControl/>
        <w:adjustRightInd w:val="0"/>
        <w:snapToGrid w:val="0"/>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年一般公共预算财政拨款项目支出预算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eastAsia="zh-CN"/>
        </w:rPr>
        <w:t>无增减。</w:t>
      </w:r>
    </w:p>
    <w:p w14:paraId="2CA5B858">
      <w:pPr>
        <w:numPr>
          <w:ilvl w:val="0"/>
          <w:numId w:val="2"/>
        </w:numPr>
        <w:adjustRightInd w:val="0"/>
        <w:snapToGrid w:val="0"/>
        <w:spacing w:line="640" w:lineRule="exact"/>
        <w:ind w:firstLine="643" w:firstLineChars="200"/>
        <w:contextualSpacing/>
        <w:rPr>
          <w:rFonts w:hint="eastAsia" w:ascii="楷体_GB2312" w:hAnsi="楷体" w:eastAsia="楷体_GB2312" w:cs="宋体"/>
          <w:b/>
          <w:bCs/>
          <w:kern w:val="0"/>
          <w:sz w:val="32"/>
          <w:szCs w:val="32"/>
        </w:rPr>
      </w:pPr>
      <w:r>
        <w:rPr>
          <w:rFonts w:hint="eastAsia" w:ascii="楷体_GB2312" w:hAnsi="楷体" w:eastAsia="楷体_GB2312" w:cs="宋体"/>
          <w:b/>
          <w:bCs/>
          <w:kern w:val="0"/>
          <w:sz w:val="32"/>
          <w:szCs w:val="32"/>
        </w:rPr>
        <w:t>支出功能分类说明</w:t>
      </w:r>
    </w:p>
    <w:p w14:paraId="2F65AA91">
      <w:pPr>
        <w:widowControl/>
        <w:numPr>
          <w:numId w:val="0"/>
        </w:numPr>
        <w:adjustRightInd w:val="0"/>
        <w:snapToGrid w:val="0"/>
        <w:spacing w:line="640" w:lineRule="exact"/>
        <w:ind w:firstLine="640" w:firstLineChars="200"/>
        <w:contextualSpacing/>
        <w:jc w:val="left"/>
        <w:rPr>
          <w:rFonts w:hint="eastAsia" w:ascii="仿宋_GB2312" w:hAnsi="仿宋" w:eastAsia="仿宋_GB2312"/>
          <w:sz w:val="32"/>
          <w:szCs w:val="32"/>
          <w:lang w:val="en-US" w:eastAsia="zh-CN"/>
        </w:rPr>
      </w:pPr>
      <w:r>
        <w:rPr>
          <w:rFonts w:hint="eastAsia" w:ascii="仿宋_GB2312" w:eastAsia="仿宋_GB2312"/>
          <w:b w:val="0"/>
          <w:bCs w:val="0"/>
          <w:color w:val="000000"/>
          <w:sz w:val="32"/>
          <w:szCs w:val="32"/>
          <w:lang w:val="en-US" w:eastAsia="zh-CN"/>
        </w:rPr>
        <w:t>1.科学技术</w:t>
      </w:r>
      <w:r>
        <w:rPr>
          <w:rFonts w:hint="eastAsia" w:ascii="仿宋_GB2312" w:eastAsia="仿宋_GB2312"/>
          <w:b w:val="0"/>
          <w:bCs w:val="0"/>
          <w:color w:val="000000"/>
          <w:sz w:val="32"/>
          <w:szCs w:val="32"/>
        </w:rPr>
        <w:t>支出（</w:t>
      </w:r>
      <w:r>
        <w:rPr>
          <w:rFonts w:hint="eastAsia" w:ascii="仿宋_GB2312" w:eastAsia="仿宋_GB2312"/>
          <w:b w:val="0"/>
          <w:bCs w:val="0"/>
          <w:color w:val="000000"/>
          <w:sz w:val="32"/>
          <w:szCs w:val="32"/>
          <w:lang w:val="en-US" w:eastAsia="zh-CN"/>
        </w:rPr>
        <w:t>206</w:t>
      </w:r>
      <w:r>
        <w:rPr>
          <w:rFonts w:hint="eastAsia" w:ascii="仿宋_GB2312" w:eastAsia="仿宋_GB2312"/>
          <w:b w:val="0"/>
          <w:bCs w:val="0"/>
          <w:color w:val="000000"/>
          <w:sz w:val="32"/>
          <w:szCs w:val="32"/>
        </w:rPr>
        <w:t>类）</w:t>
      </w:r>
      <w:r>
        <w:rPr>
          <w:rFonts w:hint="eastAsia" w:ascii="仿宋_GB2312" w:eastAsia="仿宋_GB2312"/>
          <w:b w:val="0"/>
          <w:bCs w:val="0"/>
          <w:color w:val="000000"/>
          <w:sz w:val="32"/>
          <w:szCs w:val="32"/>
          <w:lang w:val="en-US" w:eastAsia="zh-CN"/>
        </w:rPr>
        <w:t>技术研究与开发</w:t>
      </w:r>
      <w:r>
        <w:rPr>
          <w:rFonts w:hint="eastAsia" w:ascii="仿宋_GB2312" w:eastAsia="仿宋_GB2312"/>
          <w:b w:val="0"/>
          <w:bCs w:val="0"/>
          <w:color w:val="000000"/>
          <w:sz w:val="32"/>
          <w:szCs w:val="32"/>
        </w:rPr>
        <w:t>（</w:t>
      </w:r>
      <w:r>
        <w:rPr>
          <w:rFonts w:hint="eastAsia" w:ascii="仿宋_GB2312" w:eastAsia="仿宋_GB2312"/>
          <w:b w:val="0"/>
          <w:bCs w:val="0"/>
          <w:color w:val="000000"/>
          <w:sz w:val="32"/>
          <w:szCs w:val="32"/>
          <w:lang w:val="en-US" w:eastAsia="zh-CN"/>
        </w:rPr>
        <w:t>04</w:t>
      </w:r>
      <w:r>
        <w:rPr>
          <w:rFonts w:hint="eastAsia" w:ascii="仿宋_GB2312" w:eastAsia="仿宋_GB2312"/>
          <w:b w:val="0"/>
          <w:bCs w:val="0"/>
          <w:color w:val="000000"/>
          <w:sz w:val="32"/>
          <w:szCs w:val="32"/>
        </w:rPr>
        <w:t>款）</w:t>
      </w:r>
      <w:r>
        <w:rPr>
          <w:rFonts w:hint="eastAsia" w:ascii="仿宋_GB2312" w:eastAsia="仿宋_GB2312"/>
          <w:b w:val="0"/>
          <w:bCs w:val="0"/>
          <w:color w:val="000000"/>
          <w:sz w:val="32"/>
          <w:szCs w:val="32"/>
          <w:lang w:val="en-US" w:eastAsia="zh-CN"/>
        </w:rPr>
        <w:t>机构运行</w:t>
      </w:r>
      <w:r>
        <w:rPr>
          <w:rFonts w:hint="eastAsia" w:ascii="仿宋_GB2312" w:eastAsia="仿宋_GB2312"/>
          <w:b w:val="0"/>
          <w:bCs w:val="0"/>
          <w:color w:val="000000"/>
          <w:sz w:val="32"/>
          <w:szCs w:val="32"/>
        </w:rPr>
        <w:t>（</w:t>
      </w:r>
      <w:r>
        <w:rPr>
          <w:rFonts w:hint="eastAsia" w:ascii="仿宋_GB2312" w:eastAsia="仿宋_GB2312"/>
          <w:b w:val="0"/>
          <w:bCs w:val="0"/>
          <w:color w:val="000000"/>
          <w:sz w:val="32"/>
          <w:szCs w:val="32"/>
          <w:lang w:val="en-US" w:eastAsia="zh-CN"/>
        </w:rPr>
        <w:t>01</w:t>
      </w:r>
      <w:r>
        <w:rPr>
          <w:rFonts w:hint="eastAsia" w:ascii="仿宋_GB2312" w:eastAsia="仿宋_GB2312"/>
          <w:b w:val="0"/>
          <w:bCs w:val="0"/>
          <w:color w:val="000000"/>
          <w:sz w:val="32"/>
          <w:szCs w:val="32"/>
        </w:rPr>
        <w:t>项）</w:t>
      </w:r>
      <w:r>
        <w:rPr>
          <w:rFonts w:hint="eastAsia" w:ascii="仿宋_GB2312" w:hAnsi="TimesNewRomanPSMT" w:eastAsia="仿宋_GB2312"/>
          <w:b w:val="0"/>
          <w:bCs w:val="0"/>
          <w:color w:val="000000"/>
          <w:sz w:val="32"/>
          <w:szCs w:val="32"/>
        </w:rPr>
        <w:t>202</w:t>
      </w:r>
      <w:r>
        <w:rPr>
          <w:rFonts w:hint="eastAsia" w:ascii="仿宋_GB2312" w:hAnsi="TimesNewRomanPSMT" w:eastAsia="仿宋_GB2312"/>
          <w:b w:val="0"/>
          <w:bCs w:val="0"/>
          <w:color w:val="000000"/>
          <w:sz w:val="32"/>
          <w:szCs w:val="32"/>
          <w:lang w:val="en-US" w:eastAsia="zh-CN"/>
        </w:rPr>
        <w:t>6</w:t>
      </w:r>
      <w:r>
        <w:rPr>
          <w:rFonts w:hint="eastAsia" w:ascii="仿宋_GB2312" w:eastAsia="仿宋_GB2312"/>
          <w:b w:val="0"/>
          <w:bCs w:val="0"/>
          <w:color w:val="000000"/>
          <w:sz w:val="32"/>
          <w:szCs w:val="32"/>
        </w:rPr>
        <w:t>年预算数为</w:t>
      </w:r>
      <w:r>
        <w:rPr>
          <w:rFonts w:hint="eastAsia" w:ascii="仿宋_GB2312" w:hAnsi="TimesNewRomanPSMT" w:eastAsia="仿宋_GB2312"/>
          <w:b w:val="0"/>
          <w:bCs w:val="0"/>
          <w:color w:val="000000"/>
          <w:sz w:val="32"/>
          <w:szCs w:val="32"/>
          <w:lang w:val="en-US" w:eastAsia="zh-CN"/>
        </w:rPr>
        <w:t>296.85</w:t>
      </w:r>
      <w:r>
        <w:rPr>
          <w:rFonts w:hint="eastAsia" w:ascii="仿宋_GB2312" w:eastAsia="仿宋_GB2312"/>
          <w:b w:val="0"/>
          <w:bCs w:val="0"/>
          <w:color w:val="000000"/>
          <w:sz w:val="32"/>
          <w:szCs w:val="32"/>
        </w:rPr>
        <w:t>万元</w:t>
      </w:r>
      <w:r>
        <w:rPr>
          <w:rFonts w:hint="eastAsia" w:ascii="仿宋_GB2312" w:eastAsia="仿宋_GB2312"/>
          <w:b w:val="0"/>
          <w:bCs w:val="0"/>
          <w:color w:val="000000"/>
          <w:sz w:val="32"/>
          <w:szCs w:val="32"/>
          <w:lang w:eastAsia="zh-CN"/>
        </w:rPr>
        <w:t>，</w:t>
      </w:r>
      <w:r>
        <w:rPr>
          <w:rFonts w:hint="eastAsia" w:ascii="仿宋_GB2312" w:eastAsia="仿宋_GB2312"/>
          <w:b w:val="0"/>
          <w:bCs w:val="0"/>
          <w:color w:val="000000"/>
          <w:sz w:val="32"/>
          <w:szCs w:val="32"/>
        </w:rPr>
        <w:t>比</w:t>
      </w:r>
      <w:r>
        <w:rPr>
          <w:rFonts w:hint="eastAsia" w:ascii="仿宋_GB2312" w:hAnsi="TimesNewRomanPSMT" w:eastAsia="仿宋_GB2312"/>
          <w:b w:val="0"/>
          <w:bCs w:val="0"/>
          <w:color w:val="000000"/>
          <w:sz w:val="32"/>
          <w:szCs w:val="32"/>
        </w:rPr>
        <w:t>202</w:t>
      </w:r>
      <w:r>
        <w:rPr>
          <w:rFonts w:hint="eastAsia" w:ascii="仿宋_GB2312" w:hAnsi="TimesNewRomanPSMT" w:eastAsia="仿宋_GB2312"/>
          <w:b w:val="0"/>
          <w:bCs w:val="0"/>
          <w:color w:val="000000"/>
          <w:sz w:val="32"/>
          <w:szCs w:val="32"/>
          <w:lang w:val="en-US" w:eastAsia="zh-CN"/>
        </w:rPr>
        <w:t>5</w:t>
      </w:r>
      <w:r>
        <w:rPr>
          <w:rFonts w:hint="eastAsia" w:ascii="仿宋_GB2312" w:eastAsia="仿宋_GB2312"/>
          <w:b w:val="0"/>
          <w:bCs w:val="0"/>
          <w:color w:val="000000"/>
          <w:sz w:val="32"/>
          <w:szCs w:val="32"/>
        </w:rPr>
        <w:t>年预算增加</w:t>
      </w:r>
      <w:r>
        <w:rPr>
          <w:rFonts w:hint="eastAsia" w:ascii="仿宋_GB2312" w:eastAsia="仿宋_GB2312"/>
          <w:b w:val="0"/>
          <w:bCs w:val="0"/>
          <w:color w:val="000000"/>
          <w:sz w:val="32"/>
          <w:szCs w:val="32"/>
          <w:lang w:val="en-US" w:eastAsia="zh-CN"/>
        </w:rPr>
        <w:t>296.85</w:t>
      </w:r>
      <w:r>
        <w:rPr>
          <w:rFonts w:hint="eastAsia" w:ascii="仿宋_GB2312" w:eastAsia="仿宋_GB2312"/>
          <w:b w:val="0"/>
          <w:bCs w:val="0"/>
          <w:color w:val="000000"/>
          <w:sz w:val="32"/>
          <w:szCs w:val="32"/>
        </w:rPr>
        <w:t>万元，主要原因是</w:t>
      </w:r>
      <w:r>
        <w:rPr>
          <w:rFonts w:hint="eastAsia" w:ascii="仿宋_GB2312" w:hAnsi="仿宋" w:eastAsia="仿宋_GB2312"/>
          <w:sz w:val="32"/>
          <w:szCs w:val="32"/>
          <w:lang w:val="en-US" w:eastAsia="zh-CN"/>
        </w:rPr>
        <w:t>科目归类与职能匹配需要，将相关支出从农林水支出调整为科学技术支出，按调整后科目执行核算与管理。</w:t>
      </w:r>
    </w:p>
    <w:p w14:paraId="6D0FF5D8">
      <w:pPr>
        <w:widowControl/>
        <w:numPr>
          <w:numId w:val="0"/>
        </w:numPr>
        <w:adjustRightInd w:val="0"/>
        <w:snapToGrid w:val="0"/>
        <w:spacing w:line="640" w:lineRule="exact"/>
        <w:ind w:firstLine="640" w:firstLineChars="200"/>
        <w:contextualSpacing/>
        <w:jc w:val="left"/>
        <w:rPr>
          <w:rFonts w:hint="eastAsia" w:ascii="仿宋_GB2312" w:eastAsia="仿宋_GB2312"/>
          <w:color w:val="000000"/>
          <w:sz w:val="32"/>
          <w:szCs w:val="32"/>
          <w:lang w:eastAsia="zh-CN"/>
        </w:rPr>
      </w:pPr>
      <w:r>
        <w:rPr>
          <w:rFonts w:hint="eastAsia" w:ascii="仿宋_GB2312" w:hAnsi="TimesNewRomanPS-BoldMT" w:eastAsia="仿宋_GB2312"/>
          <w:bCs/>
          <w:color w:val="000000"/>
          <w:sz w:val="32"/>
          <w:szCs w:val="32"/>
          <w:lang w:val="en-US" w:eastAsia="zh-CN"/>
        </w:rPr>
        <w:t>2</w:t>
      </w:r>
      <w:r>
        <w:rPr>
          <w:rFonts w:hint="eastAsia" w:ascii="仿宋_GB2312" w:hAnsi="TimesNewRomanPS-BoldMT" w:eastAsia="仿宋_GB2312"/>
          <w:bCs/>
          <w:color w:val="000000"/>
          <w:sz w:val="32"/>
          <w:szCs w:val="32"/>
        </w:rPr>
        <w:t>.</w:t>
      </w:r>
      <w:r>
        <w:rPr>
          <w:rFonts w:hint="eastAsia" w:ascii="仿宋_GB2312" w:eastAsia="仿宋_GB2312"/>
          <w:color w:val="000000"/>
          <w:sz w:val="32"/>
          <w:szCs w:val="32"/>
        </w:rPr>
        <w:t>社会保障和就业支出（</w:t>
      </w:r>
      <w:r>
        <w:rPr>
          <w:rFonts w:hint="eastAsia" w:ascii="仿宋_GB2312" w:eastAsia="仿宋_GB2312"/>
          <w:color w:val="000000"/>
          <w:sz w:val="32"/>
          <w:szCs w:val="32"/>
          <w:lang w:val="en-US" w:eastAsia="zh-CN"/>
        </w:rPr>
        <w:t>208</w:t>
      </w:r>
      <w:r>
        <w:rPr>
          <w:rFonts w:hint="eastAsia" w:ascii="仿宋_GB2312" w:eastAsia="仿宋_GB2312"/>
          <w:color w:val="000000"/>
          <w:sz w:val="32"/>
          <w:szCs w:val="32"/>
        </w:rPr>
        <w:t>类）行政事业单位养老支出（</w:t>
      </w:r>
      <w:r>
        <w:rPr>
          <w:rFonts w:hint="eastAsia" w:ascii="仿宋_GB2312" w:eastAsia="仿宋_GB2312"/>
          <w:color w:val="000000"/>
          <w:sz w:val="32"/>
          <w:szCs w:val="32"/>
          <w:lang w:val="en-US" w:eastAsia="zh-CN"/>
        </w:rPr>
        <w:t>05</w:t>
      </w:r>
      <w:r>
        <w:rPr>
          <w:rFonts w:hint="eastAsia" w:ascii="仿宋_GB2312" w:eastAsia="仿宋_GB2312"/>
          <w:color w:val="000000"/>
          <w:sz w:val="32"/>
          <w:szCs w:val="32"/>
        </w:rPr>
        <w:t>款）机关事业单位基本养老保险缴费支出（</w:t>
      </w:r>
      <w:r>
        <w:rPr>
          <w:rFonts w:hint="eastAsia" w:ascii="仿宋_GB2312" w:eastAsia="仿宋_GB2312"/>
          <w:color w:val="000000"/>
          <w:sz w:val="32"/>
          <w:szCs w:val="32"/>
          <w:lang w:val="en-US" w:eastAsia="zh-CN"/>
        </w:rPr>
        <w:t>05</w:t>
      </w:r>
      <w:r>
        <w:rPr>
          <w:rFonts w:hint="eastAsia" w:ascii="仿宋_GB2312" w:eastAsia="仿宋_GB2312"/>
          <w:color w:val="000000"/>
          <w:sz w:val="32"/>
          <w:szCs w:val="32"/>
        </w:rPr>
        <w:t>项）</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w:t>
      </w:r>
      <w:r>
        <w:rPr>
          <w:rFonts w:hint="eastAsia" w:ascii="仿宋_GB2312" w:hAnsi="TimesNewRomanPSMT" w:eastAsia="仿宋_GB2312"/>
          <w:color w:val="000000"/>
          <w:sz w:val="32"/>
          <w:szCs w:val="32"/>
          <w:lang w:val="en-US" w:eastAsia="zh-CN"/>
        </w:rPr>
        <w:t>38.32</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比</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5</w:t>
      </w:r>
      <w:r>
        <w:rPr>
          <w:rFonts w:hint="eastAsia" w:ascii="仿宋_GB2312" w:eastAsia="仿宋_GB2312"/>
          <w:color w:val="000000"/>
          <w:sz w:val="32"/>
          <w:szCs w:val="32"/>
        </w:rPr>
        <w:t>年预算增加</w:t>
      </w:r>
      <w:r>
        <w:rPr>
          <w:rFonts w:hint="eastAsia" w:ascii="仿宋_GB2312" w:eastAsia="仿宋_GB2312"/>
          <w:color w:val="000000"/>
          <w:sz w:val="32"/>
          <w:szCs w:val="32"/>
          <w:lang w:val="en-US" w:eastAsia="zh-CN"/>
        </w:rPr>
        <w:t>3.23</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机关事业单位职业年金缴费支出（</w:t>
      </w:r>
      <w:r>
        <w:rPr>
          <w:rFonts w:hint="eastAsia" w:ascii="仿宋_GB2312" w:eastAsia="仿宋_GB2312"/>
          <w:color w:val="000000"/>
          <w:sz w:val="32"/>
          <w:szCs w:val="32"/>
          <w:lang w:val="en-US" w:eastAsia="zh-CN"/>
        </w:rPr>
        <w:t>06</w:t>
      </w:r>
      <w:r>
        <w:rPr>
          <w:rFonts w:hint="eastAsia" w:ascii="仿宋_GB2312" w:eastAsia="仿宋_GB2312"/>
          <w:color w:val="000000"/>
          <w:sz w:val="32"/>
          <w:szCs w:val="32"/>
        </w:rPr>
        <w:t>项）</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w:t>
      </w:r>
      <w:r>
        <w:rPr>
          <w:rFonts w:hint="eastAsia" w:ascii="仿宋_GB2312" w:hAnsi="TimesNewRomanPSMT" w:eastAsia="仿宋_GB2312"/>
          <w:color w:val="000000"/>
          <w:sz w:val="32"/>
          <w:szCs w:val="32"/>
          <w:lang w:val="en-US" w:eastAsia="zh-CN"/>
        </w:rPr>
        <w:t>19.16</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比</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5</w:t>
      </w:r>
      <w:r>
        <w:rPr>
          <w:rFonts w:hint="eastAsia" w:ascii="仿宋_GB2312" w:eastAsia="仿宋_GB2312"/>
          <w:color w:val="000000"/>
          <w:sz w:val="32"/>
          <w:szCs w:val="32"/>
        </w:rPr>
        <w:t>年预算增加</w:t>
      </w:r>
      <w:r>
        <w:rPr>
          <w:rFonts w:hint="eastAsia" w:ascii="仿宋_GB2312" w:eastAsia="仿宋_GB2312"/>
          <w:color w:val="000000"/>
          <w:sz w:val="32"/>
          <w:szCs w:val="32"/>
          <w:lang w:val="en-US" w:eastAsia="zh-CN"/>
        </w:rPr>
        <w:t>1.61</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；其他社会保障和就业支（</w:t>
      </w:r>
      <w:r>
        <w:rPr>
          <w:rFonts w:hint="eastAsia" w:ascii="仿宋_GB2312" w:eastAsia="仿宋_GB2312"/>
          <w:color w:val="000000"/>
          <w:sz w:val="32"/>
          <w:szCs w:val="32"/>
          <w:lang w:val="en-US" w:eastAsia="zh-CN"/>
        </w:rPr>
        <w:t>99</w:t>
      </w:r>
      <w:r>
        <w:rPr>
          <w:rFonts w:hint="eastAsia" w:ascii="仿宋_GB2312" w:eastAsia="仿宋_GB2312"/>
          <w:color w:val="000000"/>
          <w:sz w:val="32"/>
          <w:szCs w:val="32"/>
          <w:lang w:eastAsia="zh-CN"/>
        </w:rPr>
        <w:t>款），其他社会保障和就业支出（</w:t>
      </w:r>
      <w:r>
        <w:rPr>
          <w:rFonts w:hint="eastAsia" w:ascii="仿宋_GB2312" w:eastAsia="仿宋_GB2312"/>
          <w:color w:val="000000"/>
          <w:sz w:val="32"/>
          <w:szCs w:val="32"/>
          <w:lang w:val="en-US" w:eastAsia="zh-CN"/>
        </w:rPr>
        <w:t>99</w:t>
      </w:r>
      <w:r>
        <w:rPr>
          <w:rFonts w:hint="eastAsia" w:ascii="仿宋_GB2312" w:eastAsia="仿宋_GB2312"/>
          <w:color w:val="000000"/>
          <w:sz w:val="32"/>
          <w:szCs w:val="32"/>
          <w:lang w:eastAsia="zh-CN"/>
        </w:rPr>
        <w:t>项）</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w:t>
      </w:r>
      <w:r>
        <w:rPr>
          <w:rFonts w:hint="eastAsia" w:ascii="仿宋_GB2312" w:hAnsi="TimesNewRomanPSMT" w:eastAsia="仿宋_GB2312"/>
          <w:color w:val="000000"/>
          <w:sz w:val="32"/>
          <w:szCs w:val="32"/>
          <w:lang w:val="en-US" w:eastAsia="zh-CN"/>
        </w:rPr>
        <w:t>2.63</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比</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5</w:t>
      </w:r>
      <w:r>
        <w:rPr>
          <w:rFonts w:hint="eastAsia" w:ascii="仿宋_GB2312" w:eastAsia="仿宋_GB2312"/>
          <w:color w:val="000000"/>
          <w:sz w:val="32"/>
          <w:szCs w:val="32"/>
        </w:rPr>
        <w:t>年预算</w:t>
      </w:r>
      <w:r>
        <w:rPr>
          <w:rFonts w:hint="eastAsia" w:ascii="仿宋_GB2312" w:eastAsia="仿宋_GB2312"/>
          <w:color w:val="000000"/>
          <w:sz w:val="32"/>
          <w:szCs w:val="32"/>
          <w:lang w:val="en-US" w:eastAsia="zh-CN"/>
        </w:rPr>
        <w:t>减少2.96</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机关事业单位基本养老保险</w:t>
      </w:r>
      <w:r>
        <w:rPr>
          <w:rFonts w:hint="eastAsia" w:ascii="仿宋_GB2312" w:eastAsia="仿宋_GB2312"/>
          <w:color w:val="000000"/>
          <w:sz w:val="32"/>
          <w:szCs w:val="32"/>
          <w:lang w:eastAsia="zh-CN"/>
        </w:rPr>
        <w:t>、</w:t>
      </w:r>
      <w:r>
        <w:rPr>
          <w:rFonts w:hint="eastAsia" w:ascii="仿宋_GB2312" w:eastAsia="仿宋_GB2312"/>
          <w:color w:val="000000"/>
          <w:sz w:val="32"/>
          <w:szCs w:val="32"/>
        </w:rPr>
        <w:t>职业年金缴费支出</w:t>
      </w:r>
      <w:r>
        <w:rPr>
          <w:rFonts w:hint="eastAsia" w:ascii="仿宋_GB2312" w:eastAsia="仿宋_GB2312"/>
          <w:color w:val="000000"/>
          <w:sz w:val="32"/>
          <w:szCs w:val="32"/>
          <w:lang w:eastAsia="zh-CN"/>
        </w:rPr>
        <w:t>预算增加</w:t>
      </w:r>
      <w:r>
        <w:rPr>
          <w:rFonts w:hint="eastAsia" w:ascii="仿宋_GB2312" w:eastAsia="仿宋_GB2312"/>
          <w:color w:val="000000"/>
          <w:sz w:val="32"/>
          <w:szCs w:val="32"/>
        </w:rPr>
        <w:t>主要原因是</w:t>
      </w:r>
      <w:r>
        <w:rPr>
          <w:rFonts w:hint="eastAsia" w:ascii="仿宋_GB2312" w:eastAsia="仿宋_GB2312"/>
          <w:color w:val="000000"/>
          <w:sz w:val="32"/>
          <w:szCs w:val="32"/>
          <w:lang w:val="en-US" w:eastAsia="zh-CN"/>
        </w:rPr>
        <w:t>2026年在职人员职务职级晋升、年度正常调薪，导致缴费工资总额提高；</w:t>
      </w:r>
      <w:r>
        <w:rPr>
          <w:rFonts w:hint="eastAsia" w:ascii="仿宋_GB2312" w:eastAsia="仿宋_GB2312"/>
          <w:color w:val="000000"/>
          <w:sz w:val="32"/>
          <w:szCs w:val="32"/>
          <w:lang w:eastAsia="zh-CN"/>
        </w:rPr>
        <w:t>其他社会保障和就业支出</w:t>
      </w:r>
      <w:r>
        <w:rPr>
          <w:rFonts w:hint="eastAsia" w:ascii="仿宋_GB2312" w:eastAsia="仿宋_GB2312"/>
          <w:color w:val="000000"/>
          <w:sz w:val="32"/>
          <w:szCs w:val="32"/>
        </w:rPr>
        <w:t>预算</w:t>
      </w:r>
      <w:r>
        <w:rPr>
          <w:rFonts w:hint="eastAsia" w:ascii="仿宋_GB2312" w:eastAsia="仿宋_GB2312"/>
          <w:color w:val="000000"/>
          <w:sz w:val="32"/>
          <w:szCs w:val="32"/>
          <w:lang w:val="en-US" w:eastAsia="zh-CN"/>
        </w:rPr>
        <w:t>减少主要原因是政府收支分类科目调整，导致该项支出下降。</w:t>
      </w:r>
    </w:p>
    <w:p w14:paraId="7F65BCA3">
      <w:pPr>
        <w:widowControl/>
        <w:adjustRightInd w:val="0"/>
        <w:snapToGrid w:val="0"/>
        <w:spacing w:line="640" w:lineRule="exact"/>
        <w:ind w:firstLine="640" w:firstLineChars="200"/>
        <w:contextualSpacing/>
        <w:jc w:val="left"/>
        <w:rPr>
          <w:rFonts w:hint="eastAsia" w:ascii="仿宋_GB2312" w:eastAsia="仿宋_GB2312"/>
          <w:color w:val="000000"/>
          <w:sz w:val="32"/>
          <w:szCs w:val="32"/>
          <w:lang w:eastAsia="zh-CN"/>
        </w:rPr>
      </w:pPr>
      <w:r>
        <w:rPr>
          <w:rFonts w:hint="eastAsia" w:ascii="仿宋_GB2312" w:hAnsi="TimesNewRomanPS-BoldMT" w:eastAsia="仿宋_GB2312"/>
          <w:bCs/>
          <w:color w:val="000000"/>
          <w:sz w:val="32"/>
          <w:szCs w:val="32"/>
          <w:lang w:val="en-US" w:eastAsia="zh-CN"/>
        </w:rPr>
        <w:t>3</w:t>
      </w:r>
      <w:r>
        <w:rPr>
          <w:rFonts w:hint="eastAsia" w:ascii="仿宋_GB2312" w:hAnsi="TimesNewRomanPS-BoldMT" w:eastAsia="仿宋_GB2312"/>
          <w:bCs/>
          <w:color w:val="000000"/>
          <w:sz w:val="32"/>
          <w:szCs w:val="32"/>
        </w:rPr>
        <w:t>.</w:t>
      </w:r>
      <w:r>
        <w:rPr>
          <w:rFonts w:hint="eastAsia" w:ascii="仿宋_GB2312" w:eastAsia="仿宋_GB2312"/>
          <w:color w:val="000000"/>
          <w:sz w:val="32"/>
          <w:szCs w:val="32"/>
        </w:rPr>
        <w:t>卫生健康支出（</w:t>
      </w:r>
      <w:r>
        <w:rPr>
          <w:rFonts w:hint="eastAsia" w:ascii="仿宋_GB2312" w:eastAsia="仿宋_GB2312"/>
          <w:color w:val="000000"/>
          <w:sz w:val="32"/>
          <w:szCs w:val="32"/>
          <w:lang w:val="en-US" w:eastAsia="zh-CN"/>
        </w:rPr>
        <w:t>210</w:t>
      </w:r>
      <w:r>
        <w:rPr>
          <w:rFonts w:hint="eastAsia" w:ascii="仿宋_GB2312" w:eastAsia="仿宋_GB2312"/>
          <w:color w:val="000000"/>
          <w:sz w:val="32"/>
          <w:szCs w:val="32"/>
        </w:rPr>
        <w:t>类）行政事业单位医疗（</w:t>
      </w:r>
      <w:r>
        <w:rPr>
          <w:rFonts w:hint="eastAsia" w:ascii="仿宋_GB2312" w:eastAsia="仿宋_GB2312"/>
          <w:color w:val="000000"/>
          <w:sz w:val="32"/>
          <w:szCs w:val="32"/>
          <w:lang w:val="en-US" w:eastAsia="zh-CN"/>
        </w:rPr>
        <w:t>11</w:t>
      </w:r>
      <w:r>
        <w:rPr>
          <w:rFonts w:hint="eastAsia" w:ascii="仿宋_GB2312" w:eastAsia="仿宋_GB2312"/>
          <w:color w:val="000000"/>
          <w:sz w:val="32"/>
          <w:szCs w:val="32"/>
        </w:rPr>
        <w:t>款）</w:t>
      </w:r>
      <w:r>
        <w:rPr>
          <w:rFonts w:hint="eastAsia" w:ascii="仿宋_GB2312" w:eastAsia="仿宋_GB2312"/>
          <w:color w:val="000000"/>
          <w:sz w:val="32"/>
          <w:szCs w:val="32"/>
          <w:lang w:eastAsia="zh-CN"/>
        </w:rPr>
        <w:t>事业</w:t>
      </w:r>
      <w:r>
        <w:rPr>
          <w:rFonts w:hint="eastAsia" w:ascii="仿宋_GB2312" w:eastAsia="仿宋_GB2312"/>
          <w:color w:val="000000"/>
          <w:sz w:val="32"/>
          <w:szCs w:val="32"/>
        </w:rPr>
        <w:t>单位医疗（</w:t>
      </w:r>
      <w:r>
        <w:rPr>
          <w:rFonts w:hint="eastAsia" w:ascii="仿宋_GB2312" w:eastAsia="仿宋_GB2312"/>
          <w:color w:val="000000"/>
          <w:sz w:val="32"/>
          <w:szCs w:val="32"/>
          <w:lang w:val="en-US" w:eastAsia="zh-CN"/>
        </w:rPr>
        <w:t>02</w:t>
      </w:r>
      <w:r>
        <w:rPr>
          <w:rFonts w:hint="eastAsia" w:ascii="仿宋_GB2312" w:eastAsia="仿宋_GB2312"/>
          <w:color w:val="000000"/>
          <w:sz w:val="32"/>
          <w:szCs w:val="32"/>
        </w:rPr>
        <w:t>项）</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w:t>
      </w:r>
      <w:r>
        <w:rPr>
          <w:rFonts w:hint="eastAsia" w:ascii="仿宋_GB2312" w:hAnsi="TimesNewRomanPSMT" w:eastAsia="仿宋_GB2312"/>
          <w:color w:val="000000"/>
          <w:sz w:val="32"/>
          <w:szCs w:val="32"/>
          <w:lang w:val="en-US" w:eastAsia="zh-CN"/>
        </w:rPr>
        <w:t>19.21</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比</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5</w:t>
      </w:r>
      <w:r>
        <w:rPr>
          <w:rFonts w:hint="eastAsia" w:ascii="仿宋_GB2312" w:eastAsia="仿宋_GB2312"/>
          <w:color w:val="000000"/>
          <w:sz w:val="32"/>
          <w:szCs w:val="32"/>
        </w:rPr>
        <w:t>年预算</w:t>
      </w:r>
      <w:r>
        <w:rPr>
          <w:rFonts w:hint="eastAsia" w:ascii="仿宋_GB2312" w:eastAsia="仿宋_GB2312"/>
          <w:color w:val="000000"/>
          <w:sz w:val="32"/>
          <w:szCs w:val="32"/>
          <w:lang w:eastAsia="zh-CN"/>
        </w:rPr>
        <w:t>增加</w:t>
      </w:r>
      <w:r>
        <w:rPr>
          <w:rFonts w:hint="eastAsia" w:ascii="仿宋_GB2312" w:eastAsia="仿宋_GB2312"/>
          <w:color w:val="000000"/>
          <w:sz w:val="32"/>
          <w:szCs w:val="32"/>
          <w:lang w:val="en-US" w:eastAsia="zh-CN"/>
        </w:rPr>
        <w:t>1.82</w:t>
      </w:r>
      <w:r>
        <w:rPr>
          <w:rFonts w:hint="eastAsia" w:ascii="仿宋_GB2312" w:eastAsia="仿宋_GB2312"/>
          <w:color w:val="000000"/>
          <w:sz w:val="32"/>
          <w:szCs w:val="32"/>
        </w:rPr>
        <w:t>万元，主要原因</w:t>
      </w:r>
      <w:r>
        <w:rPr>
          <w:rFonts w:hint="eastAsia" w:ascii="仿宋_GB2312" w:eastAsia="仿宋_GB2312"/>
          <w:color w:val="000000"/>
          <w:sz w:val="32"/>
          <w:szCs w:val="32"/>
          <w:lang w:eastAsia="zh-CN"/>
        </w:rPr>
        <w:t>是</w:t>
      </w:r>
      <w:r>
        <w:rPr>
          <w:rFonts w:hint="eastAsia" w:ascii="仿宋_GB2312" w:eastAsia="仿宋_GB2312"/>
          <w:color w:val="000000"/>
          <w:sz w:val="32"/>
          <w:szCs w:val="32"/>
          <w:lang w:val="en-US" w:eastAsia="zh-CN"/>
        </w:rPr>
        <w:t>2026年在职人员职务职级晋升、年度正常调薪，导致缴费工资总额提高</w:t>
      </w:r>
      <w:r>
        <w:rPr>
          <w:rFonts w:hint="eastAsia" w:ascii="仿宋_GB2312" w:eastAsia="仿宋_GB2312"/>
          <w:color w:val="000000"/>
          <w:sz w:val="32"/>
          <w:szCs w:val="32"/>
          <w:lang w:eastAsia="zh-CN"/>
        </w:rPr>
        <w:t>。</w:t>
      </w:r>
    </w:p>
    <w:p w14:paraId="5BDF447F">
      <w:pPr>
        <w:widowControl/>
        <w:adjustRightInd w:val="0"/>
        <w:snapToGrid w:val="0"/>
        <w:spacing w:line="640" w:lineRule="exact"/>
        <w:ind w:firstLine="640" w:firstLineChars="200"/>
        <w:contextualSpacing/>
        <w:jc w:val="left"/>
        <w:rPr>
          <w:rFonts w:hint="eastAsia" w:ascii="仿宋_GB2312" w:eastAsia="仿宋_GB2312"/>
          <w:b w:val="0"/>
          <w:bCs w:val="0"/>
          <w:color w:val="000000"/>
          <w:sz w:val="32"/>
          <w:szCs w:val="32"/>
          <w:lang w:eastAsia="zh-CN"/>
        </w:rPr>
      </w:pPr>
      <w:r>
        <w:rPr>
          <w:rFonts w:hint="eastAsia" w:ascii="仿宋_GB2312" w:eastAsia="仿宋_GB2312"/>
          <w:b w:val="0"/>
          <w:bCs w:val="0"/>
          <w:color w:val="000000"/>
          <w:sz w:val="32"/>
          <w:szCs w:val="32"/>
          <w:lang w:val="en-US" w:eastAsia="zh-CN"/>
        </w:rPr>
        <w:t>4</w:t>
      </w:r>
      <w:r>
        <w:rPr>
          <w:rFonts w:hint="eastAsia" w:ascii="仿宋_GB2312" w:eastAsia="仿宋_GB2312"/>
          <w:b w:val="0"/>
          <w:bCs w:val="0"/>
          <w:color w:val="000000"/>
          <w:sz w:val="32"/>
          <w:szCs w:val="32"/>
        </w:rPr>
        <w:t>.住房保障支出（</w:t>
      </w:r>
      <w:r>
        <w:rPr>
          <w:rFonts w:hint="eastAsia" w:ascii="仿宋_GB2312" w:eastAsia="仿宋_GB2312"/>
          <w:b w:val="0"/>
          <w:bCs w:val="0"/>
          <w:color w:val="000000"/>
          <w:sz w:val="32"/>
          <w:szCs w:val="32"/>
          <w:lang w:val="en-US" w:eastAsia="zh-CN"/>
        </w:rPr>
        <w:t>221</w:t>
      </w:r>
      <w:r>
        <w:rPr>
          <w:rFonts w:hint="eastAsia" w:ascii="仿宋_GB2312" w:eastAsia="仿宋_GB2312"/>
          <w:b w:val="0"/>
          <w:bCs w:val="0"/>
          <w:color w:val="000000"/>
          <w:sz w:val="32"/>
          <w:szCs w:val="32"/>
        </w:rPr>
        <w:t>类）住房改革支出（</w:t>
      </w:r>
      <w:r>
        <w:rPr>
          <w:rFonts w:hint="eastAsia" w:ascii="仿宋_GB2312" w:eastAsia="仿宋_GB2312"/>
          <w:b w:val="0"/>
          <w:bCs w:val="0"/>
          <w:color w:val="000000"/>
          <w:sz w:val="32"/>
          <w:szCs w:val="32"/>
          <w:lang w:val="en-US" w:eastAsia="zh-CN"/>
        </w:rPr>
        <w:t>02</w:t>
      </w:r>
      <w:r>
        <w:rPr>
          <w:rFonts w:hint="eastAsia" w:ascii="仿宋_GB2312" w:eastAsia="仿宋_GB2312"/>
          <w:b w:val="0"/>
          <w:bCs w:val="0"/>
          <w:color w:val="000000"/>
          <w:sz w:val="32"/>
          <w:szCs w:val="32"/>
        </w:rPr>
        <w:t>款）住房公积金（</w:t>
      </w:r>
      <w:r>
        <w:rPr>
          <w:rFonts w:hint="eastAsia" w:ascii="仿宋_GB2312" w:eastAsia="仿宋_GB2312"/>
          <w:b w:val="0"/>
          <w:bCs w:val="0"/>
          <w:color w:val="000000"/>
          <w:sz w:val="32"/>
          <w:szCs w:val="32"/>
          <w:lang w:val="en-US" w:eastAsia="zh-CN"/>
        </w:rPr>
        <w:t>01</w:t>
      </w:r>
      <w:r>
        <w:rPr>
          <w:rFonts w:hint="eastAsia" w:ascii="仿宋_GB2312" w:eastAsia="仿宋_GB2312"/>
          <w:b w:val="0"/>
          <w:bCs w:val="0"/>
          <w:color w:val="000000"/>
          <w:sz w:val="32"/>
          <w:szCs w:val="32"/>
        </w:rPr>
        <w:t>项）</w:t>
      </w:r>
      <w:r>
        <w:rPr>
          <w:rFonts w:hint="eastAsia" w:ascii="仿宋_GB2312" w:hAnsi="TimesNewRomanPSMT" w:eastAsia="仿宋_GB2312"/>
          <w:b w:val="0"/>
          <w:bCs w:val="0"/>
          <w:color w:val="000000"/>
          <w:sz w:val="32"/>
          <w:szCs w:val="32"/>
        </w:rPr>
        <w:t>202</w:t>
      </w:r>
      <w:r>
        <w:rPr>
          <w:rFonts w:hint="eastAsia" w:ascii="仿宋_GB2312" w:hAnsi="TimesNewRomanPSMT" w:eastAsia="仿宋_GB2312"/>
          <w:b w:val="0"/>
          <w:bCs w:val="0"/>
          <w:color w:val="000000"/>
          <w:sz w:val="32"/>
          <w:szCs w:val="32"/>
          <w:lang w:val="en-US" w:eastAsia="zh-CN"/>
        </w:rPr>
        <w:t>6</w:t>
      </w:r>
      <w:r>
        <w:rPr>
          <w:rFonts w:hint="eastAsia" w:ascii="仿宋_GB2312" w:eastAsia="仿宋_GB2312"/>
          <w:b w:val="0"/>
          <w:bCs w:val="0"/>
          <w:color w:val="000000"/>
          <w:sz w:val="32"/>
          <w:szCs w:val="32"/>
        </w:rPr>
        <w:t>年预算数为</w:t>
      </w:r>
      <w:r>
        <w:rPr>
          <w:rFonts w:hint="eastAsia" w:ascii="仿宋_GB2312" w:hAnsi="TimesNewRomanPSMT" w:eastAsia="仿宋_GB2312"/>
          <w:b w:val="0"/>
          <w:bCs w:val="0"/>
          <w:color w:val="000000"/>
          <w:sz w:val="32"/>
          <w:szCs w:val="32"/>
          <w:lang w:val="en-US" w:eastAsia="zh-CN"/>
        </w:rPr>
        <w:t>28.74</w:t>
      </w:r>
      <w:r>
        <w:rPr>
          <w:rFonts w:hint="eastAsia" w:ascii="仿宋_GB2312" w:eastAsia="仿宋_GB2312"/>
          <w:b w:val="0"/>
          <w:bCs w:val="0"/>
          <w:color w:val="000000"/>
          <w:sz w:val="32"/>
          <w:szCs w:val="32"/>
        </w:rPr>
        <w:t>万元</w:t>
      </w:r>
      <w:r>
        <w:rPr>
          <w:rFonts w:hint="eastAsia" w:ascii="仿宋_GB2312" w:eastAsia="仿宋_GB2312"/>
          <w:b w:val="0"/>
          <w:bCs w:val="0"/>
          <w:color w:val="000000"/>
          <w:sz w:val="32"/>
          <w:szCs w:val="32"/>
          <w:lang w:eastAsia="zh-CN"/>
        </w:rPr>
        <w:t>，</w:t>
      </w:r>
      <w:r>
        <w:rPr>
          <w:rFonts w:hint="eastAsia" w:ascii="仿宋_GB2312" w:eastAsia="仿宋_GB2312"/>
          <w:b w:val="0"/>
          <w:bCs w:val="0"/>
          <w:color w:val="000000"/>
          <w:sz w:val="32"/>
          <w:szCs w:val="32"/>
        </w:rPr>
        <w:t>比</w:t>
      </w:r>
      <w:r>
        <w:rPr>
          <w:rFonts w:hint="eastAsia" w:ascii="仿宋_GB2312" w:hAnsi="TimesNewRomanPSMT" w:eastAsia="仿宋_GB2312"/>
          <w:b w:val="0"/>
          <w:bCs w:val="0"/>
          <w:color w:val="000000"/>
          <w:sz w:val="32"/>
          <w:szCs w:val="32"/>
        </w:rPr>
        <w:t>202</w:t>
      </w:r>
      <w:r>
        <w:rPr>
          <w:rFonts w:hint="eastAsia" w:ascii="仿宋_GB2312" w:hAnsi="TimesNewRomanPSMT" w:eastAsia="仿宋_GB2312"/>
          <w:b w:val="0"/>
          <w:bCs w:val="0"/>
          <w:color w:val="000000"/>
          <w:sz w:val="32"/>
          <w:szCs w:val="32"/>
          <w:lang w:val="en-US" w:eastAsia="zh-CN"/>
        </w:rPr>
        <w:t>5</w:t>
      </w:r>
      <w:r>
        <w:rPr>
          <w:rFonts w:hint="eastAsia" w:ascii="仿宋_GB2312" w:eastAsia="仿宋_GB2312"/>
          <w:b w:val="0"/>
          <w:bCs w:val="0"/>
          <w:color w:val="000000"/>
          <w:sz w:val="32"/>
          <w:szCs w:val="32"/>
        </w:rPr>
        <w:t>年预算增加</w:t>
      </w:r>
      <w:r>
        <w:rPr>
          <w:rFonts w:hint="eastAsia" w:ascii="仿宋_GB2312" w:eastAsia="仿宋_GB2312"/>
          <w:b w:val="0"/>
          <w:bCs w:val="0"/>
          <w:color w:val="000000"/>
          <w:sz w:val="32"/>
          <w:szCs w:val="32"/>
          <w:lang w:val="en-US" w:eastAsia="zh-CN"/>
        </w:rPr>
        <w:t>2.42</w:t>
      </w:r>
      <w:r>
        <w:rPr>
          <w:rFonts w:hint="eastAsia" w:ascii="仿宋_GB2312" w:eastAsia="仿宋_GB2312"/>
          <w:b w:val="0"/>
          <w:bCs w:val="0"/>
          <w:color w:val="000000"/>
          <w:sz w:val="32"/>
          <w:szCs w:val="32"/>
        </w:rPr>
        <w:t>万元，主要原因是</w:t>
      </w:r>
      <w:r>
        <w:rPr>
          <w:rFonts w:hint="eastAsia" w:ascii="仿宋_GB2312" w:eastAsia="仿宋_GB2312"/>
          <w:color w:val="000000"/>
          <w:sz w:val="32"/>
          <w:szCs w:val="32"/>
          <w:lang w:val="en-US" w:eastAsia="zh-CN"/>
        </w:rPr>
        <w:t>2026年在职人员职务职级晋升、年度正常调薪，导致缴费工资总额提高</w:t>
      </w:r>
      <w:r>
        <w:rPr>
          <w:rFonts w:hint="eastAsia" w:ascii="仿宋_GB2312" w:eastAsia="仿宋_GB2312"/>
          <w:color w:val="000000"/>
          <w:sz w:val="32"/>
          <w:szCs w:val="32"/>
          <w:lang w:eastAsia="zh-CN"/>
        </w:rPr>
        <w:t>。</w:t>
      </w:r>
    </w:p>
    <w:p w14:paraId="0A65071F">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五、部门（单位）一般公共预算财政拨款“三公”经费、培训费、会议费等情况</w:t>
      </w:r>
    </w:p>
    <w:p w14:paraId="1A1EA64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14:paraId="5A6A66B7">
      <w:pPr>
        <w:adjustRightInd w:val="0"/>
        <w:snapToGrid w:val="0"/>
        <w:spacing w:line="640" w:lineRule="exact"/>
        <w:ind w:firstLine="640" w:firstLineChars="200"/>
        <w:contextualSpacing/>
        <w:rPr>
          <w:rFonts w:ascii="仿宋_GB2312" w:hAnsi="仿宋" w:eastAsia="仿宋_GB2312" w:cs="宋体"/>
          <w:b/>
          <w:kern w:val="0"/>
          <w:sz w:val="32"/>
          <w:szCs w:val="32"/>
        </w:rPr>
      </w:pPr>
      <w:r>
        <w:rPr>
          <w:rFonts w:hint="eastAsia" w:ascii="仿宋_GB2312" w:hAnsi="仿宋" w:eastAsia="仿宋_GB2312"/>
          <w:sz w:val="32"/>
          <w:szCs w:val="32"/>
        </w:rPr>
        <w:t>“三公”经费预算</w:t>
      </w:r>
      <w:r>
        <w:rPr>
          <w:rFonts w:hint="eastAsia" w:ascii="仿宋_GB2312" w:hAnsi="仿宋" w:eastAsia="仿宋_GB2312"/>
          <w:sz w:val="32"/>
          <w:szCs w:val="32"/>
          <w:lang w:val="en-US" w:eastAsia="zh-CN"/>
        </w:rPr>
        <w:t>1.35</w:t>
      </w:r>
      <w:r>
        <w:rPr>
          <w:rFonts w:hint="eastAsia" w:ascii="仿宋_GB2312" w:hAnsi="仿宋" w:eastAsia="仿宋_GB2312"/>
          <w:sz w:val="32"/>
          <w:szCs w:val="32"/>
        </w:rPr>
        <w:t>万元，较202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eastAsia="zh-CN"/>
        </w:rPr>
        <w:t>无增减</w:t>
      </w:r>
      <w:r>
        <w:rPr>
          <w:rFonts w:hint="eastAsia" w:ascii="仿宋_GB2312" w:hAnsi="仿宋" w:eastAsia="仿宋_GB2312"/>
          <w:sz w:val="32"/>
          <w:szCs w:val="32"/>
        </w:rPr>
        <w:t>。</w:t>
      </w:r>
    </w:p>
    <w:p w14:paraId="63170D24">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1.因公出国（境）费用</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206B2CFC">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2.公务接待费</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09B77961">
      <w:pPr>
        <w:widowControl/>
        <w:adjustRightInd w:val="0"/>
        <w:snapToGrid w:val="0"/>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rPr>
        <w:t>3.公务用车购置及运行维护费</w:t>
      </w:r>
      <w:r>
        <w:rPr>
          <w:rFonts w:hint="eastAsia" w:ascii="仿宋_GB2312" w:hAnsi="仿宋" w:eastAsia="仿宋_GB2312"/>
          <w:sz w:val="32"/>
          <w:szCs w:val="32"/>
          <w:lang w:val="en-US" w:eastAsia="zh-CN"/>
        </w:rPr>
        <w:t>1.35</w:t>
      </w:r>
      <w:r>
        <w:rPr>
          <w:rFonts w:hint="eastAsia" w:ascii="仿宋_GB2312" w:hAnsi="仿宋" w:eastAsia="仿宋_GB2312"/>
          <w:sz w:val="32"/>
          <w:szCs w:val="32"/>
        </w:rPr>
        <w:t>万元（其中：公务用车购置</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万元，公务用车运行维护费</w:t>
      </w:r>
      <w:r>
        <w:rPr>
          <w:rFonts w:hint="eastAsia" w:ascii="仿宋_GB2312" w:hAnsi="仿宋" w:eastAsia="仿宋_GB2312"/>
          <w:sz w:val="32"/>
          <w:szCs w:val="32"/>
          <w:lang w:val="en-US" w:eastAsia="zh-CN"/>
        </w:rPr>
        <w:t>1.35</w:t>
      </w:r>
      <w:r>
        <w:rPr>
          <w:rFonts w:hint="eastAsia" w:ascii="仿宋_GB2312" w:hAnsi="仿宋" w:eastAsia="仿宋_GB2312"/>
          <w:sz w:val="32"/>
          <w:szCs w:val="32"/>
        </w:rPr>
        <w:t>万元），较202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eastAsia="zh-CN"/>
        </w:rPr>
        <w:t>无增减。</w:t>
      </w:r>
    </w:p>
    <w:p w14:paraId="3C18502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（二）培训费预算情况说明</w:t>
      </w:r>
    </w:p>
    <w:p w14:paraId="6EF7974E">
      <w:pPr>
        <w:adjustRightInd w:val="0"/>
        <w:snapToGrid w:val="0"/>
        <w:spacing w:line="640" w:lineRule="exact"/>
        <w:ind w:firstLine="640" w:firstLineChars="200"/>
        <w:contextualSpacing/>
        <w:rPr>
          <w:rFonts w:hint="eastAsia" w:ascii="仿宋_GB2312" w:hAnsi="仿宋" w:eastAsia="仿宋_GB2312"/>
          <w:sz w:val="32"/>
          <w:szCs w:val="32"/>
          <w:lang w:eastAsia="zh-CN"/>
        </w:rPr>
      </w:pPr>
      <w:r>
        <w:rPr>
          <w:rFonts w:hint="eastAsia" w:ascii="仿宋_GB2312" w:hAnsi="仿宋" w:eastAsia="仿宋_GB2312"/>
          <w:sz w:val="32"/>
          <w:szCs w:val="32"/>
          <w:lang w:val="en-US" w:eastAsia="zh-CN"/>
        </w:rPr>
        <w:t>2026年度</w:t>
      </w:r>
      <w:r>
        <w:rPr>
          <w:rFonts w:hint="eastAsia" w:ascii="仿宋_GB2312" w:hAnsi="仿宋" w:eastAsia="仿宋_GB2312"/>
          <w:sz w:val="32"/>
          <w:szCs w:val="32"/>
          <w:lang w:eastAsia="zh-CN"/>
        </w:rPr>
        <w:t>未安排培训费</w:t>
      </w:r>
      <w:r>
        <w:rPr>
          <w:rFonts w:hint="eastAsia" w:ascii="仿宋_GB2312" w:hAnsi="仿宋" w:eastAsia="仿宋_GB2312"/>
          <w:sz w:val="32"/>
          <w:szCs w:val="32"/>
        </w:rPr>
        <w:t>预算</w:t>
      </w:r>
      <w:r>
        <w:rPr>
          <w:rFonts w:hint="eastAsia" w:ascii="仿宋_GB2312" w:hAnsi="仿宋" w:eastAsia="仿宋_GB2312"/>
          <w:sz w:val="32"/>
          <w:szCs w:val="32"/>
          <w:lang w:eastAsia="zh-CN"/>
        </w:rPr>
        <w:t>。</w:t>
      </w:r>
    </w:p>
    <w:p w14:paraId="27BFF129">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（三）会议费预算情况说明</w:t>
      </w:r>
    </w:p>
    <w:p w14:paraId="5339D8BB">
      <w:pPr>
        <w:widowControl/>
        <w:adjustRightInd w:val="0"/>
        <w:snapToGrid w:val="0"/>
        <w:spacing w:line="640" w:lineRule="exact"/>
        <w:ind w:firstLine="640" w:firstLineChars="200"/>
        <w:contextualSpacing/>
        <w:jc w:val="left"/>
        <w:rPr>
          <w:rFonts w:ascii="仿宋_GB2312" w:eastAsia="仿宋_GB2312"/>
          <w:sz w:val="32"/>
          <w:szCs w:val="32"/>
        </w:rPr>
      </w:pPr>
      <w:r>
        <w:rPr>
          <w:rFonts w:hint="eastAsia" w:ascii="仿宋_GB2312" w:hAnsi="仿宋" w:eastAsia="仿宋_GB2312"/>
          <w:sz w:val="32"/>
          <w:szCs w:val="32"/>
          <w:lang w:val="en-US" w:eastAsia="zh-CN"/>
        </w:rPr>
        <w:t>2026年度</w:t>
      </w:r>
      <w:r>
        <w:rPr>
          <w:rFonts w:hint="eastAsia" w:ascii="仿宋_GB2312" w:hAnsi="仿宋" w:eastAsia="仿宋_GB2312"/>
          <w:sz w:val="32"/>
          <w:szCs w:val="32"/>
          <w:lang w:eastAsia="zh-CN"/>
        </w:rPr>
        <w:t>未安排会议费</w:t>
      </w:r>
      <w:r>
        <w:rPr>
          <w:rFonts w:hint="eastAsia" w:ascii="仿宋_GB2312" w:hAnsi="仿宋" w:eastAsia="仿宋_GB2312"/>
          <w:sz w:val="32"/>
          <w:szCs w:val="32"/>
        </w:rPr>
        <w:t>预算</w:t>
      </w:r>
      <w:r>
        <w:rPr>
          <w:rFonts w:hint="eastAsia" w:ascii="仿宋_GB2312" w:hAnsi="仿宋" w:eastAsia="仿宋_GB2312"/>
          <w:sz w:val="32"/>
          <w:szCs w:val="32"/>
          <w:lang w:eastAsia="zh-CN"/>
        </w:rPr>
        <w:t>。</w:t>
      </w:r>
    </w:p>
    <w:p w14:paraId="7D35BB7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0CDD3A13">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机关运行经费</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57B4FFA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19E101B7">
      <w:pPr>
        <w:widowControl/>
        <w:adjustRightInd w:val="0"/>
        <w:snapToGrid w:val="0"/>
        <w:spacing w:line="640" w:lineRule="exact"/>
        <w:ind w:firstLine="640" w:firstLineChars="200"/>
        <w:contextualSpacing/>
        <w:jc w:val="left"/>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hint="eastAsia" w:ascii="仿宋_GB2312" w:hAnsi="仿宋" w:eastAsia="仿宋_GB2312"/>
          <w:sz w:val="32"/>
          <w:szCs w:val="32"/>
          <w:lang w:val="en-US" w:eastAsia="zh-CN"/>
        </w:rPr>
        <w:t>本</w:t>
      </w:r>
      <w:r>
        <w:rPr>
          <w:rFonts w:hint="eastAsia" w:ascii="仿宋_GB2312" w:hAnsi="仿宋" w:eastAsia="仿宋_GB2312"/>
          <w:sz w:val="32"/>
          <w:szCs w:val="32"/>
          <w:lang w:eastAsia="zh-CN"/>
        </w:rPr>
        <w:t>单位</w:t>
      </w:r>
      <w:r>
        <w:rPr>
          <w:rFonts w:hint="eastAsia" w:ascii="仿宋_GB2312" w:hAnsi="仿宋" w:eastAsia="仿宋_GB2312"/>
          <w:sz w:val="32"/>
          <w:szCs w:val="32"/>
        </w:rPr>
        <w:t>政府采购预算总额</w:t>
      </w:r>
      <w:r>
        <w:rPr>
          <w:rFonts w:hint="eastAsia" w:ascii="仿宋_GB2312" w:hAnsi="仿宋" w:eastAsia="仿宋_GB2312"/>
          <w:sz w:val="32"/>
          <w:szCs w:val="32"/>
          <w:lang w:val="en-US" w:eastAsia="zh-CN"/>
        </w:rPr>
        <w:t>2.51</w:t>
      </w:r>
      <w:r>
        <w:rPr>
          <w:rFonts w:hint="eastAsia" w:ascii="仿宋_GB2312" w:hAnsi="仿宋" w:eastAsia="仿宋_GB2312"/>
          <w:sz w:val="32"/>
          <w:szCs w:val="32"/>
        </w:rPr>
        <w:t>万元，其中：政府采购货物预算</w:t>
      </w:r>
      <w:r>
        <w:rPr>
          <w:rFonts w:hint="eastAsia" w:ascii="仿宋_GB2312" w:hAnsi="仿宋" w:eastAsia="仿宋_GB2312"/>
          <w:sz w:val="32"/>
          <w:szCs w:val="32"/>
          <w:lang w:val="en-US" w:eastAsia="zh-CN"/>
        </w:rPr>
        <w:t>0.81</w:t>
      </w:r>
      <w:r>
        <w:rPr>
          <w:rFonts w:hint="eastAsia" w:ascii="仿宋_GB2312" w:hAnsi="仿宋" w:eastAsia="仿宋_GB2312"/>
          <w:sz w:val="32"/>
          <w:szCs w:val="32"/>
        </w:rPr>
        <w:t>万元，政府采购工程预算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万元，政府采购服务预算</w:t>
      </w:r>
      <w:r>
        <w:rPr>
          <w:rFonts w:hint="eastAsia" w:ascii="仿宋_GB2312" w:hAnsi="仿宋" w:eastAsia="仿宋_GB2312"/>
          <w:sz w:val="32"/>
          <w:szCs w:val="32"/>
          <w:lang w:val="en-US" w:eastAsia="zh-CN"/>
        </w:rPr>
        <w:t>1.70</w:t>
      </w:r>
      <w:r>
        <w:rPr>
          <w:rFonts w:hint="eastAsia" w:ascii="仿宋_GB2312" w:hAnsi="仿宋" w:eastAsia="仿宋_GB2312"/>
          <w:sz w:val="32"/>
          <w:szCs w:val="32"/>
        </w:rPr>
        <w:t>万元。</w:t>
      </w:r>
    </w:p>
    <w:p w14:paraId="1922A18A">
      <w:pPr>
        <w:widowControl/>
        <w:adjustRightInd w:val="0"/>
        <w:snapToGrid w:val="0"/>
        <w:spacing w:line="640" w:lineRule="exact"/>
        <w:ind w:firstLine="640" w:firstLineChars="200"/>
        <w:contextualSpacing/>
        <w:jc w:val="left"/>
        <w:rPr>
          <w:rFonts w:hint="eastAsia"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hint="eastAsia" w:ascii="仿宋_GB2312" w:hAnsi="仿宋" w:eastAsia="仿宋_GB2312"/>
          <w:sz w:val="32"/>
          <w:szCs w:val="32"/>
          <w:lang w:val="en-US" w:eastAsia="zh-CN"/>
        </w:rPr>
        <w:t>本</w:t>
      </w:r>
      <w:r>
        <w:rPr>
          <w:rFonts w:hint="eastAsia" w:ascii="仿宋_GB2312" w:hAnsi="仿宋" w:eastAsia="仿宋_GB2312"/>
          <w:sz w:val="32"/>
          <w:szCs w:val="32"/>
        </w:rPr>
        <w:t>单位面向中小企业预留政府采购项目预算金额</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万元，小微企业预留政府采购项目预算金额</w:t>
      </w:r>
      <w:r>
        <w:rPr>
          <w:rFonts w:hint="eastAsia" w:ascii="仿宋_GB2312" w:hAnsi="仿宋" w:eastAsia="仿宋_GB2312"/>
          <w:sz w:val="32"/>
          <w:szCs w:val="32"/>
          <w:lang w:val="en-US" w:eastAsia="zh-CN"/>
        </w:rPr>
        <w:t>2.51</w:t>
      </w:r>
      <w:r>
        <w:rPr>
          <w:rFonts w:hint="eastAsia" w:ascii="仿宋_GB2312" w:hAnsi="仿宋" w:eastAsia="仿宋_GB2312"/>
          <w:sz w:val="32"/>
          <w:szCs w:val="32"/>
        </w:rPr>
        <w:t>万元。</w:t>
      </w:r>
    </w:p>
    <w:p w14:paraId="6A193527">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八、国有资产占用情况</w:t>
      </w:r>
    </w:p>
    <w:p w14:paraId="1A7E544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上年末固定资产金额为</w:t>
      </w:r>
      <w:r>
        <w:rPr>
          <w:rFonts w:hint="eastAsia" w:ascii="仿宋_GB2312" w:hAnsi="仿宋" w:eastAsia="仿宋_GB2312"/>
          <w:sz w:val="32"/>
          <w:szCs w:val="32"/>
          <w:lang w:val="en-US" w:eastAsia="zh-CN"/>
        </w:rPr>
        <w:t>205.70</w:t>
      </w:r>
      <w:r>
        <w:rPr>
          <w:rFonts w:hint="eastAsia" w:ascii="仿宋_GB2312" w:hAnsi="仿宋" w:eastAsia="仿宋_GB2312"/>
          <w:sz w:val="32"/>
          <w:szCs w:val="32"/>
        </w:rPr>
        <w:t>万元。预算单位共有公务用车</w:t>
      </w:r>
      <w:r>
        <w:rPr>
          <w:rFonts w:hint="eastAsia" w:ascii="仿宋_GB2312" w:hAnsi="仿宋" w:eastAsia="仿宋_GB2312"/>
          <w:sz w:val="32"/>
          <w:szCs w:val="32"/>
          <w:lang w:val="en-US" w:eastAsia="zh-CN"/>
        </w:rPr>
        <w:t>2</w:t>
      </w:r>
      <w:r>
        <w:rPr>
          <w:rFonts w:hint="eastAsia" w:ascii="仿宋_GB2312" w:hAnsi="仿宋" w:eastAsia="仿宋_GB2312"/>
          <w:sz w:val="32"/>
          <w:szCs w:val="32"/>
        </w:rPr>
        <w:t>辆，价值</w:t>
      </w:r>
      <w:r>
        <w:rPr>
          <w:rFonts w:hint="eastAsia" w:ascii="仿宋_GB2312" w:hAnsi="仿宋" w:eastAsia="仿宋_GB2312"/>
          <w:sz w:val="32"/>
          <w:szCs w:val="32"/>
          <w:lang w:val="en-US" w:eastAsia="zh-CN"/>
        </w:rPr>
        <w:t>38.1</w:t>
      </w:r>
      <w:r>
        <w:rPr>
          <w:rFonts w:hint="eastAsia" w:ascii="仿宋_GB2312" w:hAnsi="仿宋" w:eastAsia="仿宋_GB2312"/>
          <w:sz w:val="32"/>
          <w:szCs w:val="32"/>
        </w:rPr>
        <w:t>万元。单价20万元以上的设备价值</w:t>
      </w:r>
      <w:r>
        <w:rPr>
          <w:rFonts w:hint="eastAsia" w:ascii="仿宋_GB2312" w:hAnsi="仿宋" w:eastAsia="仿宋_GB2312"/>
          <w:sz w:val="32"/>
          <w:szCs w:val="32"/>
          <w:lang w:val="en-US" w:eastAsia="zh-CN"/>
        </w:rPr>
        <w:t>47.45</w:t>
      </w:r>
      <w:r>
        <w:rPr>
          <w:rFonts w:hint="eastAsia" w:ascii="仿宋_GB2312" w:hAnsi="仿宋" w:eastAsia="仿宋_GB2312"/>
          <w:sz w:val="32"/>
          <w:szCs w:val="32"/>
        </w:rPr>
        <w:t>万元。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年拟采购固定资产约</w:t>
      </w:r>
      <w:r>
        <w:rPr>
          <w:rFonts w:hint="eastAsia" w:ascii="仿宋_GB2312" w:hAnsi="仿宋" w:eastAsia="仿宋_GB2312"/>
          <w:sz w:val="32"/>
          <w:szCs w:val="32"/>
          <w:lang w:val="en-US" w:eastAsia="zh-CN"/>
        </w:rPr>
        <w:t>0.49</w:t>
      </w:r>
      <w:r>
        <w:rPr>
          <w:rFonts w:hint="eastAsia" w:ascii="仿宋_GB2312" w:hAnsi="仿宋" w:eastAsia="仿宋_GB2312"/>
          <w:sz w:val="32"/>
          <w:szCs w:val="32"/>
        </w:rPr>
        <w:t>万元。</w:t>
      </w:r>
    </w:p>
    <w:p w14:paraId="4AAB33A2">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14:paraId="4B4945E4">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3D308989">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未安排预算，政府性基金预算支出情况表为空表。</w:t>
      </w:r>
    </w:p>
    <w:p w14:paraId="792B6F0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0C54ABC8">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本单位</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ascii="仿宋_GB2312" w:hAnsi="仿宋" w:eastAsia="仿宋_GB2312"/>
          <w:sz w:val="32"/>
          <w:szCs w:val="32"/>
        </w:rPr>
        <w:t>无非税收入</w:t>
      </w:r>
      <w:r>
        <w:rPr>
          <w:rFonts w:hint="eastAsia" w:ascii="仿宋_GB2312" w:hAnsi="仿宋" w:eastAsia="仿宋_GB2312"/>
          <w:sz w:val="32"/>
          <w:szCs w:val="32"/>
        </w:rPr>
        <w:t>。</w:t>
      </w:r>
    </w:p>
    <w:p w14:paraId="09CA2645">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4703C47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本单位年初预算未安排项目支出，无重点项目说明。</w:t>
      </w:r>
    </w:p>
    <w:p w14:paraId="51BD7EB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（四）部门管理转移支付情况</w:t>
      </w:r>
    </w:p>
    <w:p w14:paraId="5F6CF6A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val="en-US" w:eastAsia="zh-CN"/>
        </w:rPr>
        <w:t>本</w:t>
      </w:r>
      <w:r>
        <w:rPr>
          <w:rFonts w:hint="eastAsia" w:ascii="仿宋_GB2312" w:hAnsi="仿宋" w:eastAsia="仿宋_GB2312"/>
          <w:sz w:val="32"/>
          <w:szCs w:val="32"/>
        </w:rPr>
        <w:t>单位未安排预算，部门/单位管理转移支付表为空表。</w:t>
      </w:r>
    </w:p>
    <w:p w14:paraId="57061121">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（五）国有资本经营预算支出情况</w:t>
      </w:r>
    </w:p>
    <w:p w14:paraId="1565C8AE">
      <w:pPr>
        <w:widowControl/>
        <w:adjustRightInd w:val="0"/>
        <w:snapToGrid w:val="0"/>
        <w:spacing w:line="640" w:lineRule="exact"/>
        <w:ind w:firstLine="640" w:firstLineChars="200"/>
        <w:contextualSpacing/>
        <w:jc w:val="left"/>
        <w:rPr>
          <w:rFonts w:ascii="仿宋_GB2312" w:hAnsi="楷体" w:eastAsia="仿宋_GB2312"/>
          <w:sz w:val="32"/>
          <w:szCs w:val="32"/>
        </w:rPr>
      </w:pPr>
      <w:r>
        <w:rPr>
          <w:rFonts w:hint="eastAsia" w:ascii="仿宋_GB2312" w:hAnsi="楷体" w:eastAsia="仿宋_GB2312"/>
          <w:sz w:val="32"/>
          <w:szCs w:val="32"/>
        </w:rPr>
        <w:t>未安排预算，国有资本经营预算支出情况表为空表。</w:t>
      </w:r>
    </w:p>
    <w:p w14:paraId="1ED9B13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十、预算绩效管理情况</w:t>
      </w:r>
    </w:p>
    <w:p w14:paraId="1C62EBE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5</w:t>
      </w:r>
      <w:r>
        <w:rPr>
          <w:rFonts w:hint="eastAsia" w:ascii="楷体_GB2312" w:hAnsi="楷体" w:eastAsia="楷体_GB2312" w:cs="宋体"/>
          <w:b/>
          <w:bCs/>
          <w:kern w:val="0"/>
          <w:sz w:val="32"/>
          <w:szCs w:val="32"/>
        </w:rPr>
        <w:t>年预算绩效管理工作情况。</w:t>
      </w:r>
    </w:p>
    <w:p w14:paraId="5B5CCF1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按照《中共中央 国务院关于全面实施预算绩效管理的意见》《中共甘肃省委 甘肃省人民政府关于全面实施预算绩效管理的实施意见》等相关要求，我们将绩效理念和方法融入预算编制、执行、决算和监督全过程认真开展各项工作。</w:t>
      </w:r>
    </w:p>
    <w:p w14:paraId="072BA559">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年度，按照“谁申请资金，谁设置目标”的原则，纳入部门预算管理的</w:t>
      </w:r>
      <w:r>
        <w:rPr>
          <w:rFonts w:hint="eastAsia" w:ascii="仿宋_GB2312" w:hAnsi="CIDFont+F6" w:eastAsia="仿宋_GB2312"/>
          <w:color w:val="000000"/>
          <w:sz w:val="32"/>
          <w:szCs w:val="32"/>
        </w:rPr>
        <w:t>单位</w:t>
      </w:r>
      <w:r>
        <w:rPr>
          <w:rFonts w:hint="eastAsia" w:ascii="仿宋_GB2312" w:hAnsi="仿宋" w:eastAsia="仿宋_GB2312"/>
          <w:sz w:val="32"/>
          <w:szCs w:val="32"/>
        </w:rPr>
        <w:t>整体支出绩效目标</w:t>
      </w:r>
      <w:r>
        <w:rPr>
          <w:rFonts w:hint="eastAsia" w:ascii="仿宋_GB2312" w:hAnsi="仿宋" w:eastAsia="仿宋_GB2312"/>
          <w:sz w:val="32"/>
          <w:szCs w:val="32"/>
          <w:lang w:val="en-US" w:eastAsia="zh-CN"/>
        </w:rPr>
        <w:t>1</w:t>
      </w:r>
      <w:r>
        <w:rPr>
          <w:rFonts w:hint="eastAsia" w:ascii="仿宋_GB2312" w:hAnsi="仿宋" w:eastAsia="仿宋_GB2312"/>
          <w:sz w:val="32"/>
          <w:szCs w:val="32"/>
        </w:rPr>
        <w:t>个，按规定随年度预算一并公开项目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个，公开率为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49E41817">
      <w:pPr>
        <w:widowControl/>
        <w:adjustRightInd w:val="0"/>
        <w:snapToGrid w:val="0"/>
        <w:spacing w:line="640" w:lineRule="exact"/>
        <w:ind w:firstLine="643" w:firstLineChars="200"/>
        <w:contextualSpacing/>
        <w:jc w:val="left"/>
        <w:rPr>
          <w:rFonts w:hint="eastAsia" w:ascii="仿宋_GB2312" w:hAnsi="仿宋" w:eastAsia="仿宋_GB2312"/>
          <w:sz w:val="32"/>
          <w:szCs w:val="32"/>
        </w:rPr>
      </w:pPr>
      <w:r>
        <w:rPr>
          <w:rFonts w:hint="eastAsia" w:ascii="仿宋_GB2312" w:hAnsi="仿宋" w:eastAsia="仿宋_GB2312"/>
          <w:b/>
          <w:sz w:val="32"/>
          <w:szCs w:val="32"/>
        </w:rPr>
        <w:t>2.绩效运行监控情况。</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年7月，组织开展1-6月绩效运行监控项目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个，占本</w:t>
      </w:r>
      <w:r>
        <w:rPr>
          <w:rFonts w:hint="eastAsia" w:ascii="仿宋_GB2312" w:hAnsi="CIDFont+F6" w:eastAsia="仿宋_GB2312"/>
          <w:color w:val="000000"/>
          <w:sz w:val="32"/>
          <w:szCs w:val="32"/>
        </w:rPr>
        <w:t>单位</w:t>
      </w:r>
      <w:r>
        <w:rPr>
          <w:rFonts w:hint="eastAsia" w:ascii="仿宋_GB2312" w:hAnsi="仿宋" w:eastAsia="仿宋_GB2312"/>
          <w:sz w:val="32"/>
          <w:szCs w:val="32"/>
        </w:rPr>
        <w:t>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%。截至7月底，如期完成预算执行和绩效目标指标值的项目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%。“双监控”发现存在的问题和主要原因是：</w:t>
      </w:r>
      <w:r>
        <w:rPr>
          <w:rFonts w:hint="eastAsia" w:ascii="仿宋_GB2312" w:hAnsi="仿宋" w:eastAsia="仿宋_GB2312"/>
          <w:sz w:val="32"/>
          <w:szCs w:val="32"/>
          <w:lang w:eastAsia="zh-CN"/>
        </w:rPr>
        <w:t>资金未及时兑付</w:t>
      </w:r>
      <w:r>
        <w:rPr>
          <w:rFonts w:hint="eastAsia" w:ascii="仿宋_GB2312" w:hAnsi="仿宋" w:eastAsia="仿宋_GB2312"/>
          <w:sz w:val="32"/>
          <w:szCs w:val="32"/>
        </w:rPr>
        <w:t>。开展1-9月绩效运行监控项目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个，占本单位项目的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%。截至10月底，如期完成预算执行和绩效目标指标值的项目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%。“双监控”发现存在的问题和主要原因是：</w:t>
      </w:r>
      <w:r>
        <w:rPr>
          <w:rFonts w:hint="eastAsia" w:ascii="仿宋_GB2312" w:hAnsi="仿宋" w:eastAsia="仿宋_GB2312"/>
          <w:sz w:val="32"/>
          <w:szCs w:val="32"/>
          <w:lang w:eastAsia="zh-CN"/>
        </w:rPr>
        <w:t>资金未及时兑付</w:t>
      </w:r>
      <w:r>
        <w:rPr>
          <w:rFonts w:hint="eastAsia" w:ascii="仿宋_GB2312" w:hAnsi="仿宋" w:eastAsia="仿宋_GB2312"/>
          <w:sz w:val="32"/>
          <w:szCs w:val="32"/>
        </w:rPr>
        <w:t>。绩效运行监控在部门内部通报整改情况：</w:t>
      </w:r>
      <w:r>
        <w:rPr>
          <w:rFonts w:hint="eastAsia" w:ascii="仿宋_GB2312" w:hAnsi="仿宋" w:eastAsia="仿宋_GB2312"/>
          <w:sz w:val="32"/>
          <w:szCs w:val="32"/>
          <w:lang w:eastAsia="zh-CN"/>
        </w:rPr>
        <w:t>及时协商财政兑付资金</w:t>
      </w:r>
      <w:r>
        <w:rPr>
          <w:rFonts w:hint="eastAsia" w:ascii="仿宋_GB2312" w:hAnsi="仿宋" w:eastAsia="仿宋_GB2312"/>
          <w:sz w:val="32"/>
          <w:szCs w:val="32"/>
        </w:rPr>
        <w:t>。</w:t>
      </w:r>
    </w:p>
    <w:p w14:paraId="76B03510">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3.绩效自评开展情况。</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年度，组织开展绩效自评项目共</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个，其中，部门（单位）整体支出</w:t>
      </w:r>
      <w:r>
        <w:rPr>
          <w:rFonts w:hint="eastAsia" w:ascii="仿宋_GB2312" w:hAnsi="仿宋" w:eastAsia="仿宋_GB2312"/>
          <w:sz w:val="32"/>
          <w:szCs w:val="32"/>
          <w:lang w:val="en-US" w:eastAsia="zh-CN"/>
        </w:rPr>
        <w:t>1</w:t>
      </w:r>
      <w:r>
        <w:rPr>
          <w:rFonts w:hint="eastAsia" w:ascii="仿宋_GB2312" w:hAnsi="仿宋" w:eastAsia="仿宋_GB2312"/>
          <w:sz w:val="32"/>
          <w:szCs w:val="32"/>
        </w:rPr>
        <w:t>个，项目支出</w:t>
      </w:r>
      <w:r>
        <w:rPr>
          <w:rFonts w:hint="eastAsia" w:ascii="仿宋_GB2312" w:hAnsi="仿宋" w:eastAsia="仿宋_GB2312"/>
          <w:sz w:val="32"/>
          <w:szCs w:val="32"/>
          <w:lang w:val="en-US" w:eastAsia="zh-CN"/>
        </w:rPr>
        <w:t>1</w:t>
      </w:r>
      <w:r>
        <w:rPr>
          <w:rFonts w:hint="eastAsia" w:ascii="仿宋_GB2312" w:hAnsi="仿宋" w:eastAsia="仿宋_GB2312"/>
          <w:sz w:val="32"/>
          <w:szCs w:val="32"/>
        </w:rPr>
        <w:t>个，转移支付项目</w:t>
      </w:r>
      <w:r>
        <w:rPr>
          <w:rFonts w:hint="eastAsia" w:ascii="仿宋_GB2312" w:hAnsi="仿宋" w:eastAsia="仿宋_GB2312"/>
          <w:sz w:val="32"/>
          <w:szCs w:val="32"/>
          <w:lang w:val="en-US" w:eastAsia="zh-CN"/>
        </w:rPr>
        <w:t>2</w:t>
      </w:r>
      <w:r>
        <w:rPr>
          <w:rFonts w:hint="eastAsia" w:ascii="仿宋_GB2312" w:hAnsi="仿宋" w:eastAsia="仿宋_GB2312"/>
          <w:sz w:val="32"/>
          <w:szCs w:val="32"/>
        </w:rPr>
        <w:t>个，绩效自评覆盖率为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%。绩效自评结果随部门决算报送财政和随决算公开情况：</w:t>
      </w:r>
      <w:r>
        <w:rPr>
          <w:rFonts w:hint="eastAsia" w:ascii="仿宋_GB2312" w:hAnsi="仿宋" w:eastAsia="仿宋_GB2312"/>
          <w:sz w:val="32"/>
          <w:szCs w:val="32"/>
          <w:lang w:eastAsia="zh-CN"/>
        </w:rPr>
        <w:t>及时公开</w:t>
      </w:r>
      <w:r>
        <w:rPr>
          <w:rFonts w:hint="eastAsia" w:ascii="仿宋_GB2312" w:hAnsi="仿宋" w:eastAsia="仿宋_GB2312"/>
          <w:sz w:val="32"/>
          <w:szCs w:val="32"/>
        </w:rPr>
        <w:t>。</w:t>
      </w:r>
    </w:p>
    <w:p w14:paraId="01182EBE">
      <w:pPr>
        <w:widowControl/>
        <w:adjustRightInd w:val="0"/>
        <w:snapToGrid w:val="0"/>
        <w:spacing w:line="640" w:lineRule="exact"/>
        <w:ind w:firstLine="643" w:firstLineChars="200"/>
        <w:contextualSpacing/>
        <w:jc w:val="left"/>
        <w:rPr>
          <w:rFonts w:hint="eastAsia" w:ascii="仿宋_GB2312" w:hAnsi="仿宋" w:eastAsia="仿宋_GB2312"/>
          <w:sz w:val="32"/>
          <w:szCs w:val="32"/>
        </w:rPr>
      </w:pPr>
      <w:r>
        <w:rPr>
          <w:rFonts w:hint="eastAsia" w:ascii="仿宋_GB2312" w:hAnsi="仿宋" w:eastAsia="仿宋_GB2312"/>
          <w:b/>
          <w:sz w:val="32"/>
          <w:szCs w:val="32"/>
        </w:rPr>
        <w:t>4.绩效结果应用情况。</w:t>
      </w:r>
      <w:r>
        <w:rPr>
          <w:rFonts w:hint="eastAsia" w:ascii="仿宋_GB2312" w:hAnsi="仿宋" w:eastAsia="仿宋_GB2312"/>
          <w:sz w:val="32"/>
          <w:szCs w:val="32"/>
        </w:rPr>
        <w:t>根据202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年度绩效运行监控、绩效自评等情况，当年盘活财政资金</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年度增加（减少）部门预</w:t>
      </w:r>
    </w:p>
    <w:p w14:paraId="06773639">
      <w:pPr>
        <w:widowControl/>
        <w:adjustRightInd w:val="0"/>
        <w:snapToGrid w:val="0"/>
        <w:spacing w:line="640" w:lineRule="exact"/>
        <w:contextualSpacing/>
        <w:jc w:val="left"/>
        <w:rPr>
          <w:rFonts w:ascii="仿宋_GB2312" w:hAnsi="仿宋" w:eastAsia="仿宋_GB2312"/>
          <w:sz w:val="32"/>
          <w:szCs w:val="32"/>
        </w:rPr>
      </w:pPr>
      <w:r>
        <w:rPr>
          <w:rFonts w:hint="eastAsia" w:ascii="仿宋_GB2312" w:hAnsi="仿宋" w:eastAsia="仿宋_GB2312"/>
          <w:sz w:val="32"/>
          <w:szCs w:val="32"/>
        </w:rPr>
        <w:t>算项目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个，增长率/压减率</w:t>
      </w:r>
      <w:r>
        <w:rPr>
          <w:rFonts w:hint="eastAsia" w:ascii="仿宋_GB2312" w:hAnsi="仿宋" w:eastAsia="仿宋_GB2312"/>
          <w:sz w:val="32"/>
          <w:szCs w:val="32"/>
          <w:lang w:val="en-US" w:eastAsia="zh-CN"/>
        </w:rPr>
        <w:t>0</w:t>
      </w:r>
      <w:r>
        <w:rPr>
          <w:rFonts w:hint="eastAsia" w:ascii="仿宋_GB2312" w:hAnsi="仿宋" w:eastAsia="仿宋_GB2312"/>
          <w:sz w:val="32"/>
          <w:szCs w:val="32"/>
        </w:rPr>
        <w:t>%。同时对政策和项目资金管理作出调整的</w:t>
      </w:r>
      <w:r>
        <w:rPr>
          <w:rFonts w:hint="eastAsia" w:ascii="仿宋_GB2312" w:hAnsi="仿宋" w:eastAsia="仿宋_GB2312"/>
          <w:sz w:val="32"/>
          <w:szCs w:val="32"/>
          <w:lang w:val="en-US" w:eastAsia="zh-CN"/>
        </w:rPr>
        <w:t>0</w:t>
      </w:r>
      <w:r>
        <w:rPr>
          <w:rFonts w:hint="eastAsia" w:ascii="仿宋_GB2312" w:hAnsi="仿宋" w:eastAsia="仿宋_GB2312"/>
          <w:sz w:val="32"/>
          <w:szCs w:val="32"/>
        </w:rPr>
        <w:t>个。</w:t>
      </w:r>
    </w:p>
    <w:p w14:paraId="7067FDF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6</w:t>
      </w:r>
      <w:r>
        <w:rPr>
          <w:rFonts w:hint="eastAsia" w:ascii="楷体_GB2312" w:hAnsi="楷体" w:eastAsia="楷体_GB2312" w:cs="宋体"/>
          <w:b/>
          <w:bCs/>
          <w:kern w:val="0"/>
          <w:sz w:val="32"/>
          <w:szCs w:val="32"/>
        </w:rPr>
        <w:t>年绩效目标编制情况</w:t>
      </w:r>
    </w:p>
    <w:p w14:paraId="5ED3C404">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年，纳入部门/单位预算绩效目标管理的项目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个。其中，部门整体支出绩效目标围绕部门管理、履职效果、能力建设三个维度，设置二级指标</w:t>
      </w:r>
      <w:r>
        <w:rPr>
          <w:rFonts w:hint="eastAsia" w:ascii="仿宋_GB2312" w:hAnsi="仿宋" w:eastAsia="仿宋_GB2312"/>
          <w:sz w:val="32"/>
          <w:szCs w:val="32"/>
          <w:lang w:val="en-US" w:eastAsia="zh-CN"/>
        </w:rPr>
        <w:t>18</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28</w:t>
      </w:r>
      <w:r>
        <w:rPr>
          <w:rFonts w:hint="eastAsia" w:ascii="仿宋_GB2312" w:hAnsi="仿宋" w:eastAsia="仿宋_GB2312"/>
          <w:sz w:val="32"/>
          <w:szCs w:val="32"/>
        </w:rPr>
        <w:t>个。各项绩效目标内容指向明确、细化量化、合理可行，符合规定的格式要求。</w:t>
      </w:r>
    </w:p>
    <w:p w14:paraId="1B6BE29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476EBD1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4CC6C57A">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7908A71B">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4CE172D2">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6D5803A7">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696C919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部门（单位）支出预算的组成部分，是各部门（单位）为完成其特定的行政任务或事业发展目标，在基本支出预算之外编制的年度项目支出计划。</w:t>
      </w:r>
    </w:p>
    <w:p w14:paraId="3E4D9AA1">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023FBA64">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0E1784BB">
      <w:pPr>
        <w:adjustRightInd w:val="0"/>
        <w:snapToGrid w:val="0"/>
        <w:spacing w:line="640" w:lineRule="exact"/>
        <w:ind w:firstLine="640" w:firstLineChars="200"/>
        <w:contextualSpacing/>
        <w:rPr>
          <w:rFonts w:hint="eastAsia" w:ascii="仿宋_GB2312" w:hAnsi="CIDFont+F6" w:eastAsia="仿宋_GB2312"/>
          <w:color w:val="000000"/>
          <w:sz w:val="32"/>
          <w:szCs w:val="32"/>
        </w:rPr>
      </w:pPr>
    </w:p>
    <w:p w14:paraId="6778A8B4">
      <w:pPr>
        <w:adjustRightInd w:val="0"/>
        <w:snapToGrid w:val="0"/>
        <w:spacing w:line="640" w:lineRule="exact"/>
        <w:ind w:firstLine="640" w:firstLineChars="200"/>
        <w:contextualSpacing/>
        <w:rPr>
          <w:rFonts w:hint="eastAsia" w:ascii="仿宋_GB2312" w:hAnsi="CIDFont+F6" w:eastAsia="仿宋_GB2312"/>
          <w:color w:val="000000"/>
          <w:sz w:val="32"/>
          <w:szCs w:val="32"/>
        </w:rPr>
      </w:pPr>
      <w:bookmarkStart w:id="0" w:name="_GoBack"/>
      <w:bookmarkEnd w:id="0"/>
    </w:p>
    <w:p w14:paraId="6FB1902C">
      <w:pPr>
        <w:adjustRightInd w:val="0"/>
        <w:snapToGrid w:val="0"/>
        <w:spacing w:line="640" w:lineRule="exact"/>
        <w:ind w:right="1120"/>
        <w:contextualSpacing/>
        <w:jc w:val="right"/>
        <w:rPr>
          <w:rFonts w:hint="eastAsia" w:ascii="仿宋_GB2312" w:hAnsi="CIDFont+F6" w:eastAsia="仿宋_GB2312"/>
          <w:color w:val="000000"/>
          <w:sz w:val="32"/>
          <w:szCs w:val="32"/>
          <w:lang w:eastAsia="zh-CN"/>
        </w:rPr>
      </w:pPr>
      <w:r>
        <w:rPr>
          <w:rFonts w:hint="eastAsia" w:ascii="仿宋_GB2312" w:hAnsi="CIDFont+F6" w:eastAsia="仿宋_GB2312"/>
          <w:color w:val="000000"/>
          <w:sz w:val="32"/>
          <w:szCs w:val="32"/>
          <w:lang w:eastAsia="zh-CN"/>
        </w:rPr>
        <w:t>华池县动物疫病预防控制中心</w:t>
      </w:r>
    </w:p>
    <w:p w14:paraId="3BCA4CE5">
      <w:pPr>
        <w:adjustRightInd w:val="0"/>
        <w:snapToGrid w:val="0"/>
        <w:spacing w:line="640" w:lineRule="exact"/>
        <w:ind w:right="1120"/>
        <w:contextualSpacing/>
        <w:jc w:val="right"/>
        <w:rPr>
          <w:rFonts w:hint="eastAsia" w:ascii="仿宋_GB2312" w:hAnsi="CIDFont+F6" w:eastAsia="仿宋_GB2312"/>
          <w:color w:val="000000"/>
          <w:sz w:val="32"/>
          <w:szCs w:val="32"/>
        </w:rPr>
      </w:pPr>
      <w:r>
        <w:rPr>
          <w:rFonts w:hint="eastAsia" w:ascii="仿宋_GB2312" w:hAnsi="CIDFont+F6" w:eastAsia="仿宋_GB2312"/>
          <w:color w:val="000000"/>
          <w:sz w:val="32"/>
          <w:szCs w:val="32"/>
          <w:lang w:val="en-US" w:eastAsia="zh-CN"/>
        </w:rPr>
        <w:t>2026</w:t>
      </w:r>
      <w:r>
        <w:rPr>
          <w:rFonts w:hint="eastAsia" w:ascii="仿宋_GB2312" w:hAnsi="CIDFont+F6" w:eastAsia="仿宋_GB2312"/>
          <w:color w:val="000000"/>
          <w:sz w:val="32"/>
          <w:szCs w:val="32"/>
        </w:rPr>
        <w:t>年</w:t>
      </w:r>
      <w:r>
        <w:rPr>
          <w:rFonts w:hint="eastAsia" w:ascii="仿宋_GB2312" w:hAnsi="CIDFont+F6" w:eastAsia="仿宋_GB2312"/>
          <w:color w:val="000000"/>
          <w:sz w:val="32"/>
          <w:szCs w:val="32"/>
          <w:lang w:val="en-US" w:eastAsia="zh-CN"/>
        </w:rPr>
        <w:t>3</w:t>
      </w:r>
      <w:r>
        <w:rPr>
          <w:rFonts w:hint="eastAsia" w:ascii="仿宋_GB2312" w:hAnsi="CIDFont+F6" w:eastAsia="仿宋_GB2312"/>
          <w:color w:val="000000"/>
          <w:sz w:val="32"/>
          <w:szCs w:val="32"/>
        </w:rPr>
        <w:t>月</w:t>
      </w:r>
      <w:r>
        <w:rPr>
          <w:rFonts w:hint="eastAsia" w:ascii="仿宋_GB2312" w:hAnsi="CIDFont+F6" w:eastAsia="仿宋_GB2312"/>
          <w:color w:val="000000"/>
          <w:sz w:val="32"/>
          <w:szCs w:val="32"/>
          <w:lang w:val="en-US" w:eastAsia="zh-CN"/>
        </w:rPr>
        <w:t>11</w:t>
      </w:r>
      <w:r>
        <w:rPr>
          <w:rFonts w:hint="eastAsia" w:ascii="仿宋_GB2312" w:hAnsi="CIDFont+F6" w:eastAsia="仿宋_GB2312"/>
          <w:color w:val="000000"/>
          <w:sz w:val="32"/>
          <w:szCs w:val="32"/>
        </w:rPr>
        <w:t>日</w:t>
      </w:r>
    </w:p>
    <w:p w14:paraId="063C63C0">
      <w:pPr>
        <w:adjustRightInd w:val="0"/>
        <w:snapToGrid w:val="0"/>
        <w:spacing w:line="640" w:lineRule="exact"/>
        <w:ind w:right="1120"/>
        <w:contextualSpacing/>
        <w:jc w:val="both"/>
        <w:rPr>
          <w:rFonts w:hint="eastAsia" w:ascii="仿宋_GB2312" w:hAnsi="CIDFont+F6" w:eastAsia="仿宋_GB2312"/>
          <w:color w:val="000000"/>
          <w:sz w:val="32"/>
          <w:szCs w:val="32"/>
        </w:rPr>
      </w:pPr>
    </w:p>
    <w:p w14:paraId="287BD298">
      <w:pPr>
        <w:adjustRightInd w:val="0"/>
        <w:snapToGrid w:val="0"/>
        <w:spacing w:line="640" w:lineRule="exact"/>
        <w:ind w:left="1598" w:leftChars="304" w:right="1120" w:hanging="960" w:hangingChars="300"/>
        <w:contextualSpacing/>
        <w:jc w:val="both"/>
        <w:rPr>
          <w:rFonts w:hint="eastAsia" w:ascii="仿宋_GB2312" w:hAnsi="CIDFont+F6" w:eastAsia="仿宋_GB2312" w:cs="Times New Roman"/>
          <w:color w:val="000000"/>
          <w:spacing w:val="-17"/>
          <w:sz w:val="32"/>
          <w:szCs w:val="32"/>
          <w:lang w:eastAsia="zh-CN"/>
        </w:rPr>
      </w:pP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1.</w:t>
      </w:r>
      <w:r>
        <w:rPr>
          <w:rFonts w:hint="eastAsia" w:ascii="仿宋_GB2312" w:hAnsi="CIDFont+F6" w:eastAsia="仿宋_GB2312"/>
          <w:color w:val="000000"/>
          <w:spacing w:val="-17"/>
          <w:sz w:val="32"/>
          <w:szCs w:val="32"/>
          <w:lang w:eastAsia="zh-CN"/>
        </w:rPr>
        <w:t>华池县动</w:t>
      </w:r>
      <w:r>
        <w:rPr>
          <w:rFonts w:hint="eastAsia" w:ascii="仿宋_GB2312" w:hAnsi="CIDFont+F6" w:eastAsia="仿宋_GB2312" w:cs="Times New Roman"/>
          <w:color w:val="000000"/>
          <w:spacing w:val="-17"/>
          <w:sz w:val="32"/>
          <w:szCs w:val="32"/>
          <w:lang w:eastAsia="zh-CN"/>
        </w:rPr>
        <w:t>物疫病预防控制中心202</w:t>
      </w:r>
      <w:r>
        <w:rPr>
          <w:rFonts w:hint="eastAsia" w:ascii="仿宋_GB2312" w:hAnsi="CIDFont+F6" w:eastAsia="仿宋_GB2312" w:cs="Times New Roman"/>
          <w:color w:val="000000"/>
          <w:spacing w:val="-17"/>
          <w:sz w:val="32"/>
          <w:szCs w:val="32"/>
          <w:lang w:val="en-US" w:eastAsia="zh-CN"/>
        </w:rPr>
        <w:t>6</w:t>
      </w:r>
      <w:r>
        <w:rPr>
          <w:rFonts w:hint="eastAsia" w:ascii="仿宋_GB2312" w:hAnsi="CIDFont+F6" w:eastAsia="仿宋_GB2312" w:cs="Times New Roman"/>
          <w:color w:val="000000"/>
          <w:spacing w:val="-17"/>
          <w:sz w:val="32"/>
          <w:szCs w:val="32"/>
          <w:lang w:eastAsia="zh-CN"/>
        </w:rPr>
        <w:t>年单位预算公开表</w:t>
      </w:r>
    </w:p>
    <w:p w14:paraId="22DB4760">
      <w:pPr>
        <w:tabs>
          <w:tab w:val="left" w:pos="6118"/>
        </w:tabs>
        <w:bidi w:val="0"/>
        <w:ind w:left="1596" w:leftChars="760" w:firstLine="0" w:firstLineChars="0"/>
        <w:jc w:val="left"/>
      </w:pPr>
      <w:r>
        <w:rPr>
          <w:rFonts w:hint="eastAsia" w:ascii="仿宋_GB2312" w:hAnsi="宋体" w:eastAsia="仿宋_GB2312" w:cs="宋体"/>
          <w:kern w:val="0"/>
          <w:sz w:val="32"/>
          <w:szCs w:val="32"/>
        </w:rPr>
        <w:t>2.</w:t>
      </w:r>
      <w:r>
        <w:rPr>
          <w:rFonts w:hint="eastAsia" w:ascii="仿宋_GB2312" w:hAnsi="CIDFont+F6" w:eastAsia="仿宋_GB2312"/>
          <w:color w:val="000000"/>
          <w:sz w:val="32"/>
          <w:szCs w:val="32"/>
          <w:lang w:eastAsia="zh-CN"/>
        </w:rPr>
        <w:t>华池县动物疫病预防控制中心</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CIDFont+F6" w:eastAsia="仿宋_GB2312"/>
          <w:color w:val="000000"/>
          <w:sz w:val="32"/>
          <w:szCs w:val="32"/>
        </w:rPr>
        <w:t>单位</w:t>
      </w:r>
      <w:r>
        <w:rPr>
          <w:rFonts w:hint="eastAsia" w:ascii="仿宋_GB2312" w:hAnsi="宋体" w:eastAsia="仿宋_GB2312" w:cs="宋体"/>
          <w:kern w:val="0"/>
          <w:sz w:val="32"/>
          <w:szCs w:val="32"/>
        </w:rPr>
        <w:t>整体支出绩效目标及预算项目绩效目标表</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imesNewRomanPSMT">
    <w:altName w:val="Times New Roman"/>
    <w:panose1 w:val="00000000000000000000"/>
    <w:charset w:val="00"/>
    <w:family w:val="roma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imesNewRomanPS-BoldM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IDFont+F6">
    <w:altName w:val="Segoe Print"/>
    <w:panose1 w:val="00000000000000000000"/>
    <w:charset w:val="00"/>
    <w:family w:val="roman"/>
    <w:pitch w:val="default"/>
    <w:sig w:usb0="00000000" w:usb1="00000000" w:usb2="00000000" w:usb3="00000000" w:csb0="00000000" w:csb1="00000000"/>
  </w:font>
  <w:font w:name="CIDFont+F4">
    <w:altName w:val="Segoe Print"/>
    <w:panose1 w:val="00000000000000000000"/>
    <w:charset w:val="00"/>
    <w:family w:val="roman"/>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BF69E">
    <w:pPr>
      <w:pStyle w:val="5"/>
      <w:jc w:val="center"/>
    </w:pPr>
  </w:p>
  <w:p w14:paraId="18AFAB9B">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854A">
    <w:pPr>
      <w:pStyle w:val="5"/>
      <w:jc w:val="center"/>
    </w:pPr>
    <w:r>
      <w:fldChar w:fldCharType="begin"/>
    </w:r>
    <w:r>
      <w:instrText xml:space="preserve">PAGE   \* MERGEFORMAT</w:instrText>
    </w:r>
    <w:r>
      <w:fldChar w:fldCharType="separate"/>
    </w:r>
    <w:r>
      <w:rPr>
        <w:lang w:val="zh-CN"/>
      </w:rPr>
      <w:t>27</w:t>
    </w:r>
    <w:r>
      <w:fldChar w:fldCharType="end"/>
    </w:r>
  </w:p>
  <w:p w14:paraId="7F222DAC">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3AB8B0"/>
    <w:multiLevelType w:val="singleLevel"/>
    <w:tmpl w:val="FC3AB8B0"/>
    <w:lvl w:ilvl="0" w:tentative="0">
      <w:start w:val="1"/>
      <w:numFmt w:val="chineseCounting"/>
      <w:suff w:val="nothing"/>
      <w:lvlText w:val="（%1）"/>
      <w:lvlJc w:val="left"/>
      <w:rPr>
        <w:rFonts w:hint="eastAsia"/>
      </w:rPr>
    </w:lvl>
  </w:abstractNum>
  <w:abstractNum w:abstractNumId="1">
    <w:nsid w:val="59B29705"/>
    <w:multiLevelType w:val="singleLevel"/>
    <w:tmpl w:val="59B29705"/>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E03DF9"/>
    <w:rsid w:val="113741D2"/>
    <w:rsid w:val="18330BA7"/>
    <w:rsid w:val="1D34261E"/>
    <w:rsid w:val="41322966"/>
    <w:rsid w:val="42A05423"/>
    <w:rsid w:val="4C433C79"/>
    <w:rsid w:val="4E775E97"/>
    <w:rsid w:val="4F13013D"/>
    <w:rsid w:val="527E074E"/>
    <w:rsid w:val="56393C72"/>
    <w:rsid w:val="579503FF"/>
    <w:rsid w:val="59C26B25"/>
    <w:rsid w:val="60535296"/>
    <w:rsid w:val="72FD2525"/>
    <w:rsid w:val="78106856"/>
    <w:rsid w:val="FF7FF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9">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autoRedefine/>
    <w:qFormat/>
    <w:uiPriority w:val="0"/>
    <w:pPr>
      <w:jc w:val="left"/>
    </w:pPr>
  </w:style>
  <w:style w:type="paragraph" w:styleId="4">
    <w:name w:val="Balloon Text"/>
    <w:basedOn w:val="1"/>
    <w:link w:val="15"/>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9"/>
    <w:autoRedefine/>
    <w:qFormat/>
    <w:uiPriority w:val="0"/>
    <w:rPr>
      <w:b/>
      <w:bCs/>
    </w:rPr>
  </w:style>
  <w:style w:type="character" w:styleId="10">
    <w:name w:val="line number"/>
    <w:autoRedefine/>
    <w:qFormat/>
    <w:uiPriority w:val="0"/>
  </w:style>
  <w:style w:type="character" w:styleId="11">
    <w:name w:val="annotation reference"/>
    <w:autoRedefine/>
    <w:qFormat/>
    <w:uiPriority w:val="0"/>
    <w:rPr>
      <w:sz w:val="21"/>
      <w:szCs w:val="21"/>
    </w:rPr>
  </w:style>
  <w:style w:type="character" w:customStyle="1" w:styleId="12">
    <w:name w:val="页脚 Char"/>
    <w:link w:val="5"/>
    <w:qFormat/>
    <w:uiPriority w:val="0"/>
    <w:rPr>
      <w:sz w:val="18"/>
      <w:szCs w:val="18"/>
    </w:rPr>
  </w:style>
  <w:style w:type="character" w:customStyle="1" w:styleId="13">
    <w:name w:val="页眉 Char"/>
    <w:link w:val="6"/>
    <w:autoRedefine/>
    <w:qFormat/>
    <w:uiPriority w:val="0"/>
    <w:rPr>
      <w:sz w:val="18"/>
      <w:szCs w:val="18"/>
    </w:rPr>
  </w:style>
  <w:style w:type="paragraph" w:styleId="14">
    <w:name w:val="List Paragraph"/>
    <w:basedOn w:val="1"/>
    <w:qFormat/>
    <w:uiPriority w:val="0"/>
    <w:pPr>
      <w:ind w:firstLine="420" w:firstLineChars="200"/>
    </w:pPr>
  </w:style>
  <w:style w:type="character" w:customStyle="1" w:styleId="15">
    <w:name w:val="批注框文本 Char"/>
    <w:link w:val="4"/>
    <w:qFormat/>
    <w:uiPriority w:val="0"/>
    <w:rPr>
      <w:kern w:val="2"/>
      <w:sz w:val="18"/>
      <w:szCs w:val="18"/>
    </w:rPr>
  </w:style>
  <w:style w:type="character" w:customStyle="1" w:styleId="16">
    <w:name w:val="标题 1 Char"/>
    <w:link w:val="2"/>
    <w:autoRedefine/>
    <w:qFormat/>
    <w:uiPriority w:val="0"/>
    <w:rPr>
      <w:rFonts w:ascii="Times New Roman" w:hAnsi="Times New Roman"/>
      <w:b/>
      <w:bCs/>
      <w:kern w:val="44"/>
      <w:sz w:val="44"/>
      <w:szCs w:val="44"/>
    </w:rPr>
  </w:style>
  <w:style w:type="paragraph" w:customStyle="1" w:styleId="17">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8">
    <w:name w:val="批注文字 Char"/>
    <w:link w:val="3"/>
    <w:qFormat/>
    <w:uiPriority w:val="0"/>
    <w:rPr>
      <w:kern w:val="2"/>
      <w:sz w:val="21"/>
      <w:szCs w:val="22"/>
    </w:rPr>
  </w:style>
  <w:style w:type="character" w:customStyle="1" w:styleId="19">
    <w:name w:val="批注主题 Char"/>
    <w:link w:val="7"/>
    <w:qFormat/>
    <w:uiPriority w:val="0"/>
    <w:rPr>
      <w:b/>
      <w:bCs/>
      <w:kern w:val="2"/>
      <w:sz w:val="21"/>
      <w:szCs w:val="22"/>
    </w:rPr>
  </w:style>
  <w:style w:type="character" w:customStyle="1" w:styleId="20">
    <w:name w:val="fontstyle01"/>
    <w:autoRedefine/>
    <w:qFormat/>
    <w:uiPriority w:val="0"/>
    <w:rPr>
      <w:rFonts w:hint="eastAsia" w:ascii="仿宋_GB2312" w:eastAsia="仿宋_GB2312"/>
      <w:color w:val="000000"/>
      <w:sz w:val="32"/>
      <w:szCs w:val="32"/>
    </w:rPr>
  </w:style>
  <w:style w:type="character" w:customStyle="1" w:styleId="21">
    <w:name w:val="fontstyle21"/>
    <w:autoRedefine/>
    <w:qFormat/>
    <w:uiPriority w:val="0"/>
    <w:rPr>
      <w:rFonts w:hint="default" w:ascii="TimesNewRomanPSMT" w:hAnsi="TimesNewRomanPSMT"/>
      <w:color w:val="000000"/>
      <w:sz w:val="32"/>
      <w:szCs w:val="32"/>
    </w:rPr>
  </w:style>
  <w:style w:type="character" w:customStyle="1" w:styleId="22">
    <w:name w:val="fontstyle11"/>
    <w:autoRedefine/>
    <w:qFormat/>
    <w:uiPriority w:val="0"/>
    <w:rPr>
      <w:rFonts w:hint="eastAsia" w:ascii="仿宋_GB2312" w:eastAsia="仿宋_GB2312"/>
      <w:color w:val="000000"/>
      <w:sz w:val="32"/>
      <w:szCs w:val="32"/>
    </w:rPr>
  </w:style>
  <w:style w:type="character" w:customStyle="1" w:styleId="23">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11</Pages>
  <Words>5170</Words>
  <Characters>5639</Characters>
  <Lines>68</Lines>
  <Paragraphs>19</Paragraphs>
  <TotalTime>6</TotalTime>
  <ScaleCrop>false</ScaleCrop>
  <LinksUpToDate>false</LinksUpToDate>
  <CharactersWithSpaces>5972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2024-01-30T17:03:00Z</dcterms:created>
  <dc:creator>home</dc:creator>
  <cp:lastModifiedBy>鶯児</cp:lastModifiedBy>
  <cp:lastPrinted>2026-03-11T08:51:18Z</cp:lastPrinted>
  <dcterms:modified xsi:type="dcterms:W3CDTF">2026-03-11T08:51:29Z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4746AA2B63644A919A7677ADD6665D0C</vt:lpwstr>
  </property>
  <property fmtid="{D5CDD505-2E9C-101B-9397-08002B2CF9AE}" pid="4" name="KSOTemplateDocerSaveRecord">
    <vt:lpwstr>eyJoZGlkIjoiODgzMGJlMTQwOTU0ZWMxN2VkNjRkYzQ5N2RkZTI2NmMiLCJ1c2VySWQiOiIzODMzMjg5NDcifQ==</vt:lpwstr>
  </property>
</Properties>
</file>