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6DC05763">
      <w:pPr>
        <w:spacing w:line="660" w:lineRule="exact"/>
        <w:jc w:val="center"/>
        <w:rPr>
          <w:rFonts w:ascii="宋体" w:hAnsi="宋体" w:cs="宋体"/>
          <w:b/>
          <w:bCs/>
          <w:kern w:val="0"/>
          <w:sz w:val="44"/>
          <w:szCs w:val="44"/>
        </w:rPr>
      </w:pPr>
      <w:r>
        <w:rPr>
          <w:rFonts w:hint="eastAsia" w:ascii="宋体" w:hAnsi="宋体" w:cs="宋体"/>
          <w:b/>
          <w:bCs/>
          <w:kern w:val="0"/>
          <w:sz w:val="44"/>
          <w:szCs w:val="44"/>
        </w:rPr>
        <w:t>华池县元城镇元城小学</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一、单位职责</w:t>
      </w:r>
    </w:p>
    <w:p w14:paraId="625F3D4D">
      <w:pPr>
        <w:spacing w:line="600" w:lineRule="exact"/>
        <w:ind w:firstLine="640" w:firstLineChars="200"/>
        <w:rPr>
          <w:rFonts w:hint="eastAsia" w:ascii="仿宋_GB2312" w:hAnsi="仿宋" w:eastAsia="仿宋_GB2312" w:cs="宋体"/>
          <w:bCs/>
          <w:kern w:val="0"/>
          <w:sz w:val="32"/>
          <w:szCs w:val="32"/>
        </w:rPr>
      </w:pPr>
      <w:r>
        <w:rPr>
          <w:rFonts w:hint="eastAsia" w:ascii="仿宋_GB2312" w:hAnsi="仿宋" w:eastAsia="仿宋_GB2312" w:cs="宋体"/>
          <w:bCs/>
          <w:kern w:val="0"/>
          <w:sz w:val="32"/>
          <w:szCs w:val="32"/>
        </w:rPr>
        <w:t>华池县元城元城镇元城小学属全额拨款事业单位，隶属于华池县教育局，主要职责是负责普及本辖区内及周边附近乡村适龄少年九年义务教育工作。</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23091B34">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bCs/>
          <w:kern w:val="0"/>
          <w:sz w:val="32"/>
          <w:szCs w:val="32"/>
        </w:rPr>
        <w:t>华池县元城元城镇元城小学内设机构3个处室（教务处、政教处、总务处），教务处主要负责学校全盘教学工作，教学安排、学情检测等；政教处主要负责学校的德育及学生管理工作；总务处主要负责教师学生餐饮、教学后勤保障等工作。</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562.08</w:t>
      </w:r>
      <w:r>
        <w:rPr>
          <w:rFonts w:hint="eastAsia" w:ascii="仿宋_GB2312" w:hAnsi="仿宋" w:eastAsia="仿宋_GB2312" w:cs="宋体"/>
          <w:kern w:val="0"/>
          <w:sz w:val="32"/>
          <w:szCs w:val="32"/>
        </w:rPr>
        <w:t>万元。按照综合预算的原则，单位所有收入和支出均纳入部门预算管理。收入包括：一般公共预算拨款收入</w:t>
      </w:r>
      <w:r>
        <w:rPr>
          <w:rFonts w:hint="eastAsia" w:ascii="仿宋_GB2312" w:hAnsi="仿宋" w:eastAsia="仿宋_GB2312" w:cs="宋体"/>
          <w:kern w:val="0"/>
          <w:sz w:val="32"/>
          <w:szCs w:val="32"/>
          <w:lang w:val="en-US" w:eastAsia="zh-CN"/>
        </w:rPr>
        <w:t>562.08万元</w:t>
      </w:r>
      <w:r>
        <w:rPr>
          <w:rFonts w:hint="eastAsia" w:ascii="仿宋_GB2312" w:hAnsi="仿宋" w:eastAsia="仿宋_GB2312" w:cs="宋体"/>
          <w:kern w:val="0"/>
          <w:sz w:val="32"/>
          <w:szCs w:val="32"/>
        </w:rPr>
        <w:t>；支出包括：教育支出</w:t>
      </w:r>
      <w:r>
        <w:rPr>
          <w:rFonts w:hint="eastAsia" w:ascii="仿宋_GB2312" w:hAnsi="TimesNewRomanPS-BoldMT" w:eastAsia="仿宋_GB2312"/>
          <w:bCs/>
          <w:color w:val="000000"/>
          <w:sz w:val="32"/>
          <w:szCs w:val="32"/>
          <w:lang w:val="en-US" w:eastAsia="zh-CN"/>
        </w:rPr>
        <w:t>405.45</w:t>
      </w:r>
      <w:r>
        <w:rPr>
          <w:rFonts w:hint="eastAsia" w:ascii="仿宋_GB2312" w:hAnsi="仿宋" w:eastAsia="仿宋_GB2312" w:cs="宋体"/>
          <w:kern w:val="0"/>
          <w:sz w:val="32"/>
          <w:szCs w:val="32"/>
          <w:lang w:val="en-US" w:eastAsia="zh-CN"/>
        </w:rPr>
        <w:t>万元</w:t>
      </w:r>
      <w:r>
        <w:rPr>
          <w:rFonts w:hint="eastAsia" w:ascii="仿宋_GB2312" w:hAnsi="仿宋" w:eastAsia="仿宋_GB2312" w:cs="宋体"/>
          <w:kern w:val="0"/>
          <w:sz w:val="32"/>
          <w:szCs w:val="32"/>
        </w:rPr>
        <w:t>、社会保障和就业支出</w:t>
      </w:r>
      <w:r>
        <w:rPr>
          <w:rFonts w:hint="eastAsia" w:ascii="仿宋_GB2312" w:hAnsi="TimesNewRomanPS-BoldMT" w:eastAsia="仿宋_GB2312"/>
          <w:bCs/>
          <w:color w:val="000000"/>
          <w:sz w:val="32"/>
          <w:szCs w:val="32"/>
          <w:lang w:val="en-US" w:eastAsia="zh-CN"/>
        </w:rPr>
        <w:t>86.95</w:t>
      </w:r>
      <w:r>
        <w:rPr>
          <w:rFonts w:hint="eastAsia" w:ascii="仿宋_GB2312" w:hAnsi="仿宋" w:eastAsia="仿宋_GB2312" w:cs="宋体"/>
          <w:kern w:val="0"/>
          <w:sz w:val="32"/>
          <w:szCs w:val="32"/>
          <w:lang w:val="en-US" w:eastAsia="zh-CN"/>
        </w:rPr>
        <w:t>万元</w:t>
      </w:r>
      <w:r>
        <w:rPr>
          <w:rFonts w:hint="eastAsia" w:ascii="仿宋_GB2312" w:hAnsi="仿宋" w:eastAsia="仿宋_GB2312" w:cs="宋体"/>
          <w:kern w:val="0"/>
          <w:sz w:val="32"/>
          <w:szCs w:val="32"/>
        </w:rPr>
        <w:t>、卫生健康支出</w:t>
      </w:r>
      <w:r>
        <w:rPr>
          <w:rFonts w:hint="eastAsia" w:ascii="仿宋_GB2312" w:hAnsi="仿宋" w:eastAsia="仿宋_GB2312" w:cs="宋体"/>
          <w:kern w:val="0"/>
          <w:sz w:val="32"/>
          <w:szCs w:val="32"/>
          <w:lang w:val="en-US" w:eastAsia="zh-CN"/>
        </w:rPr>
        <w:t>29.87万元</w:t>
      </w:r>
      <w:r>
        <w:rPr>
          <w:rFonts w:hint="eastAsia" w:ascii="仿宋_GB2312" w:hAnsi="仿宋" w:eastAsia="仿宋_GB2312" w:cs="宋体"/>
          <w:kern w:val="0"/>
          <w:sz w:val="32"/>
          <w:szCs w:val="32"/>
        </w:rPr>
        <w:t>、住房保障支出</w:t>
      </w:r>
      <w:r>
        <w:rPr>
          <w:rFonts w:hint="eastAsia" w:ascii="仿宋_GB2312" w:hAnsi="仿宋" w:eastAsia="仿宋_GB2312" w:cs="宋体"/>
          <w:kern w:val="0"/>
          <w:sz w:val="32"/>
          <w:szCs w:val="32"/>
          <w:lang w:val="en-US" w:eastAsia="zh-CN"/>
        </w:rPr>
        <w:t>39.81万元</w:t>
      </w:r>
      <w:r>
        <w:rPr>
          <w:rFonts w:hint="eastAsia" w:ascii="仿宋_GB2312" w:hAnsi="仿宋" w:eastAsia="仿宋_GB2312" w:cs="宋体"/>
          <w:kern w:val="0"/>
          <w:sz w:val="32"/>
          <w:szCs w:val="32"/>
        </w:rPr>
        <w:t>。</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562.08</w:t>
      </w:r>
      <w:r>
        <w:rPr>
          <w:rFonts w:hint="eastAsia" w:ascii="仿宋_GB2312" w:hAnsi="仿宋" w:eastAsia="仿宋_GB2312"/>
          <w:sz w:val="32"/>
          <w:szCs w:val="32"/>
        </w:rPr>
        <w:t>万元（详见部门/单位预算公开表1,2）。包括：一般公共预算收入</w:t>
      </w:r>
      <w:r>
        <w:rPr>
          <w:rFonts w:hint="eastAsia" w:ascii="仿宋_GB2312" w:hAnsi="仿宋" w:eastAsia="仿宋_GB2312"/>
          <w:sz w:val="32"/>
          <w:szCs w:val="32"/>
          <w:lang w:val="en-US" w:eastAsia="zh-CN"/>
        </w:rPr>
        <w:t>562.08</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r>
        <w:rPr>
          <w:rFonts w:hint="eastAsia" w:ascii="仿宋_GB2312" w:hAnsi="仿宋" w:eastAsia="仿宋_GB2312"/>
          <w:sz w:val="32"/>
          <w:szCs w:val="32"/>
          <w:lang w:eastAsia="zh-CN"/>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562.08</w:t>
      </w:r>
      <w:r>
        <w:rPr>
          <w:rFonts w:hint="eastAsia" w:ascii="仿宋_GB2312" w:hAnsi="仿宋" w:eastAsia="仿宋_GB2312"/>
          <w:sz w:val="32"/>
          <w:szCs w:val="32"/>
        </w:rPr>
        <w:t>万元（详见部门/单位预算公开表3）。</w:t>
      </w:r>
      <w:r>
        <w:rPr>
          <w:rStyle w:val="21"/>
          <w:rFonts w:hint="default" w:hAnsi="仿宋"/>
        </w:rPr>
        <w:t>其中：基本支出</w:t>
      </w:r>
      <w:r>
        <w:rPr>
          <w:rStyle w:val="22"/>
          <w:rFonts w:hint="eastAsia" w:ascii="仿宋_GB2312" w:hAnsi="仿宋" w:eastAsia="仿宋_GB2312"/>
          <w:lang w:val="en-US" w:eastAsia="zh-CN"/>
        </w:rPr>
        <w:t>562.08</w:t>
      </w:r>
      <w:r>
        <w:rPr>
          <w:rStyle w:val="21"/>
          <w:rFonts w:hint="default" w:hAnsi="仿宋"/>
        </w:rPr>
        <w:t>万元，占</w:t>
      </w:r>
      <w:r>
        <w:rPr>
          <w:rStyle w:val="21"/>
          <w:rFonts w:hint="eastAsia" w:hAnsi="仿宋" w:eastAsia="仿宋_GB2312"/>
          <w:lang w:val="en-US" w:eastAsia="zh-CN"/>
        </w:rPr>
        <w:t>100</w:t>
      </w:r>
      <w:r>
        <w:rPr>
          <w:rStyle w:val="22"/>
          <w:rFonts w:hint="eastAsia" w:ascii="仿宋_GB2312" w:hAnsi="仿宋" w:eastAsia="仿宋_GB2312"/>
        </w:rPr>
        <w:t>%</w:t>
      </w:r>
      <w:r>
        <w:rPr>
          <w:rStyle w:val="21"/>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2"/>
          <w:rFonts w:hint="eastAsia" w:ascii="仿宋_GB2312" w:hAnsi="仿宋" w:eastAsia="仿宋_GB2312"/>
          <w:lang w:eastAsia="zh-CN"/>
        </w:rPr>
        <w:t>202</w:t>
      </w:r>
      <w:r>
        <w:rPr>
          <w:rStyle w:val="22"/>
          <w:rFonts w:hint="default" w:ascii="仿宋_GB2312" w:hAnsi="仿宋" w:eastAsia="仿宋_GB2312"/>
          <w:lang w:val="en-US" w:eastAsia="zh-CN"/>
        </w:rPr>
        <w:t>6</w:t>
      </w:r>
      <w:r>
        <w:rPr>
          <w:rStyle w:val="21"/>
          <w:rFonts w:hint="default" w:hAnsi="仿宋"/>
        </w:rPr>
        <w:t>年一般公共预算当年支出</w:t>
      </w:r>
      <w:r>
        <w:rPr>
          <w:rStyle w:val="22"/>
          <w:rFonts w:hint="eastAsia" w:ascii="仿宋_GB2312" w:hAnsi="仿宋" w:eastAsia="仿宋_GB2312"/>
          <w:lang w:val="en-US" w:eastAsia="zh-CN"/>
        </w:rPr>
        <w:t>562.08</w:t>
      </w:r>
      <w:r>
        <w:rPr>
          <w:rStyle w:val="21"/>
          <w:rFonts w:hint="default" w:hAnsi="仿宋"/>
        </w:rPr>
        <w:t>万元，包括：</w:t>
      </w:r>
      <w:r>
        <w:rPr>
          <w:rFonts w:hint="eastAsia" w:ascii="仿宋_GB2312" w:hAnsi="仿宋" w:eastAsia="仿宋_GB2312" w:cs="宋体"/>
          <w:kern w:val="0"/>
          <w:sz w:val="32"/>
          <w:szCs w:val="32"/>
        </w:rPr>
        <w:t>教育支出</w:t>
      </w:r>
      <w:r>
        <w:rPr>
          <w:rFonts w:hint="eastAsia" w:ascii="仿宋_GB2312" w:hAnsi="TimesNewRomanPS-BoldMT" w:eastAsia="仿宋_GB2312"/>
          <w:bCs/>
          <w:color w:val="000000"/>
          <w:sz w:val="32"/>
          <w:szCs w:val="32"/>
          <w:lang w:val="en-US" w:eastAsia="zh-CN"/>
        </w:rPr>
        <w:t>405.45</w:t>
      </w:r>
      <w:r>
        <w:rPr>
          <w:rFonts w:hint="eastAsia" w:ascii="仿宋_GB2312" w:hAnsi="仿宋" w:eastAsia="仿宋_GB2312" w:cs="宋体"/>
          <w:kern w:val="0"/>
          <w:sz w:val="32"/>
          <w:szCs w:val="32"/>
          <w:lang w:val="en-US" w:eastAsia="zh-CN"/>
        </w:rPr>
        <w:t>万元</w:t>
      </w:r>
      <w:r>
        <w:rPr>
          <w:rFonts w:hint="eastAsia" w:ascii="仿宋_GB2312" w:hAnsi="仿宋" w:eastAsia="仿宋_GB2312" w:cs="宋体"/>
          <w:kern w:val="0"/>
          <w:sz w:val="32"/>
          <w:szCs w:val="32"/>
        </w:rPr>
        <w:t>、社会保障和就业支出</w:t>
      </w:r>
      <w:r>
        <w:rPr>
          <w:rFonts w:hint="eastAsia" w:ascii="仿宋_GB2312" w:hAnsi="TimesNewRomanPS-BoldMT" w:eastAsia="仿宋_GB2312"/>
          <w:bCs/>
          <w:color w:val="000000"/>
          <w:sz w:val="32"/>
          <w:szCs w:val="32"/>
          <w:lang w:val="en-US" w:eastAsia="zh-CN"/>
        </w:rPr>
        <w:t>86.95</w:t>
      </w:r>
      <w:bookmarkStart w:id="0" w:name="_GoBack"/>
      <w:bookmarkEnd w:id="0"/>
      <w:r>
        <w:rPr>
          <w:rFonts w:hint="eastAsia" w:ascii="仿宋_GB2312" w:hAnsi="仿宋" w:eastAsia="仿宋_GB2312" w:cs="宋体"/>
          <w:kern w:val="0"/>
          <w:sz w:val="32"/>
          <w:szCs w:val="32"/>
          <w:lang w:val="en-US" w:eastAsia="zh-CN"/>
        </w:rPr>
        <w:t>万元</w:t>
      </w:r>
      <w:r>
        <w:rPr>
          <w:rFonts w:hint="eastAsia" w:ascii="仿宋_GB2312" w:hAnsi="仿宋" w:eastAsia="仿宋_GB2312" w:cs="宋体"/>
          <w:kern w:val="0"/>
          <w:sz w:val="32"/>
          <w:szCs w:val="32"/>
        </w:rPr>
        <w:t>、卫生健康支出</w:t>
      </w:r>
      <w:r>
        <w:rPr>
          <w:rFonts w:hint="eastAsia" w:ascii="仿宋_GB2312" w:hAnsi="仿宋" w:eastAsia="仿宋_GB2312" w:cs="宋体"/>
          <w:kern w:val="0"/>
          <w:sz w:val="32"/>
          <w:szCs w:val="32"/>
          <w:lang w:val="en-US" w:eastAsia="zh-CN"/>
        </w:rPr>
        <w:t>29.87万元</w:t>
      </w:r>
      <w:r>
        <w:rPr>
          <w:rFonts w:hint="eastAsia" w:ascii="仿宋_GB2312" w:hAnsi="仿宋" w:eastAsia="仿宋_GB2312" w:cs="宋体"/>
          <w:kern w:val="0"/>
          <w:sz w:val="32"/>
          <w:szCs w:val="32"/>
        </w:rPr>
        <w:t>、住房保障支出</w:t>
      </w:r>
      <w:r>
        <w:rPr>
          <w:rFonts w:hint="eastAsia" w:ascii="仿宋_GB2312" w:hAnsi="仿宋" w:eastAsia="仿宋_GB2312" w:cs="宋体"/>
          <w:kern w:val="0"/>
          <w:sz w:val="32"/>
          <w:szCs w:val="32"/>
          <w:lang w:val="en-US" w:eastAsia="zh-CN"/>
        </w:rPr>
        <w:t>39.81万元</w:t>
      </w:r>
      <w:r>
        <w:rPr>
          <w:rStyle w:val="21"/>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562.08</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3.39</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0.6</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正式职工人数增加。</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550.63</w:t>
      </w:r>
      <w:r>
        <w:rPr>
          <w:rFonts w:hint="eastAsia" w:ascii="仿宋_GB2312" w:hAnsi="仿宋" w:eastAsia="仿宋_GB2312"/>
          <w:sz w:val="32"/>
          <w:szCs w:val="32"/>
        </w:rPr>
        <w:t>万元，主要包括：基本工资</w:t>
      </w:r>
      <w:r>
        <w:rPr>
          <w:rFonts w:hint="eastAsia" w:ascii="仿宋_GB2312" w:hAnsi="仿宋" w:eastAsia="仿宋_GB2312"/>
          <w:sz w:val="32"/>
          <w:szCs w:val="32"/>
          <w:lang w:val="en-US" w:eastAsia="zh-CN"/>
        </w:rPr>
        <w:t>162.38万元</w:t>
      </w:r>
      <w:r>
        <w:rPr>
          <w:rFonts w:hint="eastAsia" w:ascii="仿宋_GB2312" w:hAnsi="仿宋" w:eastAsia="仿宋_GB2312"/>
          <w:sz w:val="32"/>
          <w:szCs w:val="32"/>
        </w:rPr>
        <w:t>、津贴补贴</w:t>
      </w:r>
      <w:r>
        <w:rPr>
          <w:rFonts w:hint="eastAsia" w:ascii="仿宋_GB2312" w:hAnsi="仿宋" w:eastAsia="仿宋_GB2312"/>
          <w:sz w:val="32"/>
          <w:szCs w:val="32"/>
          <w:lang w:val="en-US" w:eastAsia="zh-CN"/>
        </w:rPr>
        <w:t>169.35万元</w:t>
      </w:r>
      <w:r>
        <w:rPr>
          <w:rFonts w:hint="eastAsia" w:ascii="仿宋_GB2312" w:hAnsi="仿宋" w:eastAsia="仿宋_GB2312"/>
          <w:sz w:val="32"/>
          <w:szCs w:val="32"/>
        </w:rPr>
        <w:t>、奖金</w:t>
      </w:r>
      <w:r>
        <w:rPr>
          <w:rFonts w:hint="eastAsia" w:ascii="仿宋_GB2312" w:hAnsi="仿宋" w:eastAsia="仿宋_GB2312"/>
          <w:sz w:val="32"/>
          <w:szCs w:val="32"/>
          <w:lang w:val="en-US" w:eastAsia="zh-CN"/>
        </w:rPr>
        <w:t>62.28万元</w:t>
      </w:r>
      <w:r>
        <w:rPr>
          <w:rFonts w:hint="eastAsia" w:ascii="仿宋_GB2312" w:hAnsi="仿宋" w:eastAsia="仿宋_GB2312"/>
          <w:sz w:val="32"/>
          <w:szCs w:val="32"/>
        </w:rPr>
        <w:t>、机关事业单位基本养老保险缴费</w:t>
      </w:r>
      <w:r>
        <w:rPr>
          <w:rFonts w:hint="eastAsia" w:ascii="仿宋_GB2312" w:hAnsi="仿宋" w:eastAsia="仿宋_GB2312"/>
          <w:sz w:val="32"/>
          <w:szCs w:val="32"/>
          <w:lang w:val="en-US" w:eastAsia="zh-CN"/>
        </w:rPr>
        <w:t>54.11万元</w:t>
      </w:r>
      <w:r>
        <w:rPr>
          <w:rFonts w:hint="eastAsia" w:ascii="仿宋_GB2312" w:hAnsi="仿宋" w:eastAsia="仿宋_GB2312"/>
          <w:sz w:val="32"/>
          <w:szCs w:val="32"/>
        </w:rPr>
        <w:t>、职业年金缴费</w:t>
      </w:r>
      <w:r>
        <w:rPr>
          <w:rFonts w:hint="eastAsia" w:ascii="仿宋_GB2312" w:hAnsi="仿宋" w:eastAsia="仿宋_GB2312"/>
          <w:sz w:val="32"/>
          <w:szCs w:val="32"/>
          <w:lang w:val="en-US" w:eastAsia="zh-CN"/>
        </w:rPr>
        <w:t>27.06万元</w:t>
      </w:r>
      <w:r>
        <w:rPr>
          <w:rFonts w:hint="eastAsia" w:ascii="仿宋_GB2312" w:hAnsi="仿宋" w:eastAsia="仿宋_GB2312"/>
          <w:sz w:val="32"/>
          <w:szCs w:val="32"/>
        </w:rPr>
        <w:t>、职工基本医疗保险缴费</w:t>
      </w:r>
      <w:r>
        <w:rPr>
          <w:rFonts w:hint="eastAsia" w:ascii="仿宋_GB2312" w:hAnsi="仿宋" w:eastAsia="仿宋_GB2312"/>
          <w:sz w:val="32"/>
          <w:szCs w:val="32"/>
          <w:lang w:val="en-US" w:eastAsia="zh-CN"/>
        </w:rPr>
        <w:t>22.44万元</w:t>
      </w:r>
      <w:r>
        <w:rPr>
          <w:rFonts w:hint="eastAsia" w:ascii="仿宋_GB2312" w:hAnsi="仿宋" w:eastAsia="仿宋_GB2312"/>
          <w:sz w:val="32"/>
          <w:szCs w:val="32"/>
        </w:rPr>
        <w:t>、公务员医疗补助缴费</w:t>
      </w:r>
      <w:r>
        <w:rPr>
          <w:rFonts w:hint="eastAsia" w:ascii="仿宋_GB2312" w:hAnsi="仿宋" w:eastAsia="仿宋_GB2312"/>
          <w:sz w:val="32"/>
          <w:szCs w:val="32"/>
          <w:lang w:val="en-US" w:eastAsia="zh-CN"/>
        </w:rPr>
        <w:t>7.43万元</w:t>
      </w:r>
      <w:r>
        <w:rPr>
          <w:rFonts w:hint="eastAsia" w:ascii="仿宋_GB2312" w:hAnsi="仿宋" w:eastAsia="仿宋_GB2312"/>
          <w:sz w:val="32"/>
          <w:szCs w:val="32"/>
        </w:rPr>
        <w:t>、其他社会保障缴费</w:t>
      </w:r>
      <w:r>
        <w:rPr>
          <w:rFonts w:hint="eastAsia" w:ascii="仿宋_GB2312" w:hAnsi="仿宋" w:eastAsia="仿宋_GB2312"/>
          <w:sz w:val="32"/>
          <w:szCs w:val="32"/>
          <w:lang w:val="en-US" w:eastAsia="zh-CN"/>
        </w:rPr>
        <w:t>3.72万元</w:t>
      </w:r>
      <w:r>
        <w:rPr>
          <w:rFonts w:hint="eastAsia" w:ascii="仿宋_GB2312" w:hAnsi="仿宋" w:eastAsia="仿宋_GB2312"/>
          <w:sz w:val="32"/>
          <w:szCs w:val="32"/>
        </w:rPr>
        <w:t>、住房公积金</w:t>
      </w:r>
      <w:r>
        <w:rPr>
          <w:rFonts w:hint="eastAsia" w:ascii="仿宋_GB2312" w:hAnsi="仿宋" w:eastAsia="仿宋_GB2312"/>
          <w:sz w:val="32"/>
          <w:szCs w:val="32"/>
          <w:lang w:val="en-US" w:eastAsia="zh-CN"/>
        </w:rPr>
        <w:t>39.81万元</w:t>
      </w:r>
      <w:r>
        <w:rPr>
          <w:rFonts w:hint="eastAsia" w:ascii="仿宋_GB2312" w:hAnsi="仿宋" w:eastAsia="仿宋_GB2312"/>
          <w:sz w:val="32"/>
          <w:szCs w:val="32"/>
        </w:rPr>
        <w:t>、其他对个人和家庭的补助</w:t>
      </w:r>
      <w:r>
        <w:rPr>
          <w:rFonts w:hint="eastAsia" w:ascii="仿宋_GB2312" w:hAnsi="仿宋" w:eastAsia="仿宋_GB2312"/>
          <w:sz w:val="32"/>
          <w:szCs w:val="32"/>
          <w:lang w:val="en-US" w:eastAsia="zh-CN"/>
        </w:rPr>
        <w:t>2.06万元</w:t>
      </w:r>
      <w:r>
        <w:rPr>
          <w:rFonts w:hint="eastAsia" w:ascii="仿宋_GB2312" w:hAnsi="仿宋" w:eastAsia="仿宋_GB2312"/>
          <w:sz w:val="32"/>
          <w:szCs w:val="32"/>
        </w:rPr>
        <w:t>。</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11.44</w:t>
      </w:r>
      <w:r>
        <w:rPr>
          <w:rFonts w:hint="eastAsia" w:ascii="仿宋_GB2312" w:hAnsi="仿宋" w:eastAsia="仿宋_GB2312"/>
          <w:sz w:val="32"/>
          <w:szCs w:val="32"/>
        </w:rPr>
        <w:t>万元，主要包括：工会经费</w:t>
      </w:r>
      <w:r>
        <w:rPr>
          <w:rFonts w:hint="eastAsia" w:ascii="仿宋_GB2312" w:hAnsi="仿宋" w:eastAsia="仿宋_GB2312"/>
          <w:sz w:val="32"/>
          <w:szCs w:val="32"/>
          <w:lang w:val="en-US" w:eastAsia="zh-CN"/>
        </w:rPr>
        <w:t>3.98万元</w:t>
      </w:r>
      <w:r>
        <w:rPr>
          <w:rFonts w:hint="eastAsia" w:ascii="仿宋_GB2312" w:hAnsi="仿宋" w:eastAsia="仿宋_GB2312"/>
          <w:sz w:val="32"/>
          <w:szCs w:val="32"/>
        </w:rPr>
        <w:t>、福利费</w:t>
      </w:r>
      <w:r>
        <w:rPr>
          <w:rFonts w:hint="eastAsia" w:ascii="仿宋_GB2312" w:hAnsi="仿宋" w:eastAsia="仿宋_GB2312"/>
          <w:sz w:val="32"/>
          <w:szCs w:val="32"/>
          <w:lang w:val="en-US" w:eastAsia="zh-CN"/>
        </w:rPr>
        <w:t>2.49万元</w:t>
      </w:r>
      <w:r>
        <w:rPr>
          <w:rFonts w:hint="eastAsia" w:ascii="仿宋_GB2312" w:hAnsi="仿宋" w:eastAsia="仿宋_GB2312"/>
          <w:sz w:val="32"/>
          <w:szCs w:val="32"/>
        </w:rPr>
        <w:t>、其他商品和服务支出</w:t>
      </w:r>
      <w:r>
        <w:rPr>
          <w:rFonts w:hint="eastAsia" w:ascii="仿宋_GB2312" w:hAnsi="仿宋" w:eastAsia="仿宋_GB2312"/>
          <w:sz w:val="32"/>
          <w:szCs w:val="32"/>
          <w:lang w:val="en-US" w:eastAsia="zh-CN"/>
        </w:rPr>
        <w:t>4.98万元</w:t>
      </w:r>
      <w:r>
        <w:rPr>
          <w:rFonts w:hint="eastAsia" w:ascii="仿宋_GB2312" w:hAnsi="仿宋" w:eastAsia="仿宋_GB2312"/>
          <w:sz w:val="32"/>
          <w:szCs w:val="32"/>
        </w:rPr>
        <w:t>。</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5973761">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0</w:t>
      </w:r>
      <w:r>
        <w:rPr>
          <w:rFonts w:hint="eastAsia" w:ascii="仿宋_GB2312" w:hAnsi="仿宋" w:eastAsia="仿宋_GB2312"/>
          <w:sz w:val="32"/>
          <w:szCs w:val="32"/>
        </w:rPr>
        <w:t>%，主要原因是</w:t>
      </w:r>
      <w:r>
        <w:rPr>
          <w:rFonts w:hint="eastAsia" w:ascii="仿宋_GB2312" w:hAnsi="仿宋" w:eastAsia="仿宋_GB2312"/>
          <w:sz w:val="32"/>
          <w:szCs w:val="32"/>
          <w:lang w:val="en-US" w:eastAsia="zh-CN"/>
        </w:rPr>
        <w:t>本单位无项目支出。</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720E68D8">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1.教育支出（ 类） 普通教育（ 款） 小学教育（ 项）202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lang w:val="en-US" w:eastAsia="zh-CN"/>
        </w:rPr>
        <w:t>405.45</w:t>
      </w:r>
      <w:r>
        <w:rPr>
          <w:rFonts w:hint="eastAsia" w:ascii="仿宋_GB2312" w:hAnsi="TimesNewRomanPS-BoldMT" w:eastAsia="仿宋_GB2312"/>
          <w:bCs/>
          <w:color w:val="000000"/>
          <w:sz w:val="32"/>
          <w:szCs w:val="32"/>
        </w:rPr>
        <w:t>万元， 比 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w:t>
      </w:r>
      <w:r>
        <w:rPr>
          <w:rFonts w:hint="eastAsia" w:ascii="仿宋_GB2312" w:hAnsi="TimesNewRomanPS-BoldMT" w:eastAsia="仿宋_GB2312"/>
          <w:bCs/>
          <w:color w:val="000000"/>
          <w:sz w:val="32"/>
          <w:szCs w:val="32"/>
          <w:lang w:val="en-US" w:eastAsia="zh-CN"/>
        </w:rPr>
        <w:t>增加1.3</w:t>
      </w:r>
      <w:r>
        <w:rPr>
          <w:rFonts w:hint="eastAsia" w:ascii="仿宋_GB2312" w:hAnsi="TimesNewRomanPS-BoldMT" w:eastAsia="仿宋_GB2312"/>
          <w:bCs/>
          <w:color w:val="000000"/>
          <w:sz w:val="32"/>
          <w:szCs w:val="32"/>
        </w:rPr>
        <w:t>万元， 主要原因是工资和职称晋升。</w:t>
      </w:r>
    </w:p>
    <w:p w14:paraId="194B9AB0">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2.社会保障和就业支出（ 类）行政事业单位养老支出（ 款）机关事业单位基本养老保险缴费支出、机关事业单位职业年金缴费支出（ 项）202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lang w:val="en-US" w:eastAsia="zh-CN"/>
        </w:rPr>
        <w:t>86.95</w:t>
      </w:r>
      <w:r>
        <w:rPr>
          <w:rFonts w:hint="eastAsia" w:ascii="仿宋_GB2312" w:hAnsi="TimesNewRomanPS-BoldMT" w:eastAsia="仿宋_GB2312"/>
          <w:bCs/>
          <w:color w:val="000000"/>
          <w:sz w:val="32"/>
          <w:szCs w:val="32"/>
        </w:rPr>
        <w:t>万元， 比 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w:t>
      </w:r>
      <w:r>
        <w:rPr>
          <w:rFonts w:hint="eastAsia" w:ascii="仿宋_GB2312" w:hAnsi="TimesNewRomanPS-BoldMT" w:eastAsia="仿宋_GB2312"/>
          <w:bCs/>
          <w:color w:val="000000"/>
          <w:sz w:val="32"/>
          <w:szCs w:val="32"/>
          <w:lang w:val="en-US" w:eastAsia="zh-CN"/>
        </w:rPr>
        <w:t>减少0.36</w:t>
      </w:r>
      <w:r>
        <w:rPr>
          <w:rFonts w:hint="eastAsia" w:ascii="仿宋_GB2312" w:hAnsi="TimesNewRomanPS-BoldMT" w:eastAsia="仿宋_GB2312"/>
          <w:bCs/>
          <w:color w:val="000000"/>
          <w:sz w:val="32"/>
          <w:szCs w:val="32"/>
        </w:rPr>
        <w:t>万元， 主要原因是</w:t>
      </w:r>
      <w:r>
        <w:rPr>
          <w:rFonts w:hint="eastAsia" w:ascii="仿宋_GB2312" w:hAnsi="TimesNewRomanPS-BoldMT" w:eastAsia="仿宋_GB2312"/>
          <w:bCs/>
          <w:color w:val="000000"/>
          <w:sz w:val="32"/>
          <w:szCs w:val="32"/>
          <w:lang w:val="en-US" w:eastAsia="zh-CN"/>
        </w:rPr>
        <w:t>人员减少</w:t>
      </w:r>
      <w:r>
        <w:rPr>
          <w:rFonts w:hint="eastAsia" w:ascii="仿宋_GB2312" w:hAnsi="TimesNewRomanPS-BoldMT" w:eastAsia="仿宋_GB2312"/>
          <w:bCs/>
          <w:color w:val="000000"/>
          <w:sz w:val="32"/>
          <w:szCs w:val="32"/>
        </w:rPr>
        <w:t>。</w:t>
      </w:r>
    </w:p>
    <w:p w14:paraId="1269F0B7">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3.卫生健康支出（ 类）行政事业单位医疗（ 款）事业单位医疗（ 项）202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lang w:val="en-US" w:eastAsia="zh-CN"/>
        </w:rPr>
        <w:t>29.87</w:t>
      </w:r>
      <w:r>
        <w:rPr>
          <w:rFonts w:hint="eastAsia" w:ascii="仿宋_GB2312" w:hAnsi="TimesNewRomanPS-BoldMT" w:eastAsia="仿宋_GB2312"/>
          <w:bCs/>
          <w:color w:val="000000"/>
          <w:sz w:val="32"/>
          <w:szCs w:val="32"/>
        </w:rPr>
        <w:t>万元，比202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年预算增加</w:t>
      </w:r>
      <w:r>
        <w:rPr>
          <w:rFonts w:hint="eastAsia" w:ascii="仿宋_GB2312" w:hAnsi="TimesNewRomanPS-BoldMT" w:eastAsia="仿宋_GB2312"/>
          <w:bCs/>
          <w:color w:val="000000"/>
          <w:sz w:val="32"/>
          <w:szCs w:val="32"/>
          <w:lang w:val="en-US" w:eastAsia="zh-CN"/>
        </w:rPr>
        <w:t>1.25</w:t>
      </w:r>
      <w:r>
        <w:rPr>
          <w:rFonts w:hint="eastAsia" w:ascii="仿宋_GB2312" w:hAnsi="TimesNewRomanPS-BoldMT" w:eastAsia="仿宋_GB2312"/>
          <w:bCs/>
          <w:color w:val="000000"/>
          <w:sz w:val="32"/>
          <w:szCs w:val="32"/>
        </w:rPr>
        <w:t>万元，主要原因是原因是工资和职称晋升。</w:t>
      </w:r>
    </w:p>
    <w:p w14:paraId="51369946">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4.住房保障支出（ 类）住房改革支出（ 款）住房公积金（ 项）202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lang w:val="en-US" w:eastAsia="zh-CN"/>
        </w:rPr>
        <w:t>39.81</w:t>
      </w:r>
      <w:r>
        <w:rPr>
          <w:rFonts w:hint="eastAsia" w:ascii="仿宋_GB2312" w:hAnsi="TimesNewRomanPS-BoldMT" w:eastAsia="仿宋_GB2312"/>
          <w:bCs/>
          <w:color w:val="000000"/>
          <w:sz w:val="32"/>
          <w:szCs w:val="32"/>
        </w:rPr>
        <w:t>万元，比202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年预算增加</w:t>
      </w:r>
      <w:r>
        <w:rPr>
          <w:rFonts w:hint="eastAsia" w:ascii="仿宋_GB2312" w:hAnsi="TimesNewRomanPS-BoldMT" w:eastAsia="仿宋_GB2312"/>
          <w:bCs/>
          <w:color w:val="000000"/>
          <w:sz w:val="32"/>
          <w:szCs w:val="32"/>
          <w:lang w:val="en-US" w:eastAsia="zh-CN"/>
        </w:rPr>
        <w:t>1.2</w:t>
      </w:r>
      <w:r>
        <w:rPr>
          <w:rFonts w:hint="eastAsia" w:ascii="仿宋_GB2312" w:hAnsi="TimesNewRomanPS-BoldMT" w:eastAsia="仿宋_GB2312"/>
          <w:bCs/>
          <w:color w:val="000000"/>
          <w:sz w:val="32"/>
          <w:szCs w:val="32"/>
        </w:rPr>
        <w:t>万元，主要原因是工资和职称晋升。</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205F6EF2">
      <w:pPr>
        <w:pStyle w:val="7"/>
        <w:widowControl/>
        <w:shd w:val="clear" w:color="auto" w:fill="FFFFFF"/>
        <w:spacing w:after="240" w:line="560" w:lineRule="exact"/>
        <w:ind w:firstLine="516"/>
        <w:rPr>
          <w:rFonts w:hint="eastAsia" w:ascii="仿宋_GB2312" w:hAnsi="仿宋" w:eastAsia="仿宋_GB2312"/>
          <w:bCs/>
          <w:color w:val="000000"/>
          <w:sz w:val="30"/>
          <w:szCs w:val="30"/>
        </w:rPr>
      </w:pPr>
      <w:r>
        <w:rPr>
          <w:rFonts w:hint="eastAsia" w:ascii="仿宋_GB2312" w:hAnsi="仿宋" w:eastAsia="仿宋_GB2312"/>
          <w:bCs/>
          <w:color w:val="000000"/>
          <w:sz w:val="30"/>
          <w:szCs w:val="30"/>
        </w:rPr>
        <w:t>本单位无“三公”经费预算。</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0A93D690">
      <w:pPr>
        <w:adjustRightInd w:val="0"/>
        <w:snapToGrid w:val="0"/>
        <w:spacing w:line="640" w:lineRule="exact"/>
        <w:ind w:firstLine="640" w:firstLineChars="200"/>
        <w:contextualSpacing/>
        <w:rPr>
          <w:rFonts w:hint="eastAsia" w:ascii="仿宋_GB2312" w:hAnsi="仿宋" w:eastAsia="仿宋_GB2312"/>
          <w:bCs/>
          <w:sz w:val="32"/>
          <w:szCs w:val="32"/>
        </w:rPr>
      </w:pPr>
      <w:r>
        <w:rPr>
          <w:rFonts w:hint="eastAsia" w:ascii="仿宋_GB2312" w:hAnsi="仿宋" w:eastAsia="仿宋_GB2312"/>
          <w:bCs/>
          <w:sz w:val="32"/>
          <w:szCs w:val="32"/>
        </w:rPr>
        <w:t>本单位无培训费预算。</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C1AA7BE">
      <w:pPr>
        <w:widowControl/>
        <w:spacing w:line="640" w:lineRule="exact"/>
        <w:ind w:firstLine="600" w:firstLineChars="200"/>
        <w:jc w:val="left"/>
        <w:rPr>
          <w:rFonts w:ascii="仿宋_GB2312" w:eastAsia="仿宋_GB2312"/>
          <w:sz w:val="32"/>
          <w:szCs w:val="32"/>
        </w:rPr>
      </w:pPr>
      <w:r>
        <w:rPr>
          <w:rFonts w:hint="eastAsia" w:ascii="仿宋_GB2312" w:hAnsi="仿宋" w:eastAsia="仿宋_GB2312"/>
          <w:bCs/>
          <w:color w:val="000000"/>
          <w:sz w:val="30"/>
          <w:szCs w:val="30"/>
        </w:rPr>
        <w:t>本单位无会议费预算。</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38ED4E90">
      <w:pPr>
        <w:pStyle w:val="7"/>
        <w:widowControl/>
        <w:shd w:val="clear" w:color="auto" w:fill="FFFFFF"/>
        <w:spacing w:after="240" w:line="560" w:lineRule="exact"/>
        <w:ind w:firstLine="516"/>
        <w:rPr>
          <w:rFonts w:ascii="仿宋_GB2312" w:hAnsi="仿宋" w:eastAsia="仿宋_GB2312"/>
          <w:sz w:val="32"/>
          <w:szCs w:val="32"/>
        </w:rPr>
      </w:pPr>
      <w:r>
        <w:rPr>
          <w:rFonts w:hint="eastAsia" w:ascii="仿宋_GB2312" w:hAnsi="仿宋" w:eastAsia="仿宋_GB2312"/>
          <w:bCs/>
          <w:color w:val="000000"/>
          <w:sz w:val="30"/>
          <w:szCs w:val="30"/>
        </w:rPr>
        <w:t>本单位是事业单位，无机关运行经费。</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本单位无采购。</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上年末固定资产金额为1153.21万元。其中：办公用房1620平方米，价值200.27万元。预算单位共有公务用车0辆，价值0万元。单价20万元以上的设备价值0万元。2025年拟采购固定资产约0万元。。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6050C97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703C4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0</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9B29D92">
      <w:pPr>
        <w:widowControl/>
        <w:adjustRightInd w:val="0"/>
        <w:snapToGrid w:val="0"/>
        <w:spacing w:line="640" w:lineRule="exact"/>
        <w:ind w:firstLine="643" w:firstLineChars="200"/>
        <w:contextualSpacing/>
        <w:jc w:val="left"/>
        <w:rPr>
          <w:rFonts w:hint="eastAsia"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个，占本</w:t>
      </w:r>
      <w:r>
        <w:rPr>
          <w:rFonts w:hint="eastAsia" w:ascii="仿宋_GB2312" w:hAnsi="CIDFont+F6" w:eastAsia="仿宋_GB2312"/>
          <w:color w:val="000000"/>
          <w:sz w:val="32"/>
          <w:szCs w:val="32"/>
        </w:rPr>
        <w:t>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支付率未达标</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 xml:space="preserve">  个，占本单位项目的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 xml:space="preserve">个，完成率为 </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支付率未达标</w:t>
      </w:r>
      <w:r>
        <w:rPr>
          <w:rFonts w:hint="eastAsia" w:ascii="仿宋_GB2312" w:hAnsi="仿宋" w:eastAsia="仿宋_GB2312"/>
          <w:sz w:val="32"/>
          <w:szCs w:val="32"/>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2个，其中，单位整体支出0个，项目支出2个，转移支付项目0个，绩效自评覆盖率为100%。绩效自评结果随部门决算报送财政和随决算公开情况：已完成单位整体支出绩效自评并报送财政，拟随决算一并公开。</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年，纳入部单位预算绩效目标管理的项目1个。其中，部门整体支出绩效目标围绕部门管理、履职效果、能力建设三个维度，设置二级指标11个、三级指标 12个；项目支出绩效目标围绕成本指标、产出指标、效益指标、满意度指标四个维度，设置二级指标 10个、三级指标10个。各项绩效目标内容指向明确、细化量化、合理可行，符合规定的格式要求。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60CD359">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w:t>
      </w:r>
    </w:p>
    <w:p w14:paraId="2FC9AB6B">
      <w:pPr>
        <w:adjustRightInd w:val="0"/>
        <w:snapToGrid w:val="0"/>
        <w:spacing w:line="640" w:lineRule="exact"/>
        <w:ind w:firstLine="643" w:firstLineChars="200"/>
        <w:contextualSpacing/>
        <w:rPr>
          <w:rFonts w:hint="eastAsia" w:ascii="仿宋_GB2312" w:hAnsi="CIDFont+F4" w:eastAsia="仿宋_GB2312"/>
          <w:b/>
          <w:color w:val="000000"/>
          <w:sz w:val="32"/>
          <w:szCs w:val="32"/>
        </w:rPr>
      </w:pPr>
      <w:r>
        <w:rPr>
          <w:rFonts w:hint="eastAsia" w:ascii="仿宋_GB2312" w:hAnsi="CIDFont+F4" w:eastAsia="仿宋_GB2312"/>
          <w:b/>
          <w:color w:val="000000"/>
          <w:sz w:val="32"/>
          <w:szCs w:val="32"/>
        </w:rPr>
        <w:t>（请部门/单位对编制中涉及的专业名词进行补充解释）</w:t>
      </w:r>
    </w:p>
    <w:p w14:paraId="453FCEBD">
      <w:pPr>
        <w:adjustRightInd w:val="0"/>
        <w:snapToGrid w:val="0"/>
        <w:spacing w:line="640" w:lineRule="exact"/>
        <w:contextualSpacing/>
        <w:jc w:val="both"/>
        <w:rPr>
          <w:rFonts w:hint="eastAsia" w:ascii="仿宋_GB2312" w:hAnsi="CIDFont+F6" w:eastAsia="仿宋_GB2312"/>
          <w:color w:val="000000"/>
          <w:sz w:val="32"/>
          <w:szCs w:val="32"/>
        </w:rPr>
      </w:pPr>
    </w:p>
    <w:p w14:paraId="7BF108C1">
      <w:pPr>
        <w:adjustRightInd w:val="0"/>
        <w:snapToGrid w:val="0"/>
        <w:spacing w:line="640" w:lineRule="exact"/>
        <w:ind w:right="960"/>
        <w:contextualSpacing/>
        <w:jc w:val="right"/>
        <w:rPr>
          <w:rFonts w:hint="eastAsia" w:ascii="仿宋_GB2312" w:hAnsi="CIDFont+F6" w:eastAsia="仿宋_GB2312"/>
          <w:color w:val="000000"/>
          <w:sz w:val="32"/>
          <w:szCs w:val="32"/>
        </w:rPr>
      </w:pPr>
      <w:r>
        <w:rPr>
          <w:rFonts w:hint="eastAsia" w:ascii="仿宋_GB2312" w:hAnsi="CIDFont+F6" w:eastAsia="仿宋_GB2312"/>
          <w:color w:val="000000"/>
          <w:sz w:val="32"/>
          <w:szCs w:val="32"/>
          <w:lang w:val="en-US" w:eastAsia="zh-CN"/>
        </w:rPr>
        <w:t>华池县元城镇元城小学</w:t>
      </w:r>
    </w:p>
    <w:p w14:paraId="77E85168">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12</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5055ED62">
      <w:pPr>
        <w:adjustRightInd w:val="0"/>
        <w:snapToGrid w:val="0"/>
        <w:spacing w:line="640" w:lineRule="exact"/>
        <w:ind w:firstLine="640" w:firstLineChars="200"/>
        <w:contextualSpacing/>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附件</w:t>
      </w:r>
      <w:r>
        <w:rPr>
          <w:rFonts w:hint="eastAsia" w:ascii="仿宋_GB2312" w:hAnsi="宋体" w:eastAsia="仿宋_GB2312" w:cs="宋体"/>
          <w:kern w:val="0"/>
          <w:sz w:val="32"/>
          <w:szCs w:val="32"/>
          <w:lang w:eastAsia="zh-CN"/>
        </w:rPr>
        <w:t>：</w:t>
      </w:r>
    </w:p>
    <w:p w14:paraId="1869779E">
      <w:pPr>
        <w:numPr>
          <w:ilvl w:val="0"/>
          <w:numId w:val="1"/>
        </w:numPr>
        <w:adjustRightInd w:val="0"/>
        <w:snapToGrid w:val="0"/>
        <w:spacing w:line="640" w:lineRule="exact"/>
        <w:ind w:firstLine="560" w:firstLineChars="200"/>
        <w:contextualSpacing/>
        <w:rPr>
          <w:rFonts w:hint="eastAsia" w:ascii="仿宋_GB2312" w:hAnsi="宋体" w:eastAsia="仿宋_GB2312" w:cs="宋体"/>
          <w:spacing w:val="-20"/>
          <w:kern w:val="0"/>
          <w:sz w:val="32"/>
          <w:szCs w:val="32"/>
        </w:rPr>
      </w:pPr>
      <w:r>
        <w:rPr>
          <w:rFonts w:hint="eastAsia" w:ascii="仿宋_GB2312" w:hAnsi="宋体" w:eastAsia="仿宋_GB2312" w:cs="宋体"/>
          <w:spacing w:val="-20"/>
          <w:kern w:val="0"/>
          <w:sz w:val="32"/>
          <w:szCs w:val="32"/>
        </w:rPr>
        <w:t>华池县元城镇元城小学</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22DB4760">
      <w:pPr>
        <w:numPr>
          <w:ilvl w:val="0"/>
          <w:numId w:val="1"/>
        </w:numPr>
        <w:adjustRightInd w:val="0"/>
        <w:snapToGrid w:val="0"/>
        <w:spacing w:line="640" w:lineRule="exact"/>
        <w:ind w:firstLine="560" w:firstLineChars="200"/>
        <w:contextualSpacing/>
      </w:pPr>
      <w:r>
        <w:rPr>
          <w:rFonts w:hint="eastAsia" w:ascii="仿宋_GB2312" w:hAnsi="宋体" w:eastAsia="仿宋_GB2312" w:cs="宋体"/>
          <w:spacing w:val="-20"/>
          <w:kern w:val="0"/>
          <w:sz w:val="32"/>
          <w:szCs w:val="32"/>
        </w:rPr>
        <w:t>华池县元城镇元城小学</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TimesNewRomanPSMT">
    <w:altName w:val="DejaVu Sans"/>
    <w:panose1 w:val="00000000000000000000"/>
    <w:charset w:val="00"/>
    <w:family w:val="roman"/>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TimesNewRomanPS-BoldMT">
    <w:altName w:val="DejaVu Sans"/>
    <w:panose1 w:val="00000000000000000000"/>
    <w:charset w:val="00"/>
    <w:family w:val="roman"/>
    <w:pitch w:val="default"/>
    <w:sig w:usb0="00000000" w:usb1="00000000" w:usb2="00000000" w:usb3="00000000" w:csb0="00000000" w:csb1="00000000"/>
  </w:font>
  <w:font w:name="CIDFont+F6">
    <w:altName w:val="国标仿宋"/>
    <w:panose1 w:val="00000000000000000000"/>
    <w:charset w:val="00"/>
    <w:family w:val="roman"/>
    <w:pitch w:val="default"/>
    <w:sig w:usb0="00000000" w:usb1="00000000" w:usb2="00000000" w:usb3="00000000" w:csb0="00000000" w:csb1="00000000"/>
  </w:font>
  <w:font w:name="国标仿宋">
    <w:panose1 w:val="02000500000000000000"/>
    <w:charset w:val="86"/>
    <w:family w:val="auto"/>
    <w:pitch w:val="default"/>
    <w:sig w:usb0="A00002BF" w:usb1="38C77CFA" w:usb2="00000016" w:usb3="00000000" w:csb0="00060007" w:csb1="00000000"/>
  </w:font>
  <w:font w:name="CIDFont+F4">
    <w:altName w:val="国标仿宋"/>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EB7BB3"/>
    <w:multiLevelType w:val="singleLevel"/>
    <w:tmpl w:val="0DEB7BB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8330BA7"/>
    <w:rsid w:val="1D34261E"/>
    <w:rsid w:val="291B1063"/>
    <w:rsid w:val="2DD1025A"/>
    <w:rsid w:val="42A05423"/>
    <w:rsid w:val="4C433C79"/>
    <w:rsid w:val="527E074E"/>
    <w:rsid w:val="559B049B"/>
    <w:rsid w:val="56393C72"/>
    <w:rsid w:val="579503FF"/>
    <w:rsid w:val="60535296"/>
    <w:rsid w:val="647B7A37"/>
    <w:rsid w:val="72FD2525"/>
    <w:rsid w:val="78106856"/>
    <w:rsid w:val="B9FDC294"/>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rFonts w:ascii="Times New Roman" w:hAnsi="Times New Roman"/>
      <w:sz w:val="24"/>
      <w:szCs w:val="24"/>
    </w:rPr>
  </w:style>
  <w:style w:type="paragraph" w:styleId="8">
    <w:name w:val="annotation subject"/>
    <w:basedOn w:val="3"/>
    <w:next w:val="3"/>
    <w:link w:val="20"/>
    <w:autoRedefine/>
    <w:qFormat/>
    <w:uiPriority w:val="0"/>
    <w:rPr>
      <w:b/>
      <w:bCs/>
    </w:rPr>
  </w:style>
  <w:style w:type="character" w:styleId="11">
    <w:name w:val="line number"/>
    <w:autoRedefine/>
    <w:qFormat/>
    <w:uiPriority w:val="0"/>
  </w:style>
  <w:style w:type="character" w:styleId="12">
    <w:name w:val="annotation reference"/>
    <w:autoRedefine/>
    <w:qFormat/>
    <w:uiPriority w:val="0"/>
    <w:rPr>
      <w:sz w:val="21"/>
      <w:szCs w:val="21"/>
    </w:rPr>
  </w:style>
  <w:style w:type="character" w:customStyle="1" w:styleId="13">
    <w:name w:val="页脚 Char"/>
    <w:link w:val="5"/>
    <w:qFormat/>
    <w:uiPriority w:val="0"/>
    <w:rPr>
      <w:sz w:val="18"/>
      <w:szCs w:val="18"/>
    </w:rPr>
  </w:style>
  <w:style w:type="character" w:customStyle="1" w:styleId="14">
    <w:name w:val="页眉 Char"/>
    <w:link w:val="6"/>
    <w:autoRedefine/>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4"/>
    <w:qFormat/>
    <w:uiPriority w:val="0"/>
    <w:rPr>
      <w:kern w:val="2"/>
      <w:sz w:val="18"/>
      <w:szCs w:val="18"/>
    </w:rPr>
  </w:style>
  <w:style w:type="character" w:customStyle="1" w:styleId="17">
    <w:name w:val="标题 1 Char"/>
    <w:link w:val="2"/>
    <w:autoRedefine/>
    <w:qFormat/>
    <w:uiPriority w:val="0"/>
    <w:rPr>
      <w:rFonts w:ascii="Times New Roman" w:hAnsi="Times New Roman"/>
      <w:b/>
      <w:bCs/>
      <w:kern w:val="44"/>
      <w:sz w:val="44"/>
      <w:szCs w:val="44"/>
    </w:rPr>
  </w:style>
  <w:style w:type="paragraph" w:customStyle="1" w:styleId="18">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3"/>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autoRedefine/>
    <w:qFormat/>
    <w:uiPriority w:val="0"/>
    <w:rPr>
      <w:rFonts w:hint="eastAsia" w:ascii="仿宋_GB2312" w:eastAsia="仿宋_GB2312"/>
      <w:color w:val="000000"/>
      <w:sz w:val="32"/>
      <w:szCs w:val="32"/>
    </w:rPr>
  </w:style>
  <w:style w:type="character" w:customStyle="1" w:styleId="22">
    <w:name w:val="fontstyle21"/>
    <w:autoRedefine/>
    <w:qFormat/>
    <w:uiPriority w:val="0"/>
    <w:rPr>
      <w:rFonts w:hint="default" w:ascii="TimesNewRomanPSMT" w:hAnsi="TimesNewRomanPSMT"/>
      <w:color w:val="000000"/>
      <w:sz w:val="32"/>
      <w:szCs w:val="32"/>
    </w:rPr>
  </w:style>
  <w:style w:type="character" w:customStyle="1" w:styleId="23">
    <w:name w:val="fontstyle11"/>
    <w:autoRedefine/>
    <w:qFormat/>
    <w:uiPriority w:val="0"/>
    <w:rPr>
      <w:rFonts w:hint="eastAsia" w:ascii="仿宋_GB2312" w:eastAsia="仿宋_GB2312"/>
      <w:color w:val="000000"/>
      <w:sz w:val="32"/>
      <w:szCs w:val="32"/>
    </w:rPr>
  </w:style>
  <w:style w:type="character" w:customStyle="1" w:styleId="24">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10</Pages>
  <Words>2462</Words>
  <Characters>2760</Characters>
  <Lines>68</Lines>
  <Paragraphs>19</Paragraphs>
  <TotalTime>0</TotalTime>
  <ScaleCrop>false</ScaleCrop>
  <LinksUpToDate>false</LinksUpToDate>
  <CharactersWithSpaces>2792</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2024-01-31T01:03:00Z</dcterms:created>
  <dc:creator>home</dc:creator>
  <cp:lastModifiedBy>qyshcx</cp:lastModifiedBy>
  <cp:lastPrinted>2022-02-15T23:45:00Z</cp:lastPrinted>
  <dcterms:modified xsi:type="dcterms:W3CDTF">2026-03-12T16:05:34Z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A7DD1E178BE747F88347974B78ED5C1D_13</vt:lpwstr>
  </property>
  <property fmtid="{D5CDD505-2E9C-101B-9397-08002B2CF9AE}" pid="4" name="KSOTemplateDocerSaveRecord">
    <vt:lpwstr>eyJoZGlkIjoiMmVkYWRjYmI3Mjk0NzgzNWIyOTUzODM1MmVmYmQwZTEiLCJ1c2VySWQiOiIyMzgwNjE0NzQifQ==</vt:lpwstr>
  </property>
</Properties>
</file>