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514F3F7">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华池县社会保险事业管理中心</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7894CAC0">
      <w:pPr>
        <w:pStyle w:val="7"/>
        <w:shd w:val="clear" w:color="auto" w:fill="FFFFFF"/>
        <w:spacing w:before="0" w:beforeAutospacing="0" w:after="0" w:afterAutospacing="0" w:line="560" w:lineRule="exact"/>
        <w:ind w:firstLine="640" w:firstLineChars="200"/>
        <w:rPr>
          <w:rFonts w:hint="eastAsia" w:ascii="Times New Roman" w:hAnsi="Times New Roman" w:eastAsia="仿宋" w:cs="Times New Roman"/>
          <w:color w:val="000000"/>
          <w:sz w:val="32"/>
          <w:szCs w:val="32"/>
          <w:lang w:eastAsia="zh-CN"/>
        </w:rPr>
      </w:pPr>
      <w:r>
        <w:rPr>
          <w:rFonts w:hint="eastAsia" w:ascii="仿宋_GB2312" w:eastAsia="仿宋_GB2312" w:cs="仿宋_GB2312"/>
          <w:b w:val="0"/>
          <w:i w:val="0"/>
          <w:caps w:val="0"/>
          <w:color w:val="000000"/>
          <w:spacing w:val="0"/>
          <w:sz w:val="32"/>
          <w:szCs w:val="32"/>
          <w:lang w:val="en-US" w:eastAsia="zh-CN"/>
        </w:rPr>
        <w:t>华池县社会保险事业管理中心</w:t>
      </w:r>
      <w:r>
        <w:rPr>
          <w:rFonts w:ascii="Times New Roman" w:hAnsi="Times New Roman" w:eastAsia="仿宋_GB2312" w:cs="Times New Roman"/>
          <w:color w:val="000000"/>
          <w:sz w:val="32"/>
          <w:szCs w:val="32"/>
        </w:rPr>
        <w:t>是</w:t>
      </w:r>
      <w:r>
        <w:rPr>
          <w:rFonts w:ascii="仿宋" w:hAnsi="仿宋" w:eastAsia="仿宋"/>
          <w:color w:val="000000"/>
          <w:sz w:val="32"/>
          <w:szCs w:val="32"/>
          <w:shd w:val="clear" w:color="auto" w:fill="FFFFFF"/>
        </w:rPr>
        <w:t>全县养老、失业、工伤保险</w:t>
      </w:r>
      <w:r>
        <w:rPr>
          <w:rFonts w:ascii="Times New Roman" w:hAnsi="Times New Roman" w:eastAsia="仿宋_GB2312" w:cs="Times New Roman"/>
          <w:color w:val="000000"/>
          <w:sz w:val="32"/>
          <w:szCs w:val="32"/>
        </w:rPr>
        <w:t>等工作的职能部门。主要职责是</w:t>
      </w:r>
      <w:r>
        <w:rPr>
          <w:rFonts w:ascii="仿宋" w:hAnsi="仿宋" w:eastAsia="仿宋"/>
          <w:color w:val="000000"/>
          <w:sz w:val="32"/>
          <w:szCs w:val="32"/>
          <w:shd w:val="clear" w:color="auto" w:fill="FFFFFF"/>
        </w:rPr>
        <w:t>承办全县养老、失业、工伤保险业务</w:t>
      </w:r>
      <w:r>
        <w:rPr>
          <w:rFonts w:hint="eastAsia" w:ascii="仿宋" w:hAnsi="仿宋" w:eastAsia="仿宋"/>
          <w:color w:val="000000"/>
          <w:sz w:val="32"/>
          <w:szCs w:val="32"/>
          <w:shd w:val="clear" w:color="auto" w:fill="FFFFFF"/>
          <w:lang w:eastAsia="zh-CN"/>
        </w:rPr>
        <w:t>，</w:t>
      </w:r>
      <w:r>
        <w:rPr>
          <w:rFonts w:ascii="仿宋" w:hAnsi="仿宋" w:eastAsia="仿宋"/>
          <w:color w:val="000000"/>
          <w:sz w:val="32"/>
          <w:szCs w:val="32"/>
          <w:shd w:val="clear" w:color="auto" w:fill="FFFFFF"/>
        </w:rPr>
        <w:t>各项社会保险基金的征收、管理和发放工作，确保基金的增值</w:t>
      </w:r>
      <w:r>
        <w:rPr>
          <w:rFonts w:hint="eastAsia" w:ascii="仿宋" w:hAnsi="仿宋" w:eastAsia="仿宋"/>
          <w:color w:val="000000"/>
          <w:sz w:val="32"/>
          <w:szCs w:val="32"/>
          <w:shd w:val="clear" w:color="auto" w:fill="FFFFFF"/>
          <w:lang w:eastAsia="zh-CN"/>
        </w:rPr>
        <w:t>，</w:t>
      </w:r>
      <w:r>
        <w:rPr>
          <w:rFonts w:ascii="仿宋" w:hAnsi="仿宋" w:eastAsia="仿宋"/>
          <w:color w:val="000000"/>
          <w:sz w:val="32"/>
          <w:szCs w:val="32"/>
          <w:shd w:val="clear" w:color="auto" w:fill="FFFFFF"/>
        </w:rPr>
        <w:t>负责建立和完善社会统筹、个人账户、档案等</w:t>
      </w:r>
      <w:r>
        <w:rPr>
          <w:rFonts w:hint="eastAsia" w:ascii="仿宋" w:hAnsi="仿宋" w:eastAsia="仿宋"/>
          <w:color w:val="000000"/>
          <w:sz w:val="32"/>
          <w:szCs w:val="32"/>
          <w:shd w:val="clear" w:color="auto" w:fill="FFFFFF"/>
          <w:lang w:eastAsia="zh-CN"/>
        </w:rPr>
        <w:t>。</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34B85465">
      <w:pPr>
        <w:pStyle w:val="7"/>
        <w:shd w:val="clear" w:color="auto" w:fill="FFFFFF"/>
        <w:spacing w:before="0" w:beforeAutospacing="0" w:after="0" w:afterAutospacing="0" w:line="560" w:lineRule="exact"/>
        <w:ind w:firstLine="640" w:firstLineChars="200"/>
        <w:rPr>
          <w:rFonts w:ascii="仿宋" w:hAnsi="仿宋" w:eastAsia="仿宋"/>
          <w:color w:val="000000"/>
          <w:sz w:val="32"/>
          <w:szCs w:val="32"/>
        </w:rPr>
      </w:pPr>
      <w:r>
        <w:rPr>
          <w:rFonts w:ascii="仿宋" w:hAnsi="仿宋" w:eastAsia="仿宋"/>
          <w:color w:val="000000"/>
          <w:sz w:val="32"/>
          <w:szCs w:val="32"/>
        </w:rPr>
        <w:t>华池县社会保险事业管理中心内设机构</w:t>
      </w:r>
      <w:r>
        <w:rPr>
          <w:rFonts w:hint="eastAsia" w:ascii="仿宋" w:hAnsi="仿宋" w:eastAsia="仿宋"/>
          <w:color w:val="000000"/>
          <w:sz w:val="32"/>
          <w:szCs w:val="32"/>
          <w:lang w:val="en-US" w:eastAsia="zh-CN"/>
        </w:rPr>
        <w:t>6</w:t>
      </w:r>
      <w:r>
        <w:rPr>
          <w:rFonts w:ascii="仿宋" w:hAnsi="仿宋" w:eastAsia="仿宋"/>
          <w:color w:val="000000"/>
          <w:sz w:val="32"/>
          <w:szCs w:val="32"/>
        </w:rPr>
        <w:t>个股室，人秘股、</w:t>
      </w:r>
      <w:r>
        <w:rPr>
          <w:rFonts w:hint="eastAsia" w:ascii="仿宋" w:hAnsi="仿宋" w:eastAsia="仿宋"/>
          <w:color w:val="000000"/>
          <w:sz w:val="32"/>
          <w:szCs w:val="32"/>
          <w:lang w:eastAsia="zh-CN"/>
        </w:rPr>
        <w:t>基金股、核定股、待遇发放股、</w:t>
      </w:r>
      <w:r>
        <w:rPr>
          <w:rFonts w:ascii="仿宋" w:hAnsi="仿宋" w:eastAsia="仿宋"/>
          <w:color w:val="000000"/>
          <w:sz w:val="32"/>
          <w:szCs w:val="32"/>
        </w:rPr>
        <w:t>机关养老保险股、</w:t>
      </w:r>
      <w:r>
        <w:rPr>
          <w:rFonts w:hint="eastAsia" w:ascii="仿宋" w:hAnsi="仿宋" w:eastAsia="仿宋"/>
          <w:color w:val="000000"/>
          <w:sz w:val="32"/>
          <w:szCs w:val="32"/>
          <w:lang w:eastAsia="zh-CN"/>
        </w:rPr>
        <w:t>稽核股</w:t>
      </w:r>
      <w:r>
        <w:rPr>
          <w:rFonts w:ascii="仿宋" w:hAnsi="仿宋" w:eastAsia="仿宋"/>
          <w:color w:val="000000"/>
          <w:sz w:val="32"/>
          <w:szCs w:val="32"/>
        </w:rPr>
        <w:t>。</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26244D40">
      <w:pPr>
        <w:pStyle w:val="7"/>
        <w:shd w:val="clear" w:color="auto" w:fill="FFFFFF"/>
        <w:spacing w:before="0" w:beforeAutospacing="0" w:after="0" w:afterAutospacing="0" w:line="560" w:lineRule="exact"/>
        <w:ind w:firstLine="640" w:firstLineChars="200"/>
        <w:rPr>
          <w:rFonts w:hint="eastAsia" w:ascii="仿宋" w:hAnsi="仿宋" w:eastAsia="仿宋"/>
          <w:color w:val="000000"/>
          <w:sz w:val="32"/>
          <w:szCs w:val="32"/>
        </w:rPr>
      </w:pPr>
      <w:r>
        <w:rPr>
          <w:rFonts w:ascii="仿宋" w:hAnsi="仿宋" w:eastAsia="仿宋"/>
          <w:color w:val="000000"/>
          <w:sz w:val="32"/>
          <w:szCs w:val="32"/>
          <w:shd w:val="clear" w:color="auto" w:fill="FFFFFF"/>
        </w:rPr>
        <w:t>我单位共有编制1</w:t>
      </w:r>
      <w:r>
        <w:rPr>
          <w:rFonts w:hint="eastAsia" w:ascii="仿宋" w:hAnsi="仿宋" w:eastAsia="仿宋"/>
          <w:color w:val="000000"/>
          <w:sz w:val="32"/>
          <w:szCs w:val="32"/>
          <w:shd w:val="clear" w:color="auto" w:fill="FFFFFF"/>
          <w:lang w:val="en-US" w:eastAsia="zh-CN"/>
        </w:rPr>
        <w:t>6</w:t>
      </w:r>
      <w:r>
        <w:rPr>
          <w:rFonts w:hint="eastAsia" w:ascii="仿宋" w:hAnsi="仿宋" w:eastAsia="仿宋"/>
          <w:color w:val="000000"/>
          <w:sz w:val="32"/>
          <w:szCs w:val="32"/>
          <w:shd w:val="clear" w:color="auto" w:fill="FFFFFF"/>
          <w:lang w:eastAsia="zh-CN"/>
        </w:rPr>
        <w:t>个</w:t>
      </w:r>
      <w:r>
        <w:rPr>
          <w:rFonts w:ascii="仿宋" w:hAnsi="仿宋" w:eastAsia="仿宋"/>
          <w:color w:val="000000"/>
          <w:sz w:val="32"/>
          <w:szCs w:val="32"/>
          <w:shd w:val="clear" w:color="auto" w:fill="FFFFFF"/>
        </w:rPr>
        <w:t>，均为事业编制。财政供养总人数</w:t>
      </w:r>
      <w:r>
        <w:rPr>
          <w:rFonts w:hint="eastAsia" w:ascii="仿宋" w:hAnsi="仿宋" w:eastAsia="仿宋"/>
          <w:color w:val="000000"/>
          <w:sz w:val="32"/>
          <w:szCs w:val="32"/>
          <w:shd w:val="clear" w:color="auto" w:fill="FFFFFF"/>
          <w:lang w:val="en-US" w:eastAsia="zh-CN"/>
        </w:rPr>
        <w:t>26</w:t>
      </w:r>
      <w:r>
        <w:rPr>
          <w:rFonts w:ascii="仿宋" w:hAnsi="仿宋" w:eastAsia="仿宋"/>
          <w:color w:val="000000"/>
          <w:sz w:val="32"/>
          <w:szCs w:val="32"/>
          <w:shd w:val="clear" w:color="auto" w:fill="FFFFFF"/>
        </w:rPr>
        <w:t>人，其中：在职人员</w:t>
      </w:r>
      <w:r>
        <w:rPr>
          <w:rFonts w:hint="eastAsia" w:ascii="仿宋" w:hAnsi="仿宋" w:eastAsia="仿宋"/>
          <w:color w:val="000000"/>
          <w:sz w:val="32"/>
          <w:szCs w:val="32"/>
          <w:shd w:val="clear" w:color="auto" w:fill="FFFFFF"/>
          <w:lang w:val="en-US" w:eastAsia="zh-CN"/>
        </w:rPr>
        <w:t>21</w:t>
      </w:r>
      <w:r>
        <w:rPr>
          <w:rFonts w:ascii="仿宋" w:hAnsi="仿宋" w:eastAsia="仿宋"/>
          <w:color w:val="000000"/>
          <w:sz w:val="32"/>
          <w:szCs w:val="32"/>
          <w:shd w:val="clear" w:color="auto" w:fill="FFFFFF"/>
        </w:rPr>
        <w:t>人，遗属</w:t>
      </w:r>
      <w:r>
        <w:rPr>
          <w:rFonts w:hint="eastAsia" w:ascii="仿宋" w:hAnsi="仿宋" w:eastAsia="仿宋"/>
          <w:color w:val="000000"/>
          <w:sz w:val="32"/>
          <w:szCs w:val="32"/>
          <w:shd w:val="clear" w:color="auto" w:fill="FFFFFF"/>
          <w:lang w:val="en-US" w:eastAsia="zh-CN"/>
        </w:rPr>
        <w:t>5</w:t>
      </w:r>
      <w:r>
        <w:rPr>
          <w:rFonts w:ascii="仿宋" w:hAnsi="仿宋" w:eastAsia="仿宋"/>
          <w:color w:val="000000"/>
          <w:sz w:val="32"/>
          <w:szCs w:val="32"/>
          <w:shd w:val="clear" w:color="auto" w:fill="FFFFFF"/>
        </w:rPr>
        <w:t>人。</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501.63</w:t>
      </w:r>
      <w:r>
        <w:rPr>
          <w:rFonts w:hint="eastAsia" w:ascii="仿宋_GB2312" w:hAnsi="仿宋" w:eastAsia="仿宋_GB2312" w:cs="宋体"/>
          <w:kern w:val="0"/>
          <w:sz w:val="32"/>
          <w:szCs w:val="32"/>
        </w:rPr>
        <w:t>万元。按照综合预算的原则，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501.63</w:t>
      </w:r>
      <w:r>
        <w:rPr>
          <w:rFonts w:hint="eastAsia" w:ascii="仿宋_GB2312" w:hAnsi="仿宋" w:eastAsia="仿宋_GB2312"/>
          <w:sz w:val="32"/>
          <w:szCs w:val="32"/>
        </w:rPr>
        <w:t>万元（详见单位预算公开表1,2）。包括：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501.63</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501.63</w:t>
      </w:r>
      <w:r>
        <w:rPr>
          <w:rFonts w:hint="eastAsia" w:ascii="仿宋_GB2312" w:hAnsi="仿宋" w:eastAsia="仿宋_GB2312"/>
          <w:sz w:val="32"/>
          <w:szCs w:val="32"/>
        </w:rPr>
        <w:t>万元（详见单位预算公开表3）。</w:t>
      </w:r>
      <w:r>
        <w:rPr>
          <w:rStyle w:val="21"/>
          <w:rFonts w:hint="default" w:hAnsi="仿宋"/>
        </w:rPr>
        <w:t>其中：基本支出</w:t>
      </w:r>
      <w:r>
        <w:rPr>
          <w:rStyle w:val="22"/>
          <w:rFonts w:hint="eastAsia" w:ascii="仿宋_GB2312" w:hAnsi="仿宋" w:eastAsia="仿宋_GB2312"/>
          <w:lang w:val="en-US" w:eastAsia="zh-CN"/>
        </w:rPr>
        <w:t>352.32</w:t>
      </w:r>
      <w:r>
        <w:rPr>
          <w:rStyle w:val="21"/>
          <w:rFonts w:hint="default" w:hAnsi="仿宋"/>
        </w:rPr>
        <w:t>万元，占</w:t>
      </w:r>
      <w:r>
        <w:rPr>
          <w:rStyle w:val="21"/>
          <w:rFonts w:hint="eastAsia" w:hAnsi="仿宋" w:eastAsia="仿宋_GB2312"/>
          <w:lang w:val="en-US" w:eastAsia="zh-CN"/>
        </w:rPr>
        <w:t>70</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149.31</w:t>
      </w:r>
      <w:r>
        <w:rPr>
          <w:rStyle w:val="21"/>
          <w:rFonts w:hint="default" w:hAnsi="仿宋"/>
        </w:rPr>
        <w:t>万元，占</w:t>
      </w:r>
      <w:r>
        <w:rPr>
          <w:rStyle w:val="22"/>
          <w:rFonts w:hint="eastAsia" w:ascii="仿宋_GB2312" w:hAnsi="仿宋" w:eastAsia="仿宋_GB2312"/>
          <w:lang w:val="en-US" w:eastAsia="zh-CN"/>
        </w:rPr>
        <w:t>30</w:t>
      </w:r>
      <w:r>
        <w:rPr>
          <w:rStyle w:val="22"/>
          <w:rFonts w:hint="eastAsia" w:ascii="仿宋_GB2312" w:hAnsi="仿宋" w:eastAsia="仿宋_GB2312"/>
        </w:rPr>
        <w:t>%</w:t>
      </w:r>
      <w:r>
        <w:rPr>
          <w:rStyle w:val="21"/>
          <w:rFonts w:hint="default" w:hAnsi="仿宋"/>
        </w:rPr>
        <w:t>；上年结转</w:t>
      </w:r>
      <w:r>
        <w:rPr>
          <w:rStyle w:val="22"/>
          <w:rFonts w:hint="eastAsia" w:ascii="仿宋_GB2312" w:hAnsi="仿宋" w:eastAsia="仿宋_GB2312"/>
          <w:lang w:val="en-US" w:eastAsia="zh-CN"/>
        </w:rPr>
        <w:t>0</w:t>
      </w:r>
      <w:r>
        <w:rPr>
          <w:rStyle w:val="21"/>
          <w:rFonts w:hint="default" w:hAnsi="仿宋"/>
        </w:rPr>
        <w:t>万元</w:t>
      </w:r>
      <w:r>
        <w:rPr>
          <w:rStyle w:val="21"/>
          <w:rFonts w:hint="eastAsia" w:hAnsi="仿宋" w:eastAsia="仿宋_GB2312"/>
          <w:lang w:eastAsia="zh-CN"/>
        </w:rPr>
        <w:t>，占</w:t>
      </w:r>
      <w:r>
        <w:rPr>
          <w:rStyle w:val="22"/>
          <w:rFonts w:hint="eastAsia" w:ascii="仿宋_GB2312" w:hAnsi="仿宋" w:eastAsia="仿宋_GB2312"/>
          <w:lang w:val="en-US" w:eastAsia="zh-CN"/>
        </w:rPr>
        <w:t>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501.63</w:t>
      </w:r>
      <w:r>
        <w:rPr>
          <w:rStyle w:val="21"/>
          <w:rFonts w:hint="default" w:hAnsi="仿宋"/>
        </w:rPr>
        <w:t>万元，包括：社会保障和就业支出</w:t>
      </w:r>
      <w:r>
        <w:rPr>
          <w:rStyle w:val="22"/>
          <w:rFonts w:hint="eastAsia" w:ascii="仿宋_GB2312" w:hAnsi="仿宋" w:eastAsia="仿宋_GB2312"/>
          <w:lang w:val="en-US" w:eastAsia="zh-CN"/>
        </w:rPr>
        <w:t>460.54</w:t>
      </w:r>
      <w:r>
        <w:rPr>
          <w:rStyle w:val="21"/>
          <w:rFonts w:hint="default" w:hAnsi="仿宋"/>
        </w:rPr>
        <w:t>万元、</w:t>
      </w:r>
      <w:r>
        <w:rPr>
          <w:rStyle w:val="21"/>
          <w:rFonts w:hint="eastAsia" w:hAnsi="仿宋" w:eastAsia="仿宋_GB2312"/>
          <w:lang w:eastAsia="zh-CN"/>
        </w:rPr>
        <w:t>卫生健康支出</w:t>
      </w:r>
      <w:r>
        <w:rPr>
          <w:rStyle w:val="21"/>
          <w:rFonts w:hint="eastAsia" w:hAnsi="仿宋" w:eastAsia="仿宋_GB2312"/>
          <w:lang w:val="en-US" w:eastAsia="zh-CN"/>
        </w:rPr>
        <w:t>17.24</w:t>
      </w:r>
      <w:r>
        <w:rPr>
          <w:rStyle w:val="21"/>
          <w:rFonts w:hint="default" w:hAnsi="仿宋"/>
        </w:rPr>
        <w:t>万元</w:t>
      </w:r>
      <w:r>
        <w:rPr>
          <w:rStyle w:val="21"/>
          <w:rFonts w:hint="eastAsia" w:hAnsi="仿宋" w:eastAsia="仿宋_GB2312"/>
          <w:lang w:eastAsia="zh-CN"/>
        </w:rPr>
        <w:t>、住房保障支出</w:t>
      </w:r>
      <w:r>
        <w:rPr>
          <w:rStyle w:val="21"/>
          <w:rFonts w:hint="eastAsia" w:hAnsi="仿宋" w:eastAsia="仿宋_GB2312"/>
          <w:lang w:val="en-US" w:eastAsia="zh-CN"/>
        </w:rPr>
        <w:t>23.85万元</w:t>
      </w:r>
      <w:r>
        <w:rPr>
          <w:rStyle w:val="21"/>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352.32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44.37</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11.19</w:t>
      </w:r>
      <w:r>
        <w:rPr>
          <w:rFonts w:hint="eastAsia" w:ascii="仿宋_GB2312" w:hAnsi="仿宋" w:eastAsia="仿宋_GB2312"/>
          <w:sz w:val="32"/>
          <w:szCs w:val="32"/>
        </w:rPr>
        <w:t xml:space="preserve"> %，下降的主要原因是</w:t>
      </w:r>
      <w:r>
        <w:rPr>
          <w:rFonts w:hint="eastAsia" w:ascii="仿宋_GB2312" w:hAnsi="仿宋" w:eastAsia="仿宋_GB2312"/>
          <w:sz w:val="32"/>
          <w:szCs w:val="32"/>
          <w:lang w:eastAsia="zh-CN"/>
        </w:rPr>
        <w:t>人员减少，工资福利及各项保险费减少。</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319.39</w:t>
      </w:r>
      <w:r>
        <w:rPr>
          <w:rFonts w:hint="eastAsia" w:ascii="仿宋_GB2312" w:hAnsi="仿宋" w:eastAsia="仿宋_GB2312"/>
          <w:sz w:val="32"/>
          <w:szCs w:val="32"/>
        </w:rPr>
        <w:t>万元，主要包括：基本工资</w:t>
      </w:r>
      <w:r>
        <w:rPr>
          <w:rFonts w:hint="eastAsia" w:ascii="仿宋_GB2312" w:hAnsi="仿宋" w:eastAsia="仿宋_GB2312"/>
          <w:sz w:val="32"/>
          <w:szCs w:val="32"/>
          <w:lang w:val="en-US" w:eastAsia="zh-CN"/>
        </w:rPr>
        <w:t>98.63万元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107.82万元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20.82万元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31.81万元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15.9万元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17.24万元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1.6万元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23.85万元、</w:t>
      </w:r>
      <w:r>
        <w:rPr>
          <w:rFonts w:hint="eastAsia" w:ascii="仿宋_GB2312" w:hAnsi="仿宋" w:eastAsia="仿宋_GB2312"/>
          <w:sz w:val="32"/>
          <w:szCs w:val="32"/>
        </w:rPr>
        <w:t>生活补助</w:t>
      </w:r>
      <w:r>
        <w:rPr>
          <w:rFonts w:hint="eastAsia" w:ascii="仿宋_GB2312" w:hAnsi="仿宋" w:eastAsia="仿宋_GB2312"/>
          <w:sz w:val="32"/>
          <w:szCs w:val="32"/>
          <w:lang w:val="en-US" w:eastAsia="zh-CN"/>
        </w:rPr>
        <w:t>1.72万元</w:t>
      </w:r>
      <w:r>
        <w:rPr>
          <w:rFonts w:hint="eastAsia" w:ascii="仿宋_GB2312" w:hAnsi="仿宋" w:eastAsia="仿宋_GB2312"/>
          <w:sz w:val="32"/>
          <w:szCs w:val="32"/>
        </w:rPr>
        <w:t>。</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32.93</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4.1万元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2万元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0.2万元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0.8万元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1万元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2.57万元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2.5万元</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2.29万元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1.43万元</w:t>
      </w:r>
      <w:r>
        <w:rPr>
          <w:rFonts w:hint="eastAsia" w:ascii="仿宋_GB2312" w:hAnsi="仿宋" w:eastAsia="仿宋_GB2312"/>
          <w:sz w:val="32"/>
          <w:szCs w:val="32"/>
        </w:rPr>
        <w:t>、其他交通费用</w:t>
      </w:r>
      <w:r>
        <w:rPr>
          <w:rFonts w:hint="eastAsia" w:ascii="仿宋_GB2312" w:hAnsi="仿宋" w:eastAsia="仿宋_GB2312"/>
          <w:sz w:val="32"/>
          <w:szCs w:val="32"/>
          <w:lang w:val="en-US" w:eastAsia="zh-CN"/>
        </w:rPr>
        <w:t>10.04万元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6万元</w:t>
      </w:r>
      <w:r>
        <w:rPr>
          <w:rFonts w:hint="eastAsia" w:ascii="仿宋_GB2312" w:hAnsi="仿宋" w:eastAsia="仿宋_GB2312"/>
          <w:sz w:val="32"/>
          <w:szCs w:val="32"/>
        </w:rPr>
        <w:t>。</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bookmarkStart w:id="0" w:name="_GoBack"/>
      <w:bookmarkEnd w:id="0"/>
    </w:p>
    <w:p w14:paraId="226BF674">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149.31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33.54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28.98</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增加改制企业退休人员取暖费项目。</w:t>
      </w:r>
    </w:p>
    <w:p w14:paraId="3629A69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个，主要是项目企业养老保险基金缺口分担。</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个，主要是项目1下岗职工生活补助费、改制企业遗属生活费、差额退休费</w:t>
      </w:r>
      <w:r>
        <w:rPr>
          <w:rFonts w:hint="eastAsia" w:ascii="仿宋_GB2312" w:hAnsi="仿宋" w:eastAsia="仿宋_GB2312"/>
          <w:sz w:val="32"/>
          <w:szCs w:val="32"/>
          <w:lang w:eastAsia="zh-CN"/>
        </w:rPr>
        <w:t>，</w:t>
      </w:r>
      <w:r>
        <w:rPr>
          <w:rFonts w:hint="eastAsia" w:ascii="仿宋_GB2312" w:hAnsi="仿宋" w:eastAsia="仿宋_GB2312"/>
          <w:sz w:val="32"/>
          <w:szCs w:val="32"/>
        </w:rPr>
        <w:t>项目2改制企业退休人员取暖费。</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735A6E95">
      <w:pPr>
        <w:adjustRightInd w:val="0"/>
        <w:snapToGrid w:val="0"/>
        <w:spacing w:line="640" w:lineRule="exact"/>
        <w:ind w:firstLine="640" w:firstLineChars="200"/>
        <w:contextualSpacing/>
        <w:rPr>
          <w:rStyle w:val="21"/>
          <w:rFonts w:hint="eastAsia" w:hAnsi="仿宋" w:eastAsia="仿宋_GB2312"/>
          <w:lang w:val="en-US" w:eastAsia="zh-CN"/>
        </w:rPr>
      </w:pPr>
      <w:r>
        <w:rPr>
          <w:rStyle w:val="21"/>
          <w:rFonts w:hint="default" w:hAnsi="仿宋"/>
        </w:rPr>
        <w:t>社会保障和就业支出</w:t>
      </w:r>
      <w:r>
        <w:rPr>
          <w:rStyle w:val="22"/>
          <w:rFonts w:hint="eastAsia" w:ascii="仿宋_GB2312" w:hAnsi="仿宋" w:eastAsia="仿宋_GB2312"/>
          <w:lang w:val="en-US" w:eastAsia="zh-CN"/>
        </w:rPr>
        <w:t>460.54</w:t>
      </w:r>
      <w:r>
        <w:rPr>
          <w:rStyle w:val="21"/>
          <w:rFonts w:hint="default" w:hAnsi="仿宋"/>
        </w:rPr>
        <w:t>万元、</w:t>
      </w:r>
      <w:r>
        <w:rPr>
          <w:rStyle w:val="21"/>
          <w:rFonts w:hint="eastAsia" w:hAnsi="仿宋" w:eastAsia="仿宋_GB2312"/>
          <w:lang w:eastAsia="zh-CN"/>
        </w:rPr>
        <w:t>比</w:t>
      </w:r>
      <w:r>
        <w:rPr>
          <w:rStyle w:val="21"/>
          <w:rFonts w:hint="eastAsia" w:hAnsi="仿宋" w:eastAsia="仿宋_GB2312"/>
          <w:lang w:val="en-US" w:eastAsia="zh-CN"/>
        </w:rPr>
        <w:t>2025年减少6.94万元，</w:t>
      </w:r>
      <w:r>
        <w:rPr>
          <w:rStyle w:val="21"/>
          <w:rFonts w:hint="eastAsia" w:hAnsi="仿宋" w:eastAsia="仿宋_GB2312"/>
          <w:lang w:eastAsia="zh-CN"/>
        </w:rPr>
        <w:t>卫生健康支出</w:t>
      </w:r>
      <w:r>
        <w:rPr>
          <w:rStyle w:val="21"/>
          <w:rFonts w:hint="eastAsia" w:hAnsi="仿宋" w:eastAsia="仿宋_GB2312"/>
          <w:lang w:val="en-US" w:eastAsia="zh-CN"/>
        </w:rPr>
        <w:t>17.24</w:t>
      </w:r>
      <w:r>
        <w:rPr>
          <w:rStyle w:val="21"/>
          <w:rFonts w:hint="default" w:hAnsi="仿宋"/>
        </w:rPr>
        <w:t>万元</w:t>
      </w:r>
      <w:r>
        <w:rPr>
          <w:rStyle w:val="21"/>
          <w:rFonts w:hint="eastAsia" w:hAnsi="仿宋" w:eastAsia="仿宋_GB2312"/>
          <w:lang w:eastAsia="zh-CN"/>
        </w:rPr>
        <w:t>、比</w:t>
      </w:r>
      <w:r>
        <w:rPr>
          <w:rStyle w:val="21"/>
          <w:rFonts w:hint="eastAsia" w:hAnsi="仿宋" w:eastAsia="仿宋_GB2312"/>
          <w:lang w:val="en-US" w:eastAsia="zh-CN"/>
        </w:rPr>
        <w:t>2025年减少1.18万元，</w:t>
      </w:r>
      <w:r>
        <w:rPr>
          <w:rStyle w:val="21"/>
          <w:rFonts w:hint="eastAsia" w:hAnsi="仿宋" w:eastAsia="仿宋_GB2312"/>
          <w:lang w:eastAsia="zh-CN"/>
        </w:rPr>
        <w:t>住房保障支出</w:t>
      </w:r>
      <w:r>
        <w:rPr>
          <w:rStyle w:val="21"/>
          <w:rFonts w:hint="eastAsia" w:hAnsi="仿宋" w:eastAsia="仿宋_GB2312"/>
          <w:lang w:val="en-US" w:eastAsia="zh-CN"/>
        </w:rPr>
        <w:t>23.85万元，比2025年减少2.71万元，主要原因</w:t>
      </w:r>
      <w:r>
        <w:rPr>
          <w:rFonts w:hint="eastAsia" w:ascii="仿宋_GB2312" w:hAnsi="仿宋" w:eastAsia="仿宋_GB2312"/>
          <w:sz w:val="32"/>
          <w:szCs w:val="32"/>
          <w:lang w:eastAsia="zh-CN"/>
        </w:rPr>
        <w:t>人员工资福利及各类保险减少</w:t>
      </w:r>
      <w:r>
        <w:rPr>
          <w:rStyle w:val="21"/>
          <w:rFonts w:hint="eastAsia" w:hAnsi="仿宋" w:eastAsia="仿宋_GB2312"/>
          <w:lang w:val="en-US"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0.19</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eastAsia="zh-CN"/>
        </w:rPr>
        <w:t>无变化</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0.19</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%，下降的主要原因是</w:t>
      </w:r>
      <w:r>
        <w:rPr>
          <w:rFonts w:hint="eastAsia" w:ascii="仿宋_GB2312" w:hAnsi="仿宋" w:eastAsia="仿宋_GB2312"/>
          <w:sz w:val="32"/>
          <w:szCs w:val="32"/>
          <w:lang w:eastAsia="zh-CN"/>
        </w:rPr>
        <w:t>二级单位不产生公务接待费</w:t>
      </w:r>
      <w:r>
        <w:rPr>
          <w:rFonts w:hint="eastAsia" w:ascii="仿宋_GB2312" w:hAnsi="仿宋" w:eastAsia="仿宋_GB2312"/>
          <w:sz w:val="32"/>
          <w:szCs w:val="32"/>
        </w:rPr>
        <w:t>。</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w:t>
      </w:r>
      <w:r>
        <w:rPr>
          <w:rFonts w:hint="eastAsia" w:ascii="仿宋_GB2312" w:hAnsi="仿宋" w:eastAsia="仿宋_GB2312"/>
          <w:sz w:val="32"/>
          <w:szCs w:val="32"/>
        </w:rPr>
        <w:t>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eastAsia="zh-CN"/>
        </w:rPr>
        <w:t>无变化</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w:t>
      </w:r>
      <w:r>
        <w:rPr>
          <w:rFonts w:hint="eastAsia" w:ascii="仿宋_GB2312" w:hAnsi="仿宋" w:eastAsia="仿宋_GB2312"/>
          <w:sz w:val="32"/>
          <w:szCs w:val="32"/>
          <w:lang w:eastAsia="zh-CN"/>
        </w:rPr>
        <w:t>无</w:t>
      </w:r>
      <w:r>
        <w:rPr>
          <w:rFonts w:hint="eastAsia" w:ascii="仿宋_GB2312" w:hAnsi="仿宋" w:eastAsia="仿宋_GB2312"/>
          <w:sz w:val="32"/>
          <w:szCs w:val="32"/>
        </w:rPr>
        <w:t>培训费 。</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rPr>
        <w:t>5.</w:t>
      </w:r>
      <w:r>
        <w:rPr>
          <w:rFonts w:hint="eastAsia" w:ascii="仿宋_GB2312" w:hAnsi="仿宋" w:eastAsia="仿宋_GB2312"/>
          <w:sz w:val="32"/>
          <w:szCs w:val="32"/>
          <w:lang w:eastAsia="zh-CN"/>
        </w:rPr>
        <w:t>无</w:t>
      </w:r>
      <w:r>
        <w:rPr>
          <w:rFonts w:hint="eastAsia" w:ascii="仿宋_GB2312" w:hAnsi="仿宋" w:eastAsia="仿宋_GB2312"/>
          <w:sz w:val="32"/>
          <w:szCs w:val="32"/>
        </w:rPr>
        <w:t>会议费。</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20.6</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6.82</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24.87</w:t>
      </w:r>
      <w:r>
        <w:rPr>
          <w:rFonts w:hint="eastAsia" w:ascii="仿宋_GB2312" w:hAnsi="仿宋" w:eastAsia="仿宋_GB2312"/>
          <w:sz w:val="32"/>
          <w:szCs w:val="32"/>
        </w:rPr>
        <w:t>%，下降的主要原因是</w:t>
      </w:r>
      <w:r>
        <w:rPr>
          <w:rFonts w:hint="eastAsia" w:ascii="仿宋_GB2312" w:hAnsi="仿宋" w:eastAsia="仿宋_GB2312"/>
          <w:sz w:val="32"/>
          <w:szCs w:val="32"/>
          <w:lang w:eastAsia="zh-CN"/>
        </w:rPr>
        <w:t>人员减少，公用经费福利费等减少</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6.4</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5.6</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0.8</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上年末固定资产金额为</w:t>
      </w:r>
      <w:r>
        <w:rPr>
          <w:rFonts w:hint="eastAsia" w:ascii="仿宋_GB2312" w:hAnsi="仿宋" w:eastAsia="仿宋_GB2312"/>
          <w:color w:val="000000" w:themeColor="text1"/>
          <w:sz w:val="32"/>
          <w:szCs w:val="32"/>
          <w:lang w:val="en-US" w:eastAsia="zh-CN"/>
          <w14:textFill>
            <w14:solidFill>
              <w14:schemeClr w14:val="tx1"/>
            </w14:solidFill>
          </w14:textFill>
        </w:rPr>
        <w:t>45.86</w:t>
      </w:r>
      <w:r>
        <w:rPr>
          <w:rFonts w:hint="eastAsia" w:ascii="仿宋_GB2312" w:hAnsi="仿宋" w:eastAsia="仿宋_GB2312"/>
          <w:color w:val="000000" w:themeColor="text1"/>
          <w:sz w:val="32"/>
          <w:szCs w:val="32"/>
          <w14:textFill>
            <w14:solidFill>
              <w14:schemeClr w14:val="tx1"/>
            </w14:solidFill>
          </w14:textFill>
        </w:rPr>
        <w:t>万元。其中：办公用房</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14:textFill>
            <w14:solidFill>
              <w14:schemeClr w14:val="tx1"/>
            </w14:solidFill>
          </w14:textFill>
        </w:rPr>
        <w:t>平方米，价值</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14:textFill>
            <w14:solidFill>
              <w14:schemeClr w14:val="tx1"/>
            </w14:solidFill>
          </w14:textFill>
        </w:rPr>
        <w:t>万元。预算单位共有公务用车</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14:textFill>
            <w14:solidFill>
              <w14:schemeClr w14:val="tx1"/>
            </w14:solidFill>
          </w14:textFill>
        </w:rPr>
        <w:t>辆，价值</w:t>
      </w:r>
      <w:r>
        <w:rPr>
          <w:rFonts w:hint="eastAsia" w:ascii="仿宋_GB2312" w:hAnsi="仿宋" w:eastAsia="仿宋_GB2312"/>
          <w:color w:val="000000" w:themeColor="text1"/>
          <w:sz w:val="32"/>
          <w:szCs w:val="32"/>
          <w:lang w:val="en-US" w:eastAsia="zh-CN"/>
          <w14:textFill>
            <w14:solidFill>
              <w14:schemeClr w14:val="tx1"/>
            </w14:solidFill>
          </w14:textFill>
        </w:rPr>
        <w:t>0</w:t>
      </w:r>
      <w:r>
        <w:rPr>
          <w:rFonts w:hint="eastAsia" w:ascii="仿宋_GB2312" w:hAnsi="仿宋" w:eastAsia="仿宋_GB2312"/>
          <w:color w:val="000000" w:themeColor="text1"/>
          <w:sz w:val="32"/>
          <w:szCs w:val="32"/>
          <w14:textFill>
            <w14:solidFill>
              <w14:schemeClr w14:val="tx1"/>
            </w14:solidFill>
          </w14:textFill>
        </w:rPr>
        <w:t>万元。</w:t>
      </w:r>
      <w:r>
        <w:rPr>
          <w:rFonts w:hint="eastAsia" w:ascii="仿宋_GB2312" w:hAnsi="仿宋" w:eastAsia="仿宋_GB2312"/>
          <w:color w:val="000000" w:themeColor="text1"/>
          <w:sz w:val="32"/>
          <w:szCs w:val="32"/>
          <w:lang w:eastAsia="zh-CN"/>
          <w14:textFill>
            <w14:solidFill>
              <w14:schemeClr w14:val="tx1"/>
            </w14:solidFill>
          </w14:textFill>
        </w:rPr>
        <w:t>无</w:t>
      </w:r>
      <w:r>
        <w:rPr>
          <w:rFonts w:hint="eastAsia" w:ascii="仿宋_GB2312" w:hAnsi="仿宋" w:eastAsia="仿宋_GB2312"/>
          <w:color w:val="000000" w:themeColor="text1"/>
          <w:sz w:val="32"/>
          <w:szCs w:val="32"/>
          <w14:textFill>
            <w14:solidFill>
              <w14:schemeClr w14:val="tx1"/>
            </w14:solidFill>
          </w14:textFill>
        </w:rPr>
        <w:t>单价20万元以上的设备。</w:t>
      </w:r>
      <w:r>
        <w:rPr>
          <w:rFonts w:hint="eastAsia" w:ascii="仿宋_GB2312" w:hAnsi="仿宋" w:eastAsia="仿宋_GB2312"/>
          <w:color w:val="000000" w:themeColor="text1"/>
          <w:sz w:val="32"/>
          <w:szCs w:val="32"/>
          <w:lang w:eastAsia="zh-CN"/>
          <w14:textFill>
            <w14:solidFill>
              <w14:schemeClr w14:val="tx1"/>
            </w14:solidFill>
          </w14:textFill>
        </w:rPr>
        <w:t>20</w:t>
      </w:r>
      <w:r>
        <w:rPr>
          <w:rFonts w:hint="eastAsia" w:ascii="仿宋_GB2312" w:hAnsi="仿宋" w:eastAsia="仿宋_GB2312"/>
          <w:color w:val="000000" w:themeColor="text1"/>
          <w:sz w:val="32"/>
          <w:szCs w:val="32"/>
          <w:lang w:val="en-US" w:eastAsia="zh-CN"/>
          <w14:textFill>
            <w14:solidFill>
              <w14:schemeClr w14:val="tx1"/>
            </w14:solidFill>
          </w14:textFill>
        </w:rPr>
        <w:t>26</w:t>
      </w:r>
      <w:r>
        <w:rPr>
          <w:rFonts w:hint="eastAsia" w:ascii="仿宋_GB2312" w:hAnsi="仿宋" w:eastAsia="仿宋_GB2312"/>
          <w:color w:val="000000" w:themeColor="text1"/>
          <w:sz w:val="32"/>
          <w:szCs w:val="32"/>
          <w14:textFill>
            <w14:solidFill>
              <w14:schemeClr w14:val="tx1"/>
            </w14:solidFill>
          </w14:textFill>
        </w:rPr>
        <w:t xml:space="preserve">年拟采购固定资产约 </w:t>
      </w:r>
      <w:r>
        <w:rPr>
          <w:rFonts w:hint="eastAsia" w:ascii="仿宋_GB2312" w:hAnsi="仿宋" w:eastAsia="仿宋_GB2312"/>
          <w:color w:val="000000" w:themeColor="text1"/>
          <w:sz w:val="32"/>
          <w:szCs w:val="32"/>
          <w:lang w:val="en-US" w:eastAsia="zh-CN"/>
          <w14:textFill>
            <w14:solidFill>
              <w14:schemeClr w14:val="tx1"/>
            </w14:solidFill>
          </w14:textFill>
        </w:rPr>
        <w:t>5</w:t>
      </w:r>
      <w:r>
        <w:rPr>
          <w:rFonts w:hint="eastAsia" w:ascii="仿宋_GB2312" w:hAnsi="仿宋" w:eastAsia="仿宋_GB2312"/>
          <w:color w:val="000000" w:themeColor="text1"/>
          <w:sz w:val="32"/>
          <w:szCs w:val="32"/>
          <w14:textFill>
            <w14:solidFill>
              <w14:schemeClr w14:val="tx1"/>
            </w14:solidFill>
          </w14:textFill>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0250D937">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本单位</w:t>
      </w:r>
      <w:r>
        <w:rPr>
          <w:rFonts w:hint="eastAsia" w:ascii="仿宋_GB2312" w:hAnsi="仿宋" w:eastAsia="仿宋_GB2312"/>
          <w:sz w:val="32"/>
          <w:szCs w:val="32"/>
          <w:lang w:val="en-US" w:eastAsia="zh-CN"/>
        </w:rPr>
        <w:t>2025年</w:t>
      </w:r>
      <w:r>
        <w:rPr>
          <w:rFonts w:hint="eastAsia" w:ascii="仿宋_GB2312" w:hAnsi="仿宋" w:eastAsia="仿宋_GB2312"/>
          <w:sz w:val="32"/>
          <w:szCs w:val="32"/>
          <w:lang w:eastAsia="zh-CN"/>
        </w:rPr>
        <w:t>无政府性基金。</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12BFC44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2025</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3DCE2EC">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项目名称：下岗职工生活补助费、改制企业遗属生活费、差额退休费</w:t>
      </w:r>
    </w:p>
    <w:p w14:paraId="67363918">
      <w:pPr>
        <w:widowControl/>
        <w:numPr>
          <w:ilvl w:val="0"/>
          <w:numId w:val="1"/>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项目概况：</w:t>
      </w:r>
      <w:r>
        <w:rPr>
          <w:rFonts w:hint="eastAsia" w:ascii="仿宋_GB2312" w:hAnsi="仿宋" w:eastAsia="仿宋_GB2312"/>
          <w:sz w:val="32"/>
          <w:szCs w:val="32"/>
          <w:lang w:eastAsia="zh-CN"/>
        </w:rPr>
        <w:t>为</w:t>
      </w:r>
      <w:r>
        <w:rPr>
          <w:rFonts w:hint="eastAsia" w:ascii="仿宋_GB2312" w:hAnsi="仿宋" w:eastAsia="仿宋_GB2312"/>
          <w:sz w:val="32"/>
          <w:szCs w:val="32"/>
          <w:lang w:val="en-US" w:eastAsia="zh-CN"/>
        </w:rPr>
        <w:t>12个</w:t>
      </w:r>
      <w:r>
        <w:rPr>
          <w:rFonts w:hint="eastAsia" w:ascii="仿宋_GB2312" w:hAnsi="仿宋" w:eastAsia="仿宋_GB2312"/>
          <w:sz w:val="32"/>
          <w:szCs w:val="32"/>
          <w:lang w:eastAsia="zh-CN"/>
        </w:rPr>
        <w:t>下岗职工发放生活补助费，</w:t>
      </w:r>
      <w:r>
        <w:rPr>
          <w:rFonts w:hint="eastAsia" w:ascii="仿宋_GB2312" w:hAnsi="仿宋" w:eastAsia="仿宋_GB2312"/>
          <w:sz w:val="32"/>
          <w:szCs w:val="32"/>
          <w:lang w:val="en-US" w:eastAsia="zh-CN"/>
        </w:rPr>
        <w:t>90个改制企业遗属发放生活费，为4个苗圃退休人员发放差额退休费。</w:t>
      </w:r>
    </w:p>
    <w:p w14:paraId="69C4F1CA">
      <w:pPr>
        <w:widowControl/>
        <w:numPr>
          <w:ilvl w:val="0"/>
          <w:numId w:val="0"/>
        </w:numPr>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2、立项依据：根据2014年10月29日政府常务会议纪要文件精神、2009年16届31次政府常务会议纪要文件精神、2011年华政办字第44号文件精神。</w:t>
      </w:r>
    </w:p>
    <w:p w14:paraId="5CC39B17">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华池县社会保险事业管理中心</w:t>
      </w:r>
    </w:p>
    <w:p w14:paraId="57805820">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4、实施周期：</w:t>
      </w:r>
      <w:r>
        <w:rPr>
          <w:rFonts w:hint="eastAsia" w:ascii="仿宋_GB2312" w:hAnsi="仿宋" w:eastAsia="仿宋_GB2312"/>
          <w:sz w:val="32"/>
          <w:szCs w:val="32"/>
          <w:lang w:eastAsia="zh-CN"/>
        </w:rPr>
        <w:t>一年</w:t>
      </w:r>
    </w:p>
    <w:p w14:paraId="0C0231F4">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eastAsia="zh-CN"/>
        </w:rPr>
        <w:t>每月</w:t>
      </w:r>
      <w:r>
        <w:rPr>
          <w:rFonts w:hint="eastAsia" w:ascii="仿宋_GB2312" w:hAnsi="仿宋" w:eastAsia="仿宋_GB2312"/>
          <w:sz w:val="32"/>
          <w:szCs w:val="32"/>
          <w:lang w:val="en-US" w:eastAsia="zh-CN"/>
        </w:rPr>
        <w:t>20号之前发放到位</w:t>
      </w:r>
    </w:p>
    <w:p w14:paraId="5ED701C9">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65.77万元</w:t>
      </w:r>
    </w:p>
    <w:p w14:paraId="1FE471A2">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7、预期总体目标：</w:t>
      </w:r>
      <w:r>
        <w:rPr>
          <w:rFonts w:hint="eastAsia" w:ascii="仿宋_GB2312" w:hAnsi="仿宋" w:eastAsia="仿宋_GB2312"/>
          <w:sz w:val="32"/>
          <w:szCs w:val="32"/>
          <w:lang w:eastAsia="zh-CN"/>
        </w:rPr>
        <w:t>保障下岗职工及改制企业遗属基本生活。</w:t>
      </w:r>
    </w:p>
    <w:p w14:paraId="754DD0FB">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项目名称：企业养老保险基金缺口分担</w:t>
      </w:r>
    </w:p>
    <w:p w14:paraId="3FC15035">
      <w:pPr>
        <w:widowControl/>
        <w:numPr>
          <w:ilvl w:val="0"/>
          <w:numId w:val="2"/>
        </w:numPr>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项目概况：</w:t>
      </w:r>
      <w:r>
        <w:rPr>
          <w:rFonts w:hint="eastAsia" w:ascii="仿宋_GB2312" w:hAnsi="仿宋" w:eastAsia="仿宋_GB2312"/>
          <w:sz w:val="32"/>
          <w:szCs w:val="32"/>
          <w:lang w:eastAsia="zh-CN"/>
        </w:rPr>
        <w:t>根据甘人社通〔2017〕418号关于建立甘肃省企业职工基本养老保险基金缺口责任分担机制有关事项的通知文件精神，当年统筹地区未完成当年基金收入预算或超出基金支出预算形成的基金缺口，由统筹地区全额分担。</w:t>
      </w:r>
    </w:p>
    <w:p w14:paraId="3ECF28D1">
      <w:pPr>
        <w:widowControl/>
        <w:numPr>
          <w:ilvl w:val="0"/>
          <w:numId w:val="2"/>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立项依据：甘人社通〔2017〕418号关于建立甘肃省企业职工基本养老保险基金缺口责任分担机制有关事项的通知</w:t>
      </w:r>
    </w:p>
    <w:p w14:paraId="61B171C6">
      <w:pPr>
        <w:widowControl/>
        <w:numPr>
          <w:ilvl w:val="0"/>
          <w:numId w:val="0"/>
        </w:numPr>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华池县社会保险事业管理中心</w:t>
      </w:r>
    </w:p>
    <w:p w14:paraId="6B18FEC6">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4、实施周期：</w:t>
      </w:r>
      <w:r>
        <w:rPr>
          <w:rFonts w:hint="eastAsia" w:ascii="仿宋_GB2312" w:hAnsi="仿宋" w:eastAsia="仿宋_GB2312"/>
          <w:sz w:val="32"/>
          <w:szCs w:val="32"/>
          <w:lang w:eastAsia="zh-CN"/>
        </w:rPr>
        <w:t>一年</w:t>
      </w:r>
    </w:p>
    <w:p w14:paraId="404722D1">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eastAsia="zh-CN"/>
        </w:rPr>
        <w:t>每月</w:t>
      </w:r>
      <w:r>
        <w:rPr>
          <w:rFonts w:hint="eastAsia" w:ascii="仿宋_GB2312" w:hAnsi="仿宋" w:eastAsia="仿宋_GB2312"/>
          <w:sz w:val="32"/>
          <w:szCs w:val="32"/>
          <w:lang w:val="en-US" w:eastAsia="zh-CN"/>
        </w:rPr>
        <w:t>15号之前发放到位</w:t>
      </w:r>
    </w:p>
    <w:p w14:paraId="60D94928">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40万元</w:t>
      </w:r>
    </w:p>
    <w:p w14:paraId="28E8F5ED">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7、预期总体目标：</w:t>
      </w:r>
      <w:r>
        <w:rPr>
          <w:rFonts w:hint="eastAsia" w:ascii="仿宋_GB2312" w:hAnsi="仿宋" w:eastAsia="仿宋_GB2312"/>
          <w:sz w:val="32"/>
          <w:szCs w:val="32"/>
          <w:lang w:eastAsia="zh-CN"/>
        </w:rPr>
        <w:t>保障企业退休人员养老金发放到位，提高退休人员生活质量。</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74C5A53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4</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1F31666B">
      <w:pPr>
        <w:widowControl/>
        <w:adjustRightInd w:val="0"/>
        <w:snapToGrid w:val="0"/>
        <w:spacing w:line="640" w:lineRule="exact"/>
        <w:ind w:firstLine="643"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年7月，组织开展1-6月绩效运行监控项目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个，占本</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%。截至7月底，如期完成预算执行和绩效目标指标值的项目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%。开展1-9月绩效运行监控项目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个，占单位项目的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截止</w:t>
      </w:r>
      <w:r>
        <w:rPr>
          <w:rFonts w:hint="eastAsia" w:ascii="仿宋_GB2312" w:hAnsi="仿宋" w:eastAsia="仿宋_GB2312"/>
          <w:sz w:val="32"/>
          <w:szCs w:val="32"/>
          <w:lang w:val="en-US" w:eastAsia="zh-CN"/>
        </w:rPr>
        <w:t>12月底，</w:t>
      </w:r>
      <w:r>
        <w:rPr>
          <w:rFonts w:hint="eastAsia" w:ascii="仿宋_GB2312" w:hAnsi="仿宋" w:eastAsia="仿宋_GB2312"/>
          <w:sz w:val="32"/>
          <w:szCs w:val="32"/>
        </w:rPr>
        <w:t>如期完成预算执行和绩效目标指标值的项目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“双监控”无问题。</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3</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根据财政局安排，及时公开</w:t>
      </w:r>
      <w:r>
        <w:rPr>
          <w:rFonts w:hint="eastAsia" w:ascii="仿宋_GB2312" w:hAnsi="仿宋" w:eastAsia="仿宋_GB2312"/>
          <w:sz w:val="32"/>
          <w:szCs w:val="32"/>
        </w:rPr>
        <w:t>。</w:t>
      </w:r>
    </w:p>
    <w:p w14:paraId="6683F408">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年度增加部门预算项目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个。同时对政策和项目资金管理作出调整的</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34</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2E04437F">
      <w:pPr>
        <w:adjustRightInd w:val="0"/>
        <w:snapToGrid w:val="0"/>
        <w:spacing w:line="640" w:lineRule="exact"/>
        <w:contextualSpacing/>
        <w:jc w:val="right"/>
        <w:rPr>
          <w:rFonts w:hint="eastAsia" w:ascii="仿宋_GB2312" w:hAnsi="CIDFont+F6" w:eastAsia="仿宋_GB2312"/>
          <w:color w:val="000000"/>
          <w:sz w:val="32"/>
          <w:szCs w:val="32"/>
        </w:rPr>
      </w:pPr>
    </w:p>
    <w:p w14:paraId="06373CFF">
      <w:pPr>
        <w:adjustRightInd w:val="0"/>
        <w:snapToGrid w:val="0"/>
        <w:spacing w:line="640" w:lineRule="exact"/>
        <w:contextualSpacing/>
        <w:jc w:val="right"/>
        <w:rPr>
          <w:rFonts w:hint="eastAsia" w:ascii="仿宋_GB2312" w:hAnsi="CIDFont+F6" w:eastAsia="仿宋_GB2312"/>
          <w:color w:val="000000"/>
          <w:sz w:val="32"/>
          <w:szCs w:val="32"/>
        </w:rPr>
      </w:pPr>
    </w:p>
    <w:p w14:paraId="1223D0AE">
      <w:pPr>
        <w:adjustRightInd w:val="0"/>
        <w:snapToGrid w:val="0"/>
        <w:spacing w:line="640" w:lineRule="exact"/>
        <w:contextualSpacing/>
        <w:jc w:val="right"/>
        <w:rPr>
          <w:rFonts w:hint="eastAsia" w:ascii="仿宋_GB2312" w:hAnsi="CIDFont+F6" w:eastAsia="仿宋_GB2312"/>
          <w:color w:val="000000"/>
          <w:sz w:val="32"/>
          <w:szCs w:val="32"/>
        </w:rPr>
      </w:pPr>
    </w:p>
    <w:p w14:paraId="5D1505B0">
      <w:pPr>
        <w:adjustRightInd w:val="0"/>
        <w:snapToGrid w:val="0"/>
        <w:spacing w:line="640" w:lineRule="exact"/>
        <w:contextualSpacing/>
        <w:jc w:val="right"/>
        <w:rPr>
          <w:rFonts w:hint="eastAsia" w:ascii="仿宋_GB2312" w:hAnsi="CIDFont+F6" w:eastAsia="仿宋_GB2312"/>
          <w:color w:val="000000"/>
          <w:sz w:val="32"/>
          <w:szCs w:val="32"/>
        </w:rPr>
      </w:pPr>
    </w:p>
    <w:p w14:paraId="3956E6E8">
      <w:pPr>
        <w:adjustRightInd w:val="0"/>
        <w:snapToGrid w:val="0"/>
        <w:spacing w:line="640" w:lineRule="exact"/>
        <w:contextualSpacing/>
        <w:jc w:val="right"/>
        <w:rPr>
          <w:rFonts w:hint="eastAsia" w:ascii="仿宋_GB2312" w:hAnsi="CIDFont+F6" w:eastAsia="仿宋_GB2312"/>
          <w:color w:val="000000"/>
          <w:sz w:val="32"/>
          <w:szCs w:val="32"/>
        </w:rPr>
      </w:pPr>
    </w:p>
    <w:p w14:paraId="40E34E53">
      <w:pPr>
        <w:adjustRightInd w:val="0"/>
        <w:snapToGrid w:val="0"/>
        <w:spacing w:line="640" w:lineRule="exact"/>
        <w:contextualSpacing/>
        <w:jc w:val="right"/>
        <w:rPr>
          <w:rFonts w:hint="eastAsia" w:ascii="仿宋_GB2312" w:hAnsi="CIDFont+F6" w:eastAsia="仿宋_GB2312"/>
          <w:color w:val="000000"/>
          <w:sz w:val="32"/>
          <w:szCs w:val="32"/>
        </w:rPr>
      </w:pPr>
    </w:p>
    <w:p w14:paraId="1BF02CAD">
      <w:pPr>
        <w:adjustRightInd w:val="0"/>
        <w:snapToGrid w:val="0"/>
        <w:spacing w:line="640" w:lineRule="exact"/>
        <w:contextualSpacing/>
        <w:jc w:val="right"/>
        <w:rPr>
          <w:rFonts w:hint="eastAsia" w:ascii="仿宋_GB2312" w:hAnsi="CIDFont+F6" w:eastAsia="仿宋_GB2312"/>
          <w:color w:val="000000"/>
          <w:sz w:val="32"/>
          <w:szCs w:val="32"/>
        </w:rPr>
      </w:pPr>
    </w:p>
    <w:p w14:paraId="292DA3D2">
      <w:pPr>
        <w:adjustRightInd w:val="0"/>
        <w:snapToGrid w:val="0"/>
        <w:spacing w:line="640" w:lineRule="exact"/>
        <w:contextualSpacing/>
        <w:jc w:val="right"/>
        <w:rPr>
          <w:rFonts w:hint="eastAsia" w:ascii="仿宋_GB2312" w:hAnsi="CIDFont+F6" w:eastAsia="仿宋_GB2312"/>
          <w:color w:val="000000"/>
          <w:sz w:val="32"/>
          <w:szCs w:val="32"/>
        </w:rPr>
      </w:pPr>
    </w:p>
    <w:p w14:paraId="68F9072A">
      <w:pPr>
        <w:adjustRightInd w:val="0"/>
        <w:snapToGrid w:val="0"/>
        <w:spacing w:line="640" w:lineRule="exact"/>
        <w:contextualSpacing/>
        <w:jc w:val="right"/>
        <w:rPr>
          <w:rFonts w:hint="eastAsia" w:ascii="仿宋_GB2312" w:hAnsi="CIDFont+F6" w:eastAsia="仿宋_GB2312"/>
          <w:color w:val="000000"/>
          <w:sz w:val="32"/>
          <w:szCs w:val="32"/>
        </w:rPr>
      </w:pPr>
    </w:p>
    <w:p w14:paraId="177A86EA">
      <w:pPr>
        <w:adjustRightInd w:val="0"/>
        <w:snapToGrid w:val="0"/>
        <w:spacing w:line="640" w:lineRule="exact"/>
        <w:contextualSpacing/>
        <w:jc w:val="right"/>
        <w:rPr>
          <w:rFonts w:hint="eastAsia" w:ascii="仿宋_GB2312" w:hAnsi="CIDFont+F6" w:eastAsia="仿宋_GB2312"/>
          <w:color w:val="000000"/>
          <w:sz w:val="32"/>
          <w:szCs w:val="32"/>
        </w:rPr>
      </w:pPr>
    </w:p>
    <w:p w14:paraId="348ABA28">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华池县社会保险事业管理中心</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二0二六</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eastAsia="zh-CN"/>
        </w:rPr>
        <w:t>三</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eastAsia="zh-CN"/>
        </w:rPr>
        <w:t>九</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华池县社会保险事业管理中心202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华池县社会保险事业管理中心</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IDFont+F6">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F24E3"/>
    <w:multiLevelType w:val="singleLevel"/>
    <w:tmpl w:val="03FF24E3"/>
    <w:lvl w:ilvl="0" w:tentative="0">
      <w:start w:val="1"/>
      <w:numFmt w:val="decimal"/>
      <w:suff w:val="nothing"/>
      <w:lvlText w:val="%1、"/>
      <w:lvlJc w:val="left"/>
    </w:lvl>
  </w:abstractNum>
  <w:abstractNum w:abstractNumId="1">
    <w:nsid w:val="2B23D9DD"/>
    <w:multiLevelType w:val="singleLevel"/>
    <w:tmpl w:val="2B23D9D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3DF57F8"/>
    <w:rsid w:val="03E91C35"/>
    <w:rsid w:val="0BF57DE5"/>
    <w:rsid w:val="113741D2"/>
    <w:rsid w:val="18330BA7"/>
    <w:rsid w:val="1A765127"/>
    <w:rsid w:val="1A906897"/>
    <w:rsid w:val="1D34261E"/>
    <w:rsid w:val="20D95FCB"/>
    <w:rsid w:val="2FF11270"/>
    <w:rsid w:val="42A05423"/>
    <w:rsid w:val="4C433C79"/>
    <w:rsid w:val="527E074E"/>
    <w:rsid w:val="54292F54"/>
    <w:rsid w:val="56393C72"/>
    <w:rsid w:val="571A537A"/>
    <w:rsid w:val="579503FF"/>
    <w:rsid w:val="60535296"/>
    <w:rsid w:val="6FA43E82"/>
    <w:rsid w:val="72FD2525"/>
    <w:rsid w:val="78106856"/>
    <w:rsid w:val="7F3B37E9"/>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4145</Words>
  <Characters>4534</Characters>
  <Lines>68</Lines>
  <Paragraphs>19</Paragraphs>
  <TotalTime>189</TotalTime>
  <ScaleCrop>false</ScaleCrop>
  <LinksUpToDate>false</LinksUpToDate>
  <CharactersWithSpaces>4575</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cp:lastModifiedBy>
  <cp:lastPrinted>2022-02-15T15:45:00Z</cp:lastPrinted>
  <dcterms:modified xsi:type="dcterms:W3CDTF">2026-03-11T01:20:41Z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926A62E3323B48FAB698A13AC14FEEE1_13</vt:lpwstr>
  </property>
  <property fmtid="{D5CDD505-2E9C-101B-9397-08002B2CF9AE}" pid="4" name="KSOTemplateDocerSaveRecord">
    <vt:lpwstr>eyJoZGlkIjoiMzhlNDJkYjU3MTRhNWRhZDFjMGQwZWM4MjU5MTc0MGIiLCJ1c2VySWQiOiI0NjI2OTg2NDAifQ==</vt:lpwstr>
  </property>
</Properties>
</file>