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11BAB93C">
      <w:pPr>
        <w:spacing w:line="660" w:lineRule="exact"/>
        <w:jc w:val="center"/>
        <w:rPr>
          <w:rFonts w:hint="eastAsia" w:ascii="宋体" w:hAnsi="宋体" w:cs="宋体"/>
          <w:b/>
          <w:bCs/>
          <w:kern w:val="0"/>
          <w:sz w:val="44"/>
          <w:szCs w:val="44"/>
          <w:lang w:eastAsia="zh-CN"/>
        </w:rPr>
      </w:pPr>
      <w:r>
        <w:rPr>
          <w:rFonts w:hint="eastAsia" w:ascii="宋体" w:hAnsi="宋体" w:cs="宋体"/>
          <w:b/>
          <w:bCs/>
          <w:kern w:val="0"/>
          <w:sz w:val="44"/>
          <w:szCs w:val="44"/>
          <w:lang w:eastAsia="zh-CN"/>
        </w:rPr>
        <w:t>华池县妇幼保健院</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年部门/单位预算公开情况说明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78A70AF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3" w:firstLineChars="200"/>
        <w:textAlignment w:val="auto"/>
        <w:outlineLvl w:val="9"/>
        <w:rPr>
          <w:rFonts w:hint="eastAsia" w:ascii="楷体_GB2312" w:hAnsi="楷体_GB2312" w:eastAsia="楷体_GB2312" w:cs="楷体_GB2312"/>
          <w:b/>
          <w:bCs/>
          <w:color w:val="auto"/>
          <w:spacing w:val="0"/>
          <w:w w:val="100"/>
          <w:sz w:val="32"/>
          <w:szCs w:val="32"/>
          <w:shd w:val="clear" w:color="auto" w:fill="FFFFFF"/>
          <w:lang w:eastAsia="zh-CN"/>
        </w:rPr>
      </w:pPr>
      <w:r>
        <w:rPr>
          <w:rFonts w:hint="eastAsia" w:ascii="楷体_GB2312" w:hAnsi="楷体_GB2312" w:eastAsia="楷体_GB2312" w:cs="楷体_GB2312"/>
          <w:b/>
          <w:bCs/>
          <w:color w:val="auto"/>
          <w:spacing w:val="0"/>
          <w:w w:val="100"/>
          <w:sz w:val="32"/>
          <w:szCs w:val="32"/>
          <w:shd w:val="clear" w:color="auto" w:fill="FFFFFF"/>
        </w:rPr>
        <w:t>（一）强化政治意识，筑牢思想根基</w:t>
      </w:r>
    </w:p>
    <w:p w14:paraId="2B0966E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auto"/>
          <w:spacing w:val="0"/>
          <w:w w:val="100"/>
          <w:sz w:val="32"/>
          <w:szCs w:val="32"/>
          <w:shd w:val="clear" w:color="auto" w:fill="FFFFFF"/>
          <w:lang w:val="en-US" w:eastAsia="zh-CN"/>
        </w:rPr>
      </w:pPr>
      <w:r>
        <w:rPr>
          <w:rFonts w:hint="eastAsia" w:ascii="仿宋_GB2312" w:hAnsi="仿宋_GB2312" w:eastAsia="仿宋_GB2312" w:cs="仿宋_GB2312"/>
          <w:color w:val="auto"/>
          <w:spacing w:val="0"/>
          <w:w w:val="100"/>
          <w:sz w:val="32"/>
          <w:szCs w:val="32"/>
          <w:shd w:val="clear" w:color="auto" w:fill="FFFFFF"/>
        </w:rPr>
        <w:t>将政治建设摆在首位，深化理论武装，严格落实“第一议题”制度，组织集中学习50次，专题研讨3次，班子成员带头讲党课5次。创新实施“五学联动”机制（领导带学、支部研学、个人自学、线上助学、实践促学），推动党的创新理论入脑入心。用好红色资源激发使命感，组织党员赴南梁革命纪念馆、马锡五审判方式陈列馆开展现场教学，重温入党誓词，筑牢信仰之基。依托“甘肃党建”等平台，推动党员干部学习日常化、制度化。</w:t>
      </w:r>
      <w:r>
        <w:rPr>
          <w:rFonts w:hint="eastAsia" w:ascii="仿宋_GB2312" w:hAnsi="仿宋_GB2312" w:eastAsia="仿宋_GB2312" w:cs="仿宋_GB2312"/>
          <w:color w:val="auto"/>
          <w:spacing w:val="0"/>
          <w:w w:val="100"/>
          <w:sz w:val="32"/>
          <w:szCs w:val="32"/>
          <w:shd w:val="clear" w:color="auto" w:fill="FFFFFF"/>
          <w:lang w:val="en-US" w:eastAsia="zh-CN"/>
        </w:rPr>
        <w:t xml:space="preserve">  </w:t>
      </w:r>
    </w:p>
    <w:p w14:paraId="611D1C6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3" w:firstLineChars="200"/>
        <w:textAlignment w:val="auto"/>
        <w:outlineLvl w:val="9"/>
        <w:rPr>
          <w:rFonts w:hint="eastAsia" w:ascii="楷体_GB2312" w:hAnsi="楷体_GB2312" w:eastAsia="楷体_GB2312" w:cs="楷体_GB2312"/>
          <w:b/>
          <w:bCs/>
          <w:color w:val="auto"/>
          <w:spacing w:val="0"/>
          <w:w w:val="100"/>
          <w:sz w:val="32"/>
          <w:szCs w:val="32"/>
          <w:shd w:val="clear" w:color="auto" w:fill="FFFFFF"/>
          <w:lang w:eastAsia="zh-CN"/>
        </w:rPr>
      </w:pPr>
      <w:r>
        <w:rPr>
          <w:rFonts w:hint="eastAsia" w:ascii="楷体_GB2312" w:hAnsi="楷体_GB2312" w:eastAsia="楷体_GB2312" w:cs="楷体_GB2312"/>
          <w:b/>
          <w:bCs/>
          <w:color w:val="auto"/>
          <w:spacing w:val="0"/>
          <w:w w:val="100"/>
          <w:sz w:val="32"/>
          <w:szCs w:val="32"/>
          <w:shd w:val="clear" w:color="auto" w:fill="FFFFFF"/>
        </w:rPr>
        <w:t>（二）落实中央八项规定精神，强化纪律意识</w:t>
      </w:r>
    </w:p>
    <w:p w14:paraId="2FA1D30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right="0" w:righ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高度重视作风建设，积极组织党员开展中央八项规定精神专题学习，抓实警示教育，并深入学习《习近平关于加强党的作风建设重要论述摘编》等系列讲话；党支部书记讲授“深化作风建设、践行中央八项规定精神”主题党课2次；集中观看警示教育片6部（含医疗反腐典型案例），引导党员干部守纪律、知敬畏、存戒惧。加强制度执行与监督，严格落实三重一大、公务接待、公车使用、公务差旅等制度规定，注重活动实效，紧密结合工作实际，深入查摆问题、建立台账、落实整改，并着力构建长效机制。通过学习教育，全院党员干部纪律规矩意识显著增强，工作作风持续改进，服务质效与群众满意度有效提升。</w:t>
      </w:r>
    </w:p>
    <w:p w14:paraId="163B5A1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right="0" w:rightChars="0" w:firstLine="643" w:firstLineChars="200"/>
        <w:textAlignment w:val="auto"/>
        <w:outlineLvl w:val="9"/>
        <w:rPr>
          <w:rFonts w:hint="eastAsia" w:ascii="楷体_GB2312" w:hAnsi="楷体_GB2312" w:eastAsia="楷体_GB2312" w:cs="楷体_GB2312"/>
          <w:b/>
          <w:bCs/>
          <w:color w:val="auto"/>
          <w:spacing w:val="0"/>
          <w:w w:val="100"/>
          <w:sz w:val="32"/>
          <w:szCs w:val="32"/>
          <w:shd w:val="clear" w:color="auto" w:fill="FFFFFF"/>
          <w:lang w:eastAsia="zh-CN"/>
        </w:rPr>
      </w:pPr>
      <w:r>
        <w:rPr>
          <w:rFonts w:hint="eastAsia" w:ascii="楷体_GB2312" w:hAnsi="楷体_GB2312" w:eastAsia="楷体_GB2312" w:cs="楷体_GB2312"/>
          <w:b/>
          <w:bCs/>
          <w:color w:val="auto"/>
          <w:spacing w:val="0"/>
          <w:w w:val="100"/>
          <w:sz w:val="32"/>
          <w:szCs w:val="32"/>
          <w:shd w:val="clear" w:color="auto" w:fill="FFFFFF"/>
          <w:lang w:val="en-US" w:eastAsia="zh-CN"/>
        </w:rPr>
        <w:t>（三）</w:t>
      </w:r>
      <w:r>
        <w:rPr>
          <w:rFonts w:hint="eastAsia" w:ascii="楷体_GB2312" w:hAnsi="楷体_GB2312" w:eastAsia="楷体_GB2312" w:cs="楷体_GB2312"/>
          <w:b/>
          <w:bCs/>
          <w:color w:val="auto"/>
          <w:spacing w:val="0"/>
          <w:w w:val="100"/>
          <w:sz w:val="32"/>
          <w:szCs w:val="32"/>
          <w:shd w:val="clear" w:color="auto" w:fill="FFFFFF"/>
        </w:rPr>
        <w:t>抓意识形态阵地建设，强化主阵地管理</w:t>
      </w:r>
    </w:p>
    <w:p w14:paraId="22240A98">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坚决贯彻落实意识形态工作责任制，年内专题研究意识形态工作3次。充分利用党建实体阵地和网络阵地，围绕党中央重大决策部署及群众关心热点问题，深入开展思想状况分析调研，精准排查风险点。在重要节点和突发事件时，积极稳妥进行舆论引导。创新宣传方式，丰富内容，提升效果，确保意识形态工作与妇幼保健业务深度融合。</w:t>
      </w:r>
    </w:p>
    <w:p w14:paraId="13B3F8BD">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（四）深化党支部标准化建设，夯实党建根基</w:t>
      </w:r>
    </w:p>
    <w:p w14:paraId="2E8734B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right="0" w:rightChars="0" w:firstLine="640" w:firstLineChars="200"/>
        <w:jc w:val="left"/>
        <w:textAlignment w:val="auto"/>
        <w:outlineLvl w:val="9"/>
        <w:rPr>
          <w:rFonts w:hint="eastAsia" w:ascii="楷体_GB2312" w:hAnsi="楷体_GB2312" w:eastAsia="楷体_GB2312" w:cs="楷体_GB2312"/>
          <w:b/>
          <w:bCs/>
          <w:color w:val="auto"/>
          <w:spacing w:val="0"/>
          <w:w w:val="100"/>
          <w:sz w:val="32"/>
          <w:szCs w:val="32"/>
          <w:shd w:val="clear" w:color="auto" w:fill="FFFFFF"/>
          <w:lang w:eastAsia="zh-CN"/>
        </w:rPr>
      </w:pPr>
      <w:r>
        <w:rPr>
          <w:rFonts w:hint="eastAsia" w:ascii="仿宋_GB2312" w:hAnsi="仿宋_GB2312" w:eastAsia="仿宋_GB2312" w:cs="仿宋_GB2312"/>
          <w:color w:val="auto"/>
          <w:sz w:val="32"/>
          <w:szCs w:val="32"/>
          <w:lang w:val="en-US" w:eastAsia="zh-CN"/>
        </w:rPr>
        <w:t>持续深化党支部建设标准化，及时对新调入和调出党员的组织关系进行转接变更。规范收缴党费7903元，并按时上缴。并严格落实组织生活制度，运用“三会一课”、主题党日、组织生活会、谈心谈话、等组织生活制度，全年召开支部党员大会8次、支部委员会议14次、开展主题党日活动14次，支部书记讲党课3次。积极开展党性锤炼，确保组织生活严肃规范，增强了党内政治生活的针对性和实效性。</w:t>
      </w:r>
    </w:p>
    <w:p w14:paraId="61ED210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3" w:firstLineChars="200"/>
        <w:textAlignment w:val="auto"/>
        <w:outlineLvl w:val="9"/>
        <w:rPr>
          <w:rFonts w:hint="eastAsia" w:ascii="楷体_GB2312" w:hAnsi="楷体_GB2312" w:eastAsia="楷体_GB2312" w:cs="楷体_GB2312"/>
          <w:b/>
          <w:bCs/>
          <w:color w:val="auto"/>
          <w:spacing w:val="0"/>
          <w:w w:val="100"/>
          <w:sz w:val="32"/>
          <w:szCs w:val="32"/>
          <w:shd w:val="clear" w:color="auto" w:fill="FFFFFF"/>
          <w:lang w:eastAsia="zh-CN"/>
        </w:rPr>
      </w:pPr>
      <w:r>
        <w:rPr>
          <w:rFonts w:hint="eastAsia" w:ascii="楷体_GB2312" w:hAnsi="楷体_GB2312" w:eastAsia="楷体_GB2312" w:cs="楷体_GB2312"/>
          <w:b/>
          <w:bCs/>
          <w:color w:val="auto"/>
          <w:spacing w:val="0"/>
          <w:w w:val="100"/>
          <w:sz w:val="32"/>
          <w:szCs w:val="32"/>
          <w:shd w:val="clear" w:color="auto" w:fill="FFFFFF"/>
        </w:rPr>
        <w:t>（</w:t>
      </w:r>
      <w:r>
        <w:rPr>
          <w:rFonts w:hint="eastAsia" w:ascii="楷体_GB2312" w:hAnsi="楷体_GB2312" w:eastAsia="楷体_GB2312" w:cs="楷体_GB2312"/>
          <w:b/>
          <w:bCs/>
          <w:color w:val="auto"/>
          <w:spacing w:val="0"/>
          <w:w w:val="100"/>
          <w:sz w:val="32"/>
          <w:szCs w:val="32"/>
          <w:shd w:val="clear" w:color="auto" w:fill="FFFFFF"/>
          <w:lang w:eastAsia="zh-CN"/>
        </w:rPr>
        <w:t>五</w:t>
      </w:r>
      <w:r>
        <w:rPr>
          <w:rFonts w:hint="eastAsia" w:ascii="楷体_GB2312" w:hAnsi="楷体_GB2312" w:eastAsia="楷体_GB2312" w:cs="楷体_GB2312"/>
          <w:b/>
          <w:bCs/>
          <w:color w:val="auto"/>
          <w:spacing w:val="0"/>
          <w:w w:val="100"/>
          <w:sz w:val="32"/>
          <w:szCs w:val="32"/>
          <w:shd w:val="clear" w:color="auto" w:fill="FFFFFF"/>
        </w:rPr>
        <w:t>）党建引领服务提升，持续优化群众就医体验</w:t>
      </w:r>
    </w:p>
    <w:p w14:paraId="60EC955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pacing w:val="0"/>
          <w:w w:val="100"/>
          <w:sz w:val="32"/>
          <w:szCs w:val="32"/>
          <w:shd w:val="clear" w:color="auto" w:fill="FFFFFF"/>
          <w:lang w:val="en-US" w:eastAsia="zh-CN"/>
        </w:rPr>
      </w:pPr>
      <w:r>
        <w:rPr>
          <w:rFonts w:hint="eastAsia" w:ascii="仿宋_GB2312" w:hAnsi="仿宋_GB2312" w:eastAsia="仿宋_GB2312" w:cs="仿宋_GB2312"/>
          <w:b w:val="0"/>
          <w:bCs w:val="0"/>
          <w:color w:val="auto"/>
          <w:spacing w:val="0"/>
          <w:w w:val="100"/>
          <w:sz w:val="32"/>
          <w:szCs w:val="32"/>
          <w:shd w:val="clear" w:color="auto" w:fill="FFFFFF"/>
          <w:lang w:val="en-US" w:eastAsia="zh-CN"/>
        </w:rPr>
        <w:t>我院将党建引领深度融入服务优化全过程，以提升群众就医体验为核心目标，取得了显著成效。在硬件环境方面，系统性地改善了就诊条件，在所有候诊区域座椅上统一加铺舒适棉垫并增设充足座椅，显著提升了等候舒适度；高标准新建的爱心母婴室，集温馨提示、隐私保护、人性化设施于一体，成为彰显我院人文关怀的标志性服务窗口。在服务流程方面，一系列便民举措扎实落地并广受好评：“一次挂号管三天”政策切实减轻了患者负担；检查检验结果互认范围持续扩大；大力推行“当天检查当天出结果”，极大提升了诊疗效率；院领导24小时热线的设立，确保了群众诉求的即时响应与有效解决。同时，“十个多一点”暖心行动常态化开展，提供雨伞、老花镜、针线包、饮水机等便民用品，于细微处传递服务温度。</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（一）直属事业单位</w:t>
      </w:r>
    </w:p>
    <w:p w14:paraId="065E161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right="0" w:rightChars="0" w:firstLine="640" w:firstLineChars="200"/>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highlight w:val="none"/>
          <w:lang w:eastAsia="zh-CN"/>
        </w:rPr>
        <w:t>华池</w:t>
      </w:r>
      <w:r>
        <w:rPr>
          <w:rFonts w:hint="eastAsia" w:ascii="仿宋_GB2312" w:hAnsi="仿宋_GB2312" w:eastAsia="仿宋_GB2312" w:cs="仿宋_GB2312"/>
          <w:color w:val="000000"/>
          <w:sz w:val="32"/>
          <w:szCs w:val="32"/>
          <w:highlight w:val="none"/>
        </w:rPr>
        <w:t>县</w:t>
      </w:r>
      <w:r>
        <w:rPr>
          <w:rFonts w:hint="eastAsia" w:ascii="仿宋_GB2312" w:hAnsi="仿宋_GB2312" w:eastAsia="仿宋_GB2312" w:cs="仿宋_GB2312"/>
          <w:color w:val="000000"/>
          <w:sz w:val="32"/>
          <w:szCs w:val="32"/>
          <w:highlight w:val="none"/>
          <w:lang w:eastAsia="zh-CN"/>
        </w:rPr>
        <w:t>妇幼保健院现有</w:t>
      </w:r>
      <w:r>
        <w:rPr>
          <w:rFonts w:hint="eastAsia" w:ascii="仿宋_GB2312" w:hAnsi="仿宋_GB2312" w:eastAsia="仿宋_GB2312" w:cs="仿宋_GB2312"/>
          <w:color w:val="000000"/>
          <w:sz w:val="32"/>
          <w:szCs w:val="32"/>
          <w:highlight w:val="none"/>
        </w:rPr>
        <w:t>职工</w:t>
      </w:r>
      <w:r>
        <w:rPr>
          <w:rFonts w:hint="eastAsia" w:ascii="仿宋_GB2312" w:hAnsi="仿宋_GB2312" w:eastAsia="仿宋_GB2312" w:cs="仿宋_GB2312"/>
          <w:color w:val="000000"/>
          <w:sz w:val="32"/>
          <w:szCs w:val="32"/>
          <w:highlight w:val="none"/>
          <w:lang w:val="en-US" w:eastAsia="zh-CN"/>
        </w:rPr>
        <w:t>51</w:t>
      </w:r>
      <w:r>
        <w:rPr>
          <w:rFonts w:hint="eastAsia" w:ascii="仿宋_GB2312" w:hAnsi="仿宋_GB2312" w:eastAsia="仿宋_GB2312" w:cs="仿宋_GB2312"/>
          <w:color w:val="000000"/>
          <w:sz w:val="32"/>
          <w:szCs w:val="32"/>
          <w:highlight w:val="none"/>
        </w:rPr>
        <w:t>人，专业技术人员</w:t>
      </w:r>
      <w:r>
        <w:rPr>
          <w:rFonts w:hint="eastAsia" w:ascii="仿宋_GB2312" w:hAnsi="仿宋_GB2312" w:eastAsia="仿宋_GB2312" w:cs="仿宋_GB2312"/>
          <w:color w:val="000000"/>
          <w:sz w:val="32"/>
          <w:szCs w:val="32"/>
          <w:highlight w:val="none"/>
          <w:lang w:val="en-US" w:eastAsia="zh-CN"/>
        </w:rPr>
        <w:t>43</w:t>
      </w:r>
      <w:r>
        <w:rPr>
          <w:rFonts w:hint="eastAsia" w:ascii="仿宋_GB2312" w:hAnsi="仿宋_GB2312" w:eastAsia="仿宋_GB2312" w:cs="仿宋_GB2312"/>
          <w:color w:val="000000"/>
          <w:sz w:val="32"/>
          <w:szCs w:val="32"/>
          <w:highlight w:val="none"/>
        </w:rPr>
        <w:t>人</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正式</w:t>
      </w:r>
      <w:r>
        <w:rPr>
          <w:rFonts w:hint="eastAsia" w:ascii="仿宋_GB2312" w:hAnsi="仿宋_GB2312" w:eastAsia="仿宋_GB2312" w:cs="仿宋_GB2312"/>
          <w:color w:val="000000"/>
          <w:sz w:val="32"/>
          <w:szCs w:val="32"/>
          <w:highlight w:val="none"/>
          <w:lang w:val="en-US" w:eastAsia="zh-CN"/>
        </w:rPr>
        <w:t>33</w:t>
      </w:r>
      <w:r>
        <w:rPr>
          <w:rFonts w:hint="eastAsia" w:ascii="仿宋_GB2312" w:hAnsi="仿宋_GB2312" w:eastAsia="仿宋_GB2312" w:cs="仿宋_GB2312"/>
          <w:color w:val="000000"/>
          <w:sz w:val="32"/>
          <w:szCs w:val="32"/>
          <w:highlight w:val="none"/>
        </w:rPr>
        <w:t>人、临时</w:t>
      </w:r>
      <w:r>
        <w:rPr>
          <w:rFonts w:hint="eastAsia" w:ascii="仿宋_GB2312" w:hAnsi="仿宋_GB2312" w:eastAsia="仿宋_GB2312" w:cs="仿宋_GB2312"/>
          <w:color w:val="000000"/>
          <w:sz w:val="32"/>
          <w:szCs w:val="32"/>
          <w:highlight w:val="none"/>
          <w:lang w:val="en-US" w:eastAsia="zh-CN"/>
        </w:rPr>
        <w:t>10</w:t>
      </w:r>
      <w:r>
        <w:rPr>
          <w:rFonts w:hint="eastAsia" w:ascii="仿宋_GB2312" w:hAnsi="仿宋_GB2312" w:eastAsia="仿宋_GB2312" w:cs="仿宋_GB2312"/>
          <w:color w:val="000000"/>
          <w:sz w:val="32"/>
          <w:szCs w:val="32"/>
          <w:highlight w:val="none"/>
        </w:rPr>
        <w:t>人</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其中</w:t>
      </w:r>
      <w:r>
        <w:rPr>
          <w:rFonts w:hint="eastAsia" w:ascii="仿宋_GB2312" w:hAnsi="仿宋_GB2312" w:eastAsia="仿宋_GB2312" w:cs="仿宋_GB2312"/>
          <w:color w:val="000000"/>
          <w:sz w:val="32"/>
          <w:szCs w:val="32"/>
          <w:highlight w:val="none"/>
        </w:rPr>
        <w:t>副高级职称</w:t>
      </w:r>
      <w:r>
        <w:rPr>
          <w:rFonts w:hint="eastAsia" w:ascii="仿宋_GB2312" w:hAnsi="仿宋_GB2312" w:eastAsia="仿宋_GB2312" w:cs="仿宋_GB2312"/>
          <w:color w:val="000000"/>
          <w:sz w:val="32"/>
          <w:szCs w:val="32"/>
          <w:highlight w:val="none"/>
          <w:lang w:val="en-US" w:eastAsia="zh-CN"/>
        </w:rPr>
        <w:t>10</w:t>
      </w:r>
      <w:r>
        <w:rPr>
          <w:rFonts w:hint="eastAsia" w:ascii="仿宋_GB2312" w:hAnsi="仿宋_GB2312" w:eastAsia="仿宋_GB2312" w:cs="仿宋_GB2312"/>
          <w:color w:val="000000"/>
          <w:sz w:val="32"/>
          <w:szCs w:val="32"/>
          <w:highlight w:val="none"/>
        </w:rPr>
        <w:t>人，中级职称</w:t>
      </w:r>
      <w:r>
        <w:rPr>
          <w:rFonts w:hint="eastAsia" w:ascii="仿宋_GB2312" w:hAnsi="仿宋_GB2312" w:eastAsia="仿宋_GB2312" w:cs="仿宋_GB2312"/>
          <w:color w:val="000000"/>
          <w:sz w:val="32"/>
          <w:szCs w:val="32"/>
          <w:highlight w:val="none"/>
          <w:lang w:val="en-US" w:eastAsia="zh-CN"/>
        </w:rPr>
        <w:t>7</w:t>
      </w:r>
      <w:r>
        <w:rPr>
          <w:rFonts w:hint="eastAsia" w:ascii="仿宋_GB2312" w:hAnsi="仿宋_GB2312" w:eastAsia="仿宋_GB2312" w:cs="仿宋_GB2312"/>
          <w:color w:val="000000"/>
          <w:sz w:val="32"/>
          <w:szCs w:val="32"/>
          <w:highlight w:val="none"/>
        </w:rPr>
        <w:t>人</w:t>
      </w:r>
      <w:r>
        <w:rPr>
          <w:rFonts w:hint="eastAsia" w:ascii="仿宋_GB2312" w:hAnsi="仿宋_GB2312" w:eastAsia="仿宋_GB2312" w:cs="仿宋_GB2312"/>
          <w:color w:val="000000"/>
          <w:sz w:val="32"/>
          <w:szCs w:val="32"/>
          <w:highlight w:val="none"/>
          <w:lang w:eastAsia="zh-CN"/>
        </w:rPr>
        <w:t>，初级</w:t>
      </w:r>
      <w:r>
        <w:rPr>
          <w:rFonts w:hint="eastAsia" w:ascii="仿宋_GB2312" w:hAnsi="仿宋_GB2312" w:eastAsia="仿宋_GB2312" w:cs="仿宋_GB2312"/>
          <w:color w:val="000000"/>
          <w:sz w:val="32"/>
          <w:szCs w:val="32"/>
          <w:highlight w:val="none"/>
          <w:lang w:val="en-US" w:eastAsia="zh-CN"/>
        </w:rPr>
        <w:t>19人，无职称7人，管理人员2人，</w:t>
      </w:r>
      <w:r>
        <w:rPr>
          <w:rFonts w:hint="eastAsia" w:ascii="仿宋_GB2312" w:hAnsi="仿宋_GB2312" w:eastAsia="仿宋_GB2312" w:cs="仿宋_GB2312"/>
          <w:color w:val="000000"/>
          <w:sz w:val="32"/>
          <w:szCs w:val="32"/>
          <w:highlight w:val="none"/>
        </w:rPr>
        <w:t>工勤人员</w:t>
      </w: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人。</w:t>
      </w:r>
      <w:r>
        <w:rPr>
          <w:rFonts w:hint="eastAsia" w:ascii="仿宋_GB2312" w:hAnsi="仿宋_GB2312" w:eastAsia="仿宋_GB2312" w:cs="仿宋_GB2312"/>
          <w:color w:val="000000"/>
          <w:sz w:val="32"/>
          <w:szCs w:val="32"/>
          <w:highlight w:val="none"/>
          <w:lang w:val="en-US" w:eastAsia="zh-CN"/>
        </w:rPr>
        <w:t>目前开放</w:t>
      </w:r>
      <w:r>
        <w:rPr>
          <w:rFonts w:hint="eastAsia" w:ascii="仿宋_GB2312" w:hAnsi="仿宋_GB2312" w:eastAsia="仿宋_GB2312" w:cs="仿宋_GB2312"/>
          <w:color w:val="000000"/>
          <w:sz w:val="32"/>
          <w:szCs w:val="32"/>
          <w:highlight w:val="none"/>
        </w:rPr>
        <w:t>床位</w:t>
      </w:r>
      <w:r>
        <w:rPr>
          <w:rFonts w:hint="eastAsia" w:ascii="仿宋_GB2312" w:hAnsi="仿宋_GB2312" w:eastAsia="仿宋_GB2312" w:cs="仿宋_GB2312"/>
          <w:color w:val="000000"/>
          <w:sz w:val="32"/>
          <w:szCs w:val="32"/>
          <w:highlight w:val="none"/>
          <w:lang w:val="en-US" w:eastAsia="zh-CN"/>
        </w:rPr>
        <w:t>45</w:t>
      </w:r>
      <w:r>
        <w:rPr>
          <w:rFonts w:hint="eastAsia" w:ascii="仿宋_GB2312" w:hAnsi="仿宋_GB2312" w:eastAsia="仿宋_GB2312" w:cs="仿宋_GB2312"/>
          <w:color w:val="000000"/>
          <w:sz w:val="32"/>
          <w:szCs w:val="32"/>
          <w:highlight w:val="none"/>
        </w:rPr>
        <w:t>张</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拥有</w:t>
      </w:r>
      <w:r>
        <w:rPr>
          <w:rFonts w:hint="eastAsia" w:ascii="仿宋_GB2312" w:hAnsi="仿宋_GB2312" w:eastAsia="仿宋_GB2312" w:cs="仿宋_GB2312"/>
          <w:color w:val="000000"/>
          <w:sz w:val="32"/>
          <w:szCs w:val="32"/>
          <w:highlight w:val="none"/>
          <w:lang w:eastAsia="zh-CN"/>
        </w:rPr>
        <w:t>四维彩超、多功能麻醉呼吸机、心电监护仪</w:t>
      </w:r>
      <w:r>
        <w:rPr>
          <w:rFonts w:hint="eastAsia" w:ascii="仿宋_GB2312" w:hAnsi="仿宋_GB2312" w:eastAsia="仿宋_GB2312" w:cs="仿宋_GB2312"/>
          <w:color w:val="000000"/>
          <w:sz w:val="32"/>
          <w:szCs w:val="32"/>
          <w:highlight w:val="none"/>
        </w:rPr>
        <w:t>、全自动生化分析仪</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听力筛查仪、骨密度</w:t>
      </w:r>
      <w:r>
        <w:rPr>
          <w:rFonts w:hint="eastAsia" w:ascii="仿宋_GB2312" w:hAnsi="仿宋_GB2312" w:eastAsia="仿宋_GB2312" w:cs="仿宋_GB2312"/>
          <w:color w:val="000000"/>
          <w:sz w:val="32"/>
          <w:szCs w:val="32"/>
          <w:highlight w:val="none"/>
          <w:lang w:eastAsia="zh-CN"/>
        </w:rPr>
        <w:t>测量仪</w:t>
      </w:r>
      <w:r>
        <w:rPr>
          <w:rFonts w:hint="eastAsia" w:ascii="仿宋_GB2312" w:hAnsi="仿宋_GB2312" w:eastAsia="仿宋_GB2312" w:cs="仿宋_GB2312"/>
          <w:color w:val="000000"/>
          <w:sz w:val="32"/>
          <w:szCs w:val="32"/>
          <w:highlight w:val="none"/>
        </w:rPr>
        <w:t>和产后康复仪等大中型医疗设备20余台(件)</w:t>
      </w:r>
      <w:r>
        <w:rPr>
          <w:rFonts w:hint="eastAsia" w:ascii="仿宋_GB2312" w:hAnsi="仿宋_GB2312" w:eastAsia="仿宋_GB2312" w:cs="仿宋_GB2312"/>
          <w:b w:val="0"/>
          <w:bCs w:val="0"/>
          <w:color w:val="000000"/>
          <w:sz w:val="32"/>
          <w:szCs w:val="32"/>
          <w:highlight w:val="none"/>
          <w:lang w:val="en-US" w:eastAsia="zh-CN"/>
        </w:rPr>
        <w:t>。</w:t>
      </w:r>
      <w:r>
        <w:rPr>
          <w:rFonts w:hint="eastAsia" w:ascii="仿宋_GB2312" w:hAnsi="仿宋_GB2312" w:eastAsia="仿宋_GB2312" w:cs="仿宋_GB2312"/>
          <w:color w:val="000000"/>
          <w:sz w:val="32"/>
          <w:szCs w:val="32"/>
          <w:highlight w:val="none"/>
        </w:rPr>
        <w:t>设有妇产、儿科</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公卫、中医保健等业务科室</w:t>
      </w:r>
      <w:r>
        <w:rPr>
          <w:rFonts w:hint="eastAsia" w:ascii="仿宋_GB2312" w:hAnsi="仿宋_GB2312" w:eastAsia="仿宋_GB2312" w:cs="仿宋_GB2312"/>
          <w:color w:val="000000"/>
          <w:sz w:val="32"/>
          <w:szCs w:val="32"/>
          <w:highlight w:val="none"/>
          <w:lang w:val="en-US" w:eastAsia="zh-CN"/>
        </w:rPr>
        <w:t>21</w:t>
      </w:r>
      <w:r>
        <w:rPr>
          <w:rFonts w:hint="eastAsia" w:ascii="仿宋_GB2312" w:hAnsi="仿宋_GB2312" w:eastAsia="仿宋_GB2312" w:cs="仿宋_GB2312"/>
          <w:color w:val="000000"/>
          <w:sz w:val="32"/>
          <w:szCs w:val="32"/>
          <w:highlight w:val="none"/>
        </w:rPr>
        <w:t>个</w:t>
      </w:r>
      <w:r>
        <w:rPr>
          <w:rFonts w:hint="eastAsia" w:ascii="仿宋_GB2312" w:hAnsi="仿宋_GB2312" w:eastAsia="仿宋_GB2312" w:cs="仿宋_GB2312"/>
          <w:color w:val="000000"/>
          <w:sz w:val="32"/>
          <w:szCs w:val="32"/>
          <w:highlight w:val="none"/>
          <w:lang w:eastAsia="zh-CN"/>
        </w:rPr>
        <w:t>，目前能够开展妇保、儿保、妇科、儿科、计划生育等基本医疗服务及</w:t>
      </w:r>
      <w:r>
        <w:rPr>
          <w:rFonts w:hint="eastAsia" w:ascii="仿宋_GB2312" w:hAnsi="仿宋_GB2312" w:eastAsia="仿宋_GB2312" w:cs="仿宋_GB2312"/>
          <w:color w:val="000000"/>
          <w:sz w:val="32"/>
          <w:szCs w:val="32"/>
          <w:highlight w:val="none"/>
        </w:rPr>
        <w:t>艾滋病筛查、儿童听力筛查</w:t>
      </w:r>
      <w:r>
        <w:rPr>
          <w:rFonts w:hint="eastAsia" w:ascii="仿宋_GB2312" w:hAnsi="仿宋_GB2312" w:eastAsia="仿宋_GB2312" w:cs="仿宋_GB2312"/>
          <w:color w:val="000000"/>
          <w:sz w:val="32"/>
          <w:szCs w:val="32"/>
          <w:highlight w:val="none"/>
          <w:lang w:val="en-US" w:eastAsia="zh-CN"/>
        </w:rPr>
        <w:t>、盆底康复、慧育中心</w:t>
      </w:r>
      <w:r>
        <w:rPr>
          <w:rFonts w:hint="eastAsia" w:ascii="仿宋_GB2312" w:hAnsi="仿宋_GB2312" w:eastAsia="仿宋_GB2312" w:cs="仿宋_GB2312"/>
          <w:color w:val="000000"/>
          <w:sz w:val="32"/>
          <w:szCs w:val="32"/>
          <w:highlight w:val="none"/>
        </w:rPr>
        <w:t>等</w:t>
      </w:r>
      <w:r>
        <w:rPr>
          <w:rFonts w:hint="eastAsia" w:ascii="仿宋_GB2312" w:hAnsi="仿宋_GB2312" w:eastAsia="仿宋_GB2312" w:cs="仿宋_GB2312"/>
          <w:color w:val="000000"/>
          <w:sz w:val="32"/>
          <w:szCs w:val="32"/>
          <w:highlight w:val="none"/>
          <w:lang w:eastAsia="zh-CN"/>
        </w:rPr>
        <w:t>妇幼</w:t>
      </w:r>
      <w:r>
        <w:rPr>
          <w:rFonts w:hint="eastAsia" w:ascii="仿宋_GB2312" w:hAnsi="仿宋_GB2312" w:eastAsia="仿宋_GB2312" w:cs="仿宋_GB2312"/>
          <w:color w:val="000000"/>
          <w:sz w:val="32"/>
          <w:szCs w:val="32"/>
          <w:highlight w:val="none"/>
        </w:rPr>
        <w:t>特色</w:t>
      </w:r>
      <w:r>
        <w:rPr>
          <w:rFonts w:hint="eastAsia" w:ascii="仿宋_GB2312" w:hAnsi="仿宋_GB2312" w:eastAsia="仿宋_GB2312" w:cs="仿宋_GB2312"/>
          <w:color w:val="000000"/>
          <w:sz w:val="32"/>
          <w:szCs w:val="32"/>
          <w:highlight w:val="none"/>
          <w:lang w:eastAsia="zh-CN"/>
        </w:rPr>
        <w:t>服</w:t>
      </w:r>
      <w:r>
        <w:rPr>
          <w:rFonts w:hint="eastAsia" w:ascii="仿宋_GB2312" w:hAnsi="仿宋_GB2312" w:eastAsia="仿宋_GB2312" w:cs="仿宋_GB2312"/>
          <w:color w:val="000000"/>
          <w:sz w:val="32"/>
          <w:szCs w:val="32"/>
          <w:lang w:eastAsia="zh-CN"/>
        </w:rPr>
        <w:t>务项</w:t>
      </w:r>
      <w:r>
        <w:rPr>
          <w:rFonts w:hint="eastAsia" w:ascii="仿宋_GB2312" w:hAnsi="仿宋_GB2312" w:eastAsia="仿宋_GB2312" w:cs="仿宋_GB2312"/>
          <w:color w:val="000000"/>
          <w:sz w:val="32"/>
          <w:szCs w:val="32"/>
        </w:rPr>
        <w:t>目。</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073B7C97">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3FAA19AD">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667.77</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cs="宋体"/>
          <w:kern w:val="0"/>
          <w:sz w:val="32"/>
          <w:szCs w:val="32"/>
          <w:lang w:val="en-US" w:eastAsia="zh-CN"/>
        </w:rPr>
        <w:t>667.77</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cs="宋体"/>
          <w:kern w:val="0"/>
          <w:sz w:val="32"/>
          <w:szCs w:val="32"/>
          <w:lang w:val="en-US" w:eastAsia="zh-CN"/>
        </w:rPr>
        <w:t>667.77</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cs="宋体"/>
          <w:kern w:val="0"/>
          <w:sz w:val="32"/>
          <w:szCs w:val="32"/>
          <w:lang w:val="en-US" w:eastAsia="zh-CN"/>
        </w:rPr>
        <w:t>667.77</w:t>
      </w:r>
      <w:r>
        <w:rPr>
          <w:rFonts w:hint="eastAsia" w:ascii="仿宋_GB2312" w:hAnsi="仿宋" w:eastAsia="仿宋_GB2312"/>
          <w:sz w:val="32"/>
          <w:szCs w:val="32"/>
        </w:rPr>
        <w:t>万元（详见部门/单位预算公开表3）。</w:t>
      </w:r>
      <w:r>
        <w:rPr>
          <w:rStyle w:val="20"/>
          <w:rFonts w:hint="default" w:hAnsi="仿宋"/>
        </w:rPr>
        <w:t>其中：基本支出</w:t>
      </w:r>
      <w:r>
        <w:rPr>
          <w:rFonts w:hint="eastAsia" w:ascii="仿宋_GB2312" w:hAnsi="仿宋" w:eastAsia="仿宋_GB2312" w:cs="宋体"/>
          <w:kern w:val="0"/>
          <w:sz w:val="32"/>
          <w:szCs w:val="32"/>
          <w:lang w:val="en-US" w:eastAsia="zh-CN"/>
        </w:rPr>
        <w:t>652.77</w:t>
      </w:r>
      <w:r>
        <w:rPr>
          <w:rStyle w:val="20"/>
          <w:rFonts w:hint="default" w:hAnsi="仿宋"/>
        </w:rPr>
        <w:t xml:space="preserve">万元， 占 </w:t>
      </w:r>
      <w:r>
        <w:rPr>
          <w:rStyle w:val="20"/>
          <w:rFonts w:hint="eastAsia" w:hAnsi="仿宋" w:eastAsia="仿宋_GB2312"/>
          <w:lang w:val="en-US" w:eastAsia="zh-CN"/>
        </w:rPr>
        <w:t>97.75</w:t>
      </w:r>
      <w:r>
        <w:rPr>
          <w:rStyle w:val="21"/>
          <w:rFonts w:hint="eastAsia" w:ascii="仿宋_GB2312" w:hAnsi="仿宋" w:eastAsia="仿宋_GB2312"/>
        </w:rPr>
        <w:t xml:space="preserve"> %</w:t>
      </w:r>
      <w:r>
        <w:rPr>
          <w:rStyle w:val="20"/>
          <w:rFonts w:hint="default" w:hAnsi="仿宋"/>
        </w:rPr>
        <w:t>； 项目支出</w:t>
      </w:r>
      <w:r>
        <w:rPr>
          <w:rStyle w:val="20"/>
          <w:rFonts w:hint="eastAsia" w:hAnsi="仿宋" w:eastAsia="仿宋_GB2312"/>
          <w:lang w:val="en-US" w:eastAsia="zh-CN"/>
        </w:rPr>
        <w:t xml:space="preserve"> 15</w:t>
      </w:r>
      <w:r>
        <w:rPr>
          <w:rStyle w:val="20"/>
          <w:rFonts w:hint="default" w:hAnsi="仿宋"/>
        </w:rPr>
        <w:t>万元，占</w:t>
      </w:r>
      <w:r>
        <w:rPr>
          <w:rStyle w:val="21"/>
          <w:rFonts w:hint="eastAsia" w:ascii="仿宋_GB2312" w:hAnsi="仿宋" w:eastAsia="仿宋_GB2312"/>
        </w:rPr>
        <w:t xml:space="preserve"> </w:t>
      </w:r>
      <w:r>
        <w:rPr>
          <w:rStyle w:val="21"/>
          <w:rFonts w:hint="eastAsia" w:ascii="仿宋_GB2312" w:hAnsi="仿宋" w:eastAsia="仿宋_GB2312"/>
          <w:lang w:val="en-US" w:eastAsia="zh-CN"/>
        </w:rPr>
        <w:t>2.25</w:t>
      </w:r>
      <w:r>
        <w:rPr>
          <w:rStyle w:val="21"/>
          <w:rFonts w:hint="eastAsia" w:ascii="仿宋_GB2312" w:hAnsi="仿宋" w:eastAsia="仿宋_GB2312"/>
        </w:rPr>
        <w:t xml:space="preserve"> %</w:t>
      </w:r>
      <w:r>
        <w:rPr>
          <w:rStyle w:val="20"/>
          <w:rFonts w:hint="default" w:hAnsi="仿宋"/>
        </w:rPr>
        <w:t>； 上年结转</w:t>
      </w:r>
      <w:r>
        <w:rPr>
          <w:rStyle w:val="20"/>
          <w:rFonts w:hint="eastAsia" w:hAnsi="仿宋" w:eastAsia="仿宋_GB2312"/>
          <w:lang w:val="en-US" w:eastAsia="zh-CN"/>
        </w:rPr>
        <w:t>0</w:t>
      </w:r>
      <w:r>
        <w:rPr>
          <w:rStyle w:val="20"/>
          <w:rFonts w:hint="default" w:hAnsi="仿宋"/>
        </w:rPr>
        <w:t>万元， 占</w:t>
      </w:r>
      <w:r>
        <w:rPr>
          <w:rStyle w:val="21"/>
          <w:rFonts w:hint="eastAsia" w:ascii="仿宋_GB2312" w:hAnsi="仿宋" w:eastAsia="仿宋_GB2312"/>
        </w:rPr>
        <w:t xml:space="preserve"> </w:t>
      </w:r>
      <w:r>
        <w:rPr>
          <w:rStyle w:val="21"/>
          <w:rFonts w:hint="eastAsia" w:ascii="仿宋_GB2312" w:hAnsi="仿宋" w:eastAsia="仿宋_GB2312"/>
          <w:lang w:val="en-US" w:eastAsia="zh-CN"/>
        </w:rPr>
        <w:t>0</w:t>
      </w:r>
      <w:r>
        <w:rPr>
          <w:rStyle w:val="21"/>
          <w:rFonts w:hint="eastAsia" w:ascii="仿宋_GB2312" w:hAnsi="仿宋" w:eastAsia="仿宋_GB2312"/>
        </w:rPr>
        <w:t xml:space="preserve"> %</w:t>
      </w:r>
      <w:r>
        <w:rPr>
          <w:rStyle w:val="20"/>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Fonts w:hint="eastAsia" w:ascii="仿宋_GB2312" w:hAnsi="仿宋" w:eastAsia="仿宋_GB2312" w:cs="宋体"/>
          <w:kern w:val="0"/>
          <w:sz w:val="32"/>
          <w:szCs w:val="32"/>
          <w:lang w:val="en-US" w:eastAsia="zh-CN"/>
        </w:rPr>
        <w:t>652.77</w:t>
      </w:r>
      <w:r>
        <w:rPr>
          <w:rStyle w:val="20"/>
          <w:rFonts w:hint="default" w:hAnsi="仿宋"/>
        </w:rPr>
        <w:t>万元，包括：社会保障和就业支出</w:t>
      </w:r>
      <w:r>
        <w:rPr>
          <w:rStyle w:val="20"/>
          <w:rFonts w:hint="eastAsia" w:hAnsi="仿宋" w:eastAsia="仿宋_GB2312"/>
          <w:lang w:val="en-US" w:eastAsia="zh-CN"/>
        </w:rPr>
        <w:t>93.42</w:t>
      </w:r>
      <w:r>
        <w:rPr>
          <w:rStyle w:val="20"/>
          <w:rFonts w:hint="default" w:hAnsi="仿宋"/>
        </w:rPr>
        <w:t>万元、</w:t>
      </w:r>
      <w:r>
        <w:rPr>
          <w:rStyle w:val="20"/>
          <w:rFonts w:hint="eastAsia" w:hAnsi="仿宋" w:eastAsia="仿宋_GB2312"/>
          <w:lang w:eastAsia="zh-CN"/>
        </w:rPr>
        <w:t>卫生健康支出</w:t>
      </w:r>
      <w:r>
        <w:rPr>
          <w:rStyle w:val="20"/>
          <w:rFonts w:hint="eastAsia" w:hAnsi="仿宋" w:eastAsia="仿宋_GB2312"/>
          <w:lang w:val="en-US" w:eastAsia="zh-CN"/>
        </w:rPr>
        <w:t>514.24万元、住房保障支出45.11万元</w:t>
      </w:r>
      <w:r>
        <w:rPr>
          <w:rStyle w:val="20"/>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cs="宋体"/>
          <w:kern w:val="0"/>
          <w:sz w:val="32"/>
          <w:szCs w:val="32"/>
          <w:lang w:val="en-US" w:eastAsia="zh-CN"/>
        </w:rPr>
        <w:t>652.77</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125.6</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18.8</w:t>
      </w:r>
      <w:r>
        <w:rPr>
          <w:rFonts w:hint="eastAsia" w:ascii="仿宋_GB2312" w:hAnsi="仿宋" w:eastAsia="仿宋_GB2312"/>
          <w:sz w:val="32"/>
          <w:szCs w:val="32"/>
        </w:rPr>
        <w:t>%，增长的主要原因是</w:t>
      </w:r>
      <w:r>
        <w:rPr>
          <w:rFonts w:hint="eastAsia" w:ascii="仿宋_GB2312" w:hAnsi="仿宋" w:eastAsia="仿宋_GB2312"/>
          <w:sz w:val="32"/>
          <w:szCs w:val="32"/>
          <w:lang w:eastAsia="zh-CN"/>
        </w:rPr>
        <w:t>人员经费增加及水质检测项目预算增加。</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 xml:space="preserve">其中：人员经费支出 </w:t>
      </w:r>
      <w:r>
        <w:rPr>
          <w:rFonts w:hint="eastAsia" w:ascii="仿宋_GB2312" w:hAnsi="仿宋" w:eastAsia="仿宋_GB2312"/>
          <w:sz w:val="32"/>
          <w:szCs w:val="32"/>
          <w:lang w:val="en-US" w:eastAsia="zh-CN"/>
        </w:rPr>
        <w:t>592.16</w:t>
      </w:r>
      <w:r>
        <w:rPr>
          <w:rFonts w:hint="eastAsia" w:ascii="仿宋_GB2312" w:hAnsi="仿宋" w:eastAsia="仿宋_GB2312"/>
          <w:sz w:val="32"/>
          <w:szCs w:val="32"/>
        </w:rPr>
        <w:t xml:space="preserve"> 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 xml:space="preserve">公用经费支出  </w:t>
      </w:r>
      <w:r>
        <w:rPr>
          <w:rFonts w:hint="eastAsia" w:ascii="仿宋_GB2312" w:hAnsi="仿宋" w:eastAsia="仿宋_GB2312"/>
          <w:sz w:val="32"/>
          <w:szCs w:val="32"/>
          <w:lang w:val="en-US" w:eastAsia="zh-CN"/>
        </w:rPr>
        <w:t>60.61</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w:t>
      </w:r>
      <w:r>
        <w:rPr>
          <w:rFonts w:hint="eastAsia" w:ascii="仿宋_GB2312" w:hAnsi="仿宋" w:eastAsia="仿宋_GB2312"/>
          <w:sz w:val="32"/>
          <w:szCs w:val="32"/>
          <w:lang w:eastAsia="zh-CN"/>
        </w:rPr>
        <w:t>置、残疾人保障金</w:t>
      </w:r>
      <w:r>
        <w:rPr>
          <w:rFonts w:hint="eastAsia" w:ascii="仿宋_GB2312" w:hAnsi="仿宋" w:eastAsia="仿宋_GB2312"/>
          <w:sz w:val="32"/>
          <w:szCs w:val="32"/>
        </w:rPr>
        <w:t>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 xml:space="preserve">年一般公共预算财政拨款项目支出预算 </w:t>
      </w:r>
      <w:r>
        <w:rPr>
          <w:rFonts w:hint="eastAsia" w:ascii="仿宋_GB2312" w:hAnsi="仿宋" w:eastAsia="仿宋_GB2312"/>
          <w:sz w:val="32"/>
          <w:szCs w:val="32"/>
          <w:lang w:val="en-US" w:eastAsia="zh-CN"/>
        </w:rPr>
        <w:t>15</w:t>
      </w:r>
      <w:r>
        <w:rPr>
          <w:rFonts w:hint="eastAsia" w:ascii="仿宋_GB2312" w:hAnsi="仿宋" w:eastAsia="仿宋_GB2312"/>
          <w:sz w:val="32"/>
          <w:szCs w:val="32"/>
        </w:rPr>
        <w:t xml:space="preserve"> 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 xml:space="preserve"> 0</w:t>
      </w:r>
      <w:r>
        <w:rPr>
          <w:rFonts w:hint="eastAsia" w:ascii="仿宋_GB2312" w:hAnsi="仿宋" w:eastAsia="仿宋_GB2312"/>
          <w:sz w:val="32"/>
          <w:szCs w:val="32"/>
        </w:rPr>
        <w:t>万元。</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3F2FDC16">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rPr>
        <w:t>1.社会保障和就业支出202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年预算数为</w:t>
      </w:r>
      <w:r>
        <w:rPr>
          <w:rFonts w:hint="eastAsia" w:ascii="仿宋_GB2312" w:hAnsi="TimesNewRomanPS-BoldMT" w:eastAsia="仿宋_GB2312"/>
          <w:bCs/>
          <w:color w:val="000000"/>
          <w:sz w:val="32"/>
          <w:szCs w:val="32"/>
          <w:highlight w:val="none"/>
          <w:lang w:val="en-US" w:eastAsia="zh-CN"/>
        </w:rPr>
        <w:t>93.42</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年预算</w:t>
      </w:r>
      <w:r>
        <w:rPr>
          <w:rFonts w:hint="eastAsia" w:ascii="仿宋_GB2312" w:hAnsi="TimesNewRomanPS-BoldMT" w:eastAsia="仿宋_GB2312"/>
          <w:bCs/>
          <w:color w:val="000000"/>
          <w:sz w:val="32"/>
          <w:szCs w:val="32"/>
          <w:highlight w:val="none"/>
          <w:lang w:val="en-US" w:eastAsia="zh-CN"/>
        </w:rPr>
        <w:t>增加14.73</w:t>
      </w:r>
      <w:r>
        <w:rPr>
          <w:rFonts w:hint="eastAsia" w:ascii="仿宋_GB2312" w:hAnsi="TimesNewRomanPS-BoldMT" w:eastAsia="仿宋_GB2312"/>
          <w:bCs/>
          <w:color w:val="000000"/>
          <w:sz w:val="32"/>
          <w:szCs w:val="32"/>
          <w:highlight w:val="none"/>
        </w:rPr>
        <w:t>万元，主要原因是单位人员变动，经费</w:t>
      </w:r>
      <w:r>
        <w:rPr>
          <w:rFonts w:hint="eastAsia" w:ascii="仿宋_GB2312" w:hAnsi="TimesNewRomanPS-BoldMT" w:eastAsia="仿宋_GB2312"/>
          <w:bCs/>
          <w:color w:val="000000"/>
          <w:sz w:val="32"/>
          <w:szCs w:val="32"/>
          <w:highlight w:val="none"/>
          <w:lang w:val="en-US" w:eastAsia="zh-CN"/>
        </w:rPr>
        <w:t>增加</w:t>
      </w:r>
      <w:r>
        <w:rPr>
          <w:rFonts w:hint="eastAsia" w:ascii="仿宋_GB2312" w:hAnsi="TimesNewRomanPS-BoldMT" w:eastAsia="仿宋_GB2312"/>
          <w:bCs/>
          <w:color w:val="000000"/>
          <w:sz w:val="32"/>
          <w:szCs w:val="32"/>
          <w:highlight w:val="none"/>
        </w:rPr>
        <w:t>；</w:t>
      </w:r>
    </w:p>
    <w:p w14:paraId="26B2CC32">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highlight w:val="none"/>
        </w:rPr>
        <w:t>2.卫生健康支出202</w:t>
      </w:r>
      <w:r>
        <w:rPr>
          <w:rFonts w:hint="eastAsia" w:ascii="仿宋_GB2312" w:hAnsi="TimesNewRomanPS-BoldMT" w:eastAsia="仿宋_GB2312"/>
          <w:bCs/>
          <w:color w:val="000000"/>
          <w:sz w:val="32"/>
          <w:szCs w:val="32"/>
          <w:highlight w:val="none"/>
          <w:lang w:val="en-US" w:eastAsia="zh-CN"/>
        </w:rPr>
        <w:t>6</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514.24</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年预算</w:t>
      </w:r>
      <w:r>
        <w:rPr>
          <w:rFonts w:hint="eastAsia" w:ascii="仿宋_GB2312" w:hAnsi="TimesNewRomanPS-BoldMT" w:eastAsia="仿宋_GB2312"/>
          <w:bCs/>
          <w:color w:val="000000"/>
          <w:sz w:val="32"/>
          <w:szCs w:val="32"/>
          <w:highlight w:val="none"/>
          <w:lang w:eastAsia="zh-CN"/>
        </w:rPr>
        <w:t>增加</w:t>
      </w:r>
      <w:r>
        <w:rPr>
          <w:rFonts w:hint="eastAsia" w:ascii="仿宋_GB2312" w:hAnsi="TimesNewRomanPS-BoldMT" w:eastAsia="仿宋_GB2312"/>
          <w:bCs/>
          <w:color w:val="000000"/>
          <w:sz w:val="32"/>
          <w:szCs w:val="32"/>
          <w:highlight w:val="none"/>
          <w:lang w:val="en-US" w:eastAsia="zh-CN"/>
        </w:rPr>
        <w:t>85.57</w:t>
      </w:r>
      <w:r>
        <w:rPr>
          <w:rFonts w:hint="eastAsia" w:ascii="仿宋_GB2312" w:hAnsi="TimesNewRomanPS-BoldMT" w:eastAsia="仿宋_GB2312"/>
          <w:bCs/>
          <w:color w:val="000000"/>
          <w:sz w:val="32"/>
          <w:szCs w:val="32"/>
          <w:highlight w:val="none"/>
        </w:rPr>
        <w:t>万元，主要原因是单位人员</w:t>
      </w:r>
      <w:r>
        <w:rPr>
          <w:rFonts w:hint="eastAsia" w:ascii="仿宋_GB2312" w:hAnsi="TimesNewRomanPS-BoldMT" w:eastAsia="仿宋_GB2312"/>
          <w:bCs/>
          <w:color w:val="000000"/>
          <w:sz w:val="32"/>
          <w:szCs w:val="32"/>
          <w:highlight w:val="none"/>
          <w:lang w:val="en-US" w:eastAsia="zh-CN"/>
        </w:rPr>
        <w:t>变动</w:t>
      </w:r>
      <w:r>
        <w:rPr>
          <w:rFonts w:hint="eastAsia" w:ascii="仿宋_GB2312" w:hAnsi="TimesNewRomanPS-BoldMT" w:eastAsia="仿宋_GB2312"/>
          <w:bCs/>
          <w:color w:val="000000"/>
          <w:sz w:val="32"/>
          <w:szCs w:val="32"/>
          <w:highlight w:val="none"/>
        </w:rPr>
        <w:t>，经费</w:t>
      </w:r>
      <w:r>
        <w:rPr>
          <w:rFonts w:hint="eastAsia" w:ascii="仿宋_GB2312" w:hAnsi="TimesNewRomanPS-BoldMT" w:eastAsia="仿宋_GB2312"/>
          <w:bCs/>
          <w:color w:val="000000"/>
          <w:sz w:val="32"/>
          <w:szCs w:val="32"/>
          <w:highlight w:val="none"/>
          <w:lang w:eastAsia="zh-CN"/>
        </w:rPr>
        <w:t>增加</w:t>
      </w:r>
      <w:r>
        <w:rPr>
          <w:rFonts w:hint="eastAsia" w:ascii="仿宋_GB2312" w:hAnsi="TimesNewRomanPS-BoldMT" w:eastAsia="仿宋_GB2312"/>
          <w:bCs/>
          <w:color w:val="000000"/>
          <w:sz w:val="32"/>
          <w:szCs w:val="32"/>
          <w:highlight w:val="none"/>
        </w:rPr>
        <w:t>；</w:t>
      </w:r>
    </w:p>
    <w:p w14:paraId="766935FF">
      <w:pPr>
        <w:widowControl/>
        <w:adjustRightInd w:val="0"/>
        <w:snapToGrid w:val="0"/>
        <w:spacing w:line="640" w:lineRule="exact"/>
        <w:ind w:firstLine="640" w:firstLineChars="200"/>
        <w:contextualSpacing/>
        <w:jc w:val="left"/>
        <w:rPr>
          <w:rFonts w:ascii="仿宋_GB2312" w:eastAsia="仿宋_GB2312"/>
          <w:color w:val="000000"/>
          <w:sz w:val="32"/>
          <w:szCs w:val="32"/>
        </w:rPr>
      </w:pPr>
      <w:r>
        <w:rPr>
          <w:rFonts w:hint="eastAsia" w:ascii="仿宋_GB2312" w:hAnsi="TimesNewRomanPS-BoldMT" w:eastAsia="仿宋_GB2312"/>
          <w:bCs/>
          <w:color w:val="000000"/>
          <w:sz w:val="32"/>
          <w:szCs w:val="32"/>
          <w:highlight w:val="none"/>
        </w:rPr>
        <w:t>3.住房保障202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45.11</w:t>
      </w:r>
      <w:r>
        <w:rPr>
          <w:rFonts w:hint="eastAsia" w:ascii="仿宋_GB2312" w:hAnsi="TimesNewRomanPS-BoldMT" w:eastAsia="仿宋_GB2312"/>
          <w:bCs/>
          <w:color w:val="000000"/>
          <w:sz w:val="32"/>
          <w:szCs w:val="32"/>
          <w:highlight w:val="none"/>
        </w:rPr>
        <w:t>万元，</w:t>
      </w:r>
      <w:r>
        <w:rPr>
          <w:rFonts w:hint="eastAsia" w:ascii="仿宋_GB2312" w:hAnsi="TimesNewRomanPS-BoldMT" w:eastAsia="仿宋_GB2312"/>
          <w:bCs/>
          <w:color w:val="000000"/>
          <w:sz w:val="32"/>
          <w:szCs w:val="32"/>
        </w:rPr>
        <w:t>比202</w:t>
      </w:r>
      <w:r>
        <w:rPr>
          <w:rFonts w:hint="eastAsia" w:ascii="仿宋_GB2312" w:hAnsi="TimesNewRomanPS-BoldMT" w:eastAsia="仿宋_GB2312"/>
          <w:bCs/>
          <w:color w:val="000000"/>
          <w:sz w:val="32"/>
          <w:szCs w:val="32"/>
          <w:lang w:val="en-US" w:eastAsia="zh-CN"/>
        </w:rPr>
        <w:t>4</w:t>
      </w:r>
      <w:r>
        <w:rPr>
          <w:rFonts w:hint="eastAsia" w:ascii="仿宋_GB2312" w:hAnsi="TimesNewRomanPS-BoldMT" w:eastAsia="仿宋_GB2312"/>
          <w:bCs/>
          <w:color w:val="000000"/>
          <w:sz w:val="32"/>
          <w:szCs w:val="32"/>
        </w:rPr>
        <w:t>年预算增加</w:t>
      </w:r>
      <w:r>
        <w:rPr>
          <w:rFonts w:hint="eastAsia" w:ascii="仿宋_GB2312" w:hAnsi="TimesNewRomanPS-BoldMT" w:eastAsia="仿宋_GB2312"/>
          <w:bCs/>
          <w:color w:val="000000"/>
          <w:sz w:val="32"/>
          <w:szCs w:val="32"/>
          <w:lang w:val="en-US" w:eastAsia="zh-CN"/>
        </w:rPr>
        <w:t>10.3</w:t>
      </w:r>
      <w:r>
        <w:rPr>
          <w:rFonts w:hint="eastAsia" w:ascii="仿宋_GB2312" w:hAnsi="TimesNewRomanPS-BoldMT" w:eastAsia="仿宋_GB2312"/>
          <w:bCs/>
          <w:color w:val="000000"/>
          <w:sz w:val="32"/>
          <w:szCs w:val="32"/>
        </w:rPr>
        <w:t>万元，主要原因是</w:t>
      </w:r>
      <w:r>
        <w:rPr>
          <w:rFonts w:hint="eastAsia" w:ascii="仿宋_GB2312" w:hAnsi="TimesNewRomanPS-BoldMT" w:eastAsia="仿宋_GB2312"/>
          <w:bCs/>
          <w:color w:val="000000"/>
          <w:sz w:val="32"/>
          <w:szCs w:val="32"/>
          <w:lang w:val="en-US" w:eastAsia="zh-CN"/>
        </w:rPr>
        <w:t>单位人员变动，经费增加</w:t>
      </w:r>
      <w:r>
        <w:rPr>
          <w:rFonts w:hint="eastAsia" w:ascii="仿宋_GB2312" w:hAnsi="TimesNewRomanPS-BoldMT" w:eastAsia="仿宋_GB2312"/>
          <w:bCs/>
          <w:color w:val="000000"/>
          <w:sz w:val="32"/>
          <w:szCs w:val="32"/>
        </w:rPr>
        <w:t>。</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3</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0.95</w:t>
      </w:r>
      <w:r>
        <w:rPr>
          <w:rFonts w:hint="eastAsia" w:ascii="仿宋_GB2312" w:hAnsi="仿宋" w:eastAsia="仿宋_GB2312"/>
          <w:sz w:val="32"/>
          <w:szCs w:val="32"/>
        </w:rPr>
        <w:t>万元。</w:t>
      </w:r>
    </w:p>
    <w:p w14:paraId="6CC6752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 xml:space="preserve"> 1</w:t>
      </w:r>
      <w:r>
        <w:rPr>
          <w:rFonts w:hint="eastAsia" w:ascii="仿宋_GB2312" w:hAnsi="仿宋" w:eastAsia="仿宋_GB2312"/>
          <w:sz w:val="32"/>
          <w:szCs w:val="32"/>
        </w:rPr>
        <w:t>.公务用车购置及运行维护费</w:t>
      </w:r>
      <w:r>
        <w:rPr>
          <w:rFonts w:hint="eastAsia" w:ascii="仿宋_GB2312" w:hAnsi="仿宋" w:eastAsia="仿宋_GB2312"/>
          <w:sz w:val="32"/>
          <w:szCs w:val="32"/>
          <w:lang w:val="en-US" w:eastAsia="zh-CN"/>
        </w:rPr>
        <w:t>3</w:t>
      </w:r>
      <w:r>
        <w:rPr>
          <w:rFonts w:hint="eastAsia" w:ascii="仿宋_GB2312" w:hAnsi="仿宋" w:eastAsia="仿宋_GB2312"/>
          <w:sz w:val="32"/>
          <w:szCs w:val="32"/>
        </w:rPr>
        <w:t xml:space="preserve">万元（其中：公务用车购置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万元，公务用车运行维护费 </w:t>
      </w:r>
      <w:r>
        <w:rPr>
          <w:rFonts w:hint="eastAsia" w:ascii="仿宋_GB2312" w:hAnsi="仿宋" w:eastAsia="仿宋_GB2312"/>
          <w:sz w:val="32"/>
          <w:szCs w:val="32"/>
          <w:lang w:val="en-US" w:eastAsia="zh-CN"/>
        </w:rPr>
        <w:t>3</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0.7</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2.33</w:t>
      </w:r>
      <w:r>
        <w:rPr>
          <w:rFonts w:hint="eastAsia" w:ascii="仿宋_GB2312" w:hAnsi="仿宋" w:eastAsia="仿宋_GB2312"/>
          <w:sz w:val="32"/>
          <w:szCs w:val="32"/>
        </w:rPr>
        <w:t>%，下降的主要原因是经费正常缩减。</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0C1AA7BE">
      <w:pPr>
        <w:widowControl/>
        <w:adjustRightInd w:val="0"/>
        <w:snapToGrid w:val="0"/>
        <w:spacing w:line="640" w:lineRule="exact"/>
        <w:ind w:firstLine="640" w:firstLineChars="200"/>
        <w:contextualSpacing/>
        <w:jc w:val="left"/>
        <w:rPr>
          <w:rFonts w:ascii="仿宋_GB2312" w:eastAsia="仿宋_GB2312"/>
          <w:sz w:val="32"/>
          <w:szCs w:val="32"/>
        </w:rPr>
      </w:pP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2B14E379">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未安排预算，政府性基金预算支出情况表为空表</w:t>
      </w:r>
      <w:r>
        <w:rPr>
          <w:rFonts w:hint="eastAsia" w:ascii="仿宋_GB2312" w:hAnsi="仿宋" w:eastAsia="仿宋_GB2312"/>
          <w:sz w:val="32"/>
          <w:szCs w:val="32"/>
          <w:lang w:eastAsia="zh-CN"/>
        </w:rPr>
        <w:t>。</w:t>
      </w:r>
    </w:p>
    <w:p w14:paraId="792B6F08">
      <w:pPr>
        <w:widowControl/>
        <w:adjustRightInd w:val="0"/>
        <w:snapToGrid w:val="0"/>
        <w:spacing w:line="640" w:lineRule="exact"/>
        <w:ind w:firstLine="643" w:firstLineChars="200"/>
        <w:contextualSpacing/>
        <w:jc w:val="left"/>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15DB1A4F">
      <w:pPr>
        <w:adjustRightInd w:val="0"/>
        <w:snapToGrid w:val="0"/>
        <w:spacing w:line="64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sz w:val="32"/>
          <w:szCs w:val="32"/>
          <w:lang w:eastAsia="zh-CN"/>
        </w:rPr>
        <w:t>华池县妇幼保健院2025</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lang w:eastAsia="zh-CN"/>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12F7D6A9">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lang w:eastAsia="zh-CN"/>
        </w:rPr>
        <w:t>华池县妇幼保健院</w:t>
      </w:r>
      <w:r>
        <w:rPr>
          <w:rFonts w:hint="eastAsia" w:ascii="仿宋_GB2312" w:hAnsi="仿宋" w:eastAsia="仿宋_GB2312"/>
          <w:sz w:val="32"/>
          <w:szCs w:val="32"/>
        </w:rPr>
        <w:t>年初预算未安排项目支出，无重点项目说明。</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752E8242">
      <w:pPr>
        <w:adjustRightInd w:val="0"/>
        <w:snapToGrid w:val="0"/>
        <w:spacing w:line="640" w:lineRule="exact"/>
        <w:ind w:left="638" w:leftChars="304" w:firstLine="0" w:firstLineChars="0"/>
        <w:contextualSpacing/>
        <w:rPr>
          <w:rFonts w:hint="eastAsia" w:ascii="仿宋_GB2312" w:hAnsi="仿宋" w:eastAsia="仿宋_GB2312"/>
          <w:sz w:val="32"/>
          <w:szCs w:val="32"/>
        </w:rPr>
      </w:pPr>
      <w:r>
        <w:rPr>
          <w:rFonts w:hint="eastAsia" w:ascii="仿宋_GB2312" w:hAnsi="仿宋" w:eastAsia="仿宋_GB2312"/>
          <w:sz w:val="32"/>
          <w:szCs w:val="32"/>
        </w:rPr>
        <w:t>未安排预算，</w:t>
      </w:r>
      <w:r>
        <w:rPr>
          <w:rFonts w:hint="eastAsia" w:ascii="仿宋_GB2312" w:hAnsi="仿宋" w:eastAsia="仿宋_GB2312"/>
          <w:sz w:val="32"/>
          <w:szCs w:val="32"/>
          <w:lang w:eastAsia="zh-CN"/>
        </w:rPr>
        <w:t>华池县妇幼保健院</w:t>
      </w:r>
      <w:r>
        <w:rPr>
          <w:rFonts w:hint="eastAsia" w:ascii="仿宋_GB2312" w:hAnsi="仿宋" w:eastAsia="仿宋_GB2312"/>
          <w:sz w:val="32"/>
          <w:szCs w:val="32"/>
        </w:rPr>
        <w:t>管理转移支付表为空表。</w:t>
      </w:r>
    </w:p>
    <w:p w14:paraId="57061121">
      <w:pPr>
        <w:adjustRightInd w:val="0"/>
        <w:snapToGrid w:val="0"/>
        <w:spacing w:line="640" w:lineRule="exact"/>
        <w:ind w:left="638" w:leftChars="304" w:firstLine="0" w:firstLineChars="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0AAB7FB2">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国务院关于全面实施预算绩效管理的意见》《中共甘肃省委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单位</w:t>
      </w:r>
      <w:r>
        <w:rPr>
          <w:rFonts w:hint="eastAsia" w:ascii="仿宋_GB2312" w:hAnsi="仿宋" w:eastAsia="仿宋_GB2312"/>
          <w:sz w:val="32"/>
          <w:szCs w:val="32"/>
        </w:rPr>
        <w:t xml:space="preserve">整体支出和项目绩效目标 </w:t>
      </w:r>
      <w:r>
        <w:rPr>
          <w:rFonts w:hint="eastAsia" w:ascii="仿宋_GB2312" w:hAnsi="仿宋" w:eastAsia="仿宋_GB2312"/>
          <w:sz w:val="32"/>
          <w:szCs w:val="32"/>
          <w:lang w:val="en-US" w:eastAsia="zh-CN"/>
        </w:rPr>
        <w:t>2</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8BC862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个，占本</w:t>
      </w:r>
      <w:r>
        <w:rPr>
          <w:rFonts w:hint="eastAsia" w:ascii="仿宋_GB2312" w:hAnsi="CIDFont+F6" w:eastAsia="仿宋_GB2312"/>
          <w:color w:val="000000"/>
          <w:sz w:val="32"/>
          <w:szCs w:val="32"/>
        </w:rPr>
        <w:t>部门/单位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eastAsia="zh-CN"/>
        </w:rPr>
        <w:t>：无</w:t>
      </w:r>
      <w:r>
        <w:rPr>
          <w:rFonts w:hint="eastAsia" w:ascii="仿宋_GB2312" w:hAnsi="仿宋" w:eastAsia="仿宋_GB2312"/>
          <w:sz w:val="32"/>
          <w:szCs w:val="32"/>
        </w:rPr>
        <w:t>。开展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个，占本部门（单位）项目的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eastAsia="zh-CN"/>
        </w:rPr>
        <w:t>无</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eastAsia="zh-CN"/>
        </w:rPr>
        <w:t>及时公开</w:t>
      </w:r>
      <w:r>
        <w:rPr>
          <w:rFonts w:hint="eastAsia" w:ascii="仿宋_GB2312" w:hAnsi="仿宋" w:eastAsia="仿宋_GB2312"/>
          <w:sz w:val="32"/>
          <w:szCs w:val="32"/>
        </w:rPr>
        <w:t>。</w:t>
      </w:r>
    </w:p>
    <w:p w14:paraId="1B5CB531">
      <w:pPr>
        <w:widowControl/>
        <w:adjustRightInd w:val="0"/>
        <w:snapToGrid w:val="0"/>
        <w:spacing w:line="640" w:lineRule="exact"/>
        <w:ind w:firstLine="643" w:firstLineChars="200"/>
        <w:contextualSpacing/>
        <w:jc w:val="left"/>
        <w:rPr>
          <w:rFonts w:hint="eastAsia" w:ascii="仿宋_GB2312" w:hAnsi="仿宋" w:eastAsia="仿宋_GB2312"/>
          <w:sz w:val="32"/>
          <w:szCs w:val="32"/>
          <w:lang w:eastAsia="zh-CN"/>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年度增加部门预算项目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r>
        <w:rPr>
          <w:rFonts w:hint="eastAsia" w:ascii="仿宋_GB2312" w:hAnsi="仿宋" w:eastAsia="仿宋_GB2312"/>
          <w:sz w:val="32"/>
          <w:szCs w:val="32"/>
          <w:lang w:val="en-US" w:eastAsia="zh-CN"/>
        </w:rPr>
        <w:t xml:space="preserve"> </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年，纳入单位预算绩效目标管理的项目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33</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7</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63563E5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0A9755BA">
      <w:pPr>
        <w:adjustRightInd w:val="0"/>
        <w:snapToGrid w:val="0"/>
        <w:spacing w:line="640" w:lineRule="exact"/>
        <w:ind w:right="960"/>
        <w:contextualSpacing/>
        <w:jc w:val="right"/>
        <w:rPr>
          <w:rFonts w:hint="eastAsia" w:ascii="仿宋_GB2312" w:hAnsi="CIDFont+F6" w:eastAsia="仿宋_GB2312"/>
          <w:color w:val="000000"/>
          <w:sz w:val="32"/>
          <w:szCs w:val="32"/>
          <w:lang w:eastAsia="zh-CN"/>
        </w:rPr>
      </w:pPr>
    </w:p>
    <w:p w14:paraId="31C9A7FD">
      <w:pPr>
        <w:adjustRightInd w:val="0"/>
        <w:snapToGrid w:val="0"/>
        <w:spacing w:line="640" w:lineRule="exact"/>
        <w:ind w:right="96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eastAsia="zh-CN"/>
        </w:rPr>
        <w:t>华池县妇幼保健院</w:t>
      </w:r>
    </w:p>
    <w:p w14:paraId="104DAE91">
      <w:pPr>
        <w:adjustRightInd w:val="0"/>
        <w:snapToGrid w:val="0"/>
        <w:spacing w:line="640" w:lineRule="exact"/>
        <w:ind w:firstLine="640" w:firstLineChars="200"/>
        <w:contextualSpacing/>
        <w:rPr>
          <w:rFonts w:hint="eastAsia" w:ascii="仿宋_GB2312" w:hAnsi="宋体" w:eastAsia="仿宋_GB2312" w:cs="宋体"/>
          <w:kern w:val="0"/>
          <w:sz w:val="32"/>
          <w:szCs w:val="32"/>
          <w:lang w:eastAsia="zh-CN"/>
        </w:rPr>
      </w:pPr>
      <w:r>
        <w:rPr>
          <w:rFonts w:hint="eastAsia" w:ascii="仿宋_GB2312" w:hAnsi="CIDFont+F6" w:eastAsia="仿宋_GB2312"/>
          <w:color w:val="000000"/>
          <w:sz w:val="32"/>
          <w:szCs w:val="32"/>
          <w:lang w:val="en-US" w:eastAsia="zh-CN"/>
        </w:rPr>
        <w:t xml:space="preserve">                                 2026</w:t>
      </w:r>
      <w:r>
        <w:rPr>
          <w:rFonts w:hint="eastAsia" w:ascii="仿宋_GB2312" w:hAnsi="CIDFont+F6" w:eastAsia="仿宋_GB2312"/>
          <w:color w:val="000000"/>
          <w:sz w:val="32"/>
          <w:szCs w:val="32"/>
        </w:rPr>
        <w:t xml:space="preserve">年 </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 xml:space="preserve"> 月 </w:t>
      </w:r>
      <w:r>
        <w:rPr>
          <w:rFonts w:hint="eastAsia" w:ascii="仿宋_GB2312" w:hAnsi="CIDFont+F6" w:eastAsia="仿宋_GB2312"/>
          <w:color w:val="000000"/>
          <w:sz w:val="32"/>
          <w:szCs w:val="32"/>
          <w:lang w:val="en-US" w:eastAsia="zh-CN"/>
        </w:rPr>
        <w:t>10</w:t>
      </w:r>
      <w:r>
        <w:rPr>
          <w:rFonts w:hint="eastAsia" w:ascii="仿宋_GB2312" w:hAnsi="CIDFont+F6" w:eastAsia="仿宋_GB2312"/>
          <w:color w:val="000000"/>
          <w:sz w:val="32"/>
          <w:szCs w:val="32"/>
        </w:rPr>
        <w:t xml:space="preserve"> 日</w:t>
      </w:r>
    </w:p>
    <w:p w14:paraId="2FF4197D">
      <w:pPr>
        <w:adjustRightInd w:val="0"/>
        <w:snapToGrid w:val="0"/>
        <w:spacing w:line="640" w:lineRule="exact"/>
        <w:ind w:firstLine="640" w:firstLineChars="200"/>
        <w:contextualSpacing/>
        <w:rPr>
          <w:rFonts w:hint="eastAsia"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bookmarkStart w:id="0" w:name="_GoBack"/>
      <w:bookmarkEnd w:id="0"/>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eastAsia="zh-CN"/>
        </w:rPr>
        <w:t>华池县妇幼保健院202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spacing w:val="-20"/>
          <w:kern w:val="0"/>
          <w:sz w:val="32"/>
          <w:szCs w:val="32"/>
        </w:rPr>
        <w:t>预算公开表</w:t>
      </w:r>
    </w:p>
    <w:p w14:paraId="22DB4760">
      <w:pPr>
        <w:adjustRightInd w:val="0"/>
        <w:snapToGrid w:val="0"/>
        <w:spacing w:line="640" w:lineRule="exact"/>
        <w:ind w:left="1796" w:leftChars="767" w:hanging="185" w:hangingChars="58"/>
        <w:contextualSpacing/>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eastAsia="zh-CN"/>
        </w:rPr>
        <w:t>华池县妇幼保健院</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kern w:val="0"/>
          <w:sz w:val="32"/>
          <w:szCs w:val="32"/>
        </w:rPr>
        <w:t>整体支出绩效目标及预算项目绩效目标表</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02"/>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76D15CF"/>
    <w:rsid w:val="08CC0577"/>
    <w:rsid w:val="113741D2"/>
    <w:rsid w:val="159A7D4D"/>
    <w:rsid w:val="18330BA7"/>
    <w:rsid w:val="1D34261E"/>
    <w:rsid w:val="20B8190A"/>
    <w:rsid w:val="379D4807"/>
    <w:rsid w:val="3A1439A9"/>
    <w:rsid w:val="3EB05C6A"/>
    <w:rsid w:val="42A05423"/>
    <w:rsid w:val="49D46CB0"/>
    <w:rsid w:val="4C433C79"/>
    <w:rsid w:val="4F5F526E"/>
    <w:rsid w:val="527E074E"/>
    <w:rsid w:val="554051FA"/>
    <w:rsid w:val="56393C72"/>
    <w:rsid w:val="579503FF"/>
    <w:rsid w:val="60535296"/>
    <w:rsid w:val="60E45767"/>
    <w:rsid w:val="624D0F56"/>
    <w:rsid w:val="66B65306"/>
    <w:rsid w:val="6AFD0380"/>
    <w:rsid w:val="6EC036E7"/>
    <w:rsid w:val="7121017E"/>
    <w:rsid w:val="71E338E5"/>
    <w:rsid w:val="72FD2525"/>
    <w:rsid w:val="77AB69F3"/>
    <w:rsid w:val="77B75398"/>
    <w:rsid w:val="78034139"/>
    <w:rsid w:val="78106856"/>
    <w:rsid w:val="78CA10FB"/>
    <w:rsid w:val="7F875650"/>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12</Pages>
  <Words>4176</Words>
  <Characters>4448</Characters>
  <Lines>68</Lines>
  <Paragraphs>19</Paragraphs>
  <TotalTime>5</TotalTime>
  <ScaleCrop>false</ScaleCrop>
  <LinksUpToDate>false</LinksUpToDate>
  <CharactersWithSpaces>4525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cp:lastModifiedBy>
  <cp:lastPrinted>2022-02-15T15:45:00Z</cp:lastPrinted>
  <dcterms:modified xsi:type="dcterms:W3CDTF">2026-03-10T09:36:52Z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6BA9204555B54A709B2801917CBC9882_13</vt:lpwstr>
  </property>
  <property fmtid="{D5CDD505-2E9C-101B-9397-08002B2CF9AE}" pid="4" name="KSOTemplateDocerSaveRecord">
    <vt:lpwstr>eyJoZGlkIjoiZmI2MGUwMmY5YzMyNTg0N2FjMmM5NDliZDg4MzFkNjEiLCJ1c2VySWQiOiIxMDMxNTM1NDkyIn0=</vt:lpwstr>
  </property>
</Properties>
</file>