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华池县人力资源市场管理中心202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w:t>
      </w:r>
      <w:bookmarkStart w:id="0" w:name="_GoBack"/>
      <w:bookmarkEnd w:id="0"/>
      <w:r>
        <w:rPr>
          <w:rFonts w:hint="eastAsia" w:ascii="仿宋_GB2312" w:hAnsi="仿宋" w:eastAsia="仿宋_GB2312"/>
          <w:color w:val="000000"/>
          <w:sz w:val="30"/>
          <w:szCs w:val="30"/>
        </w:rPr>
        <w:t>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一、部门职责</w:t>
      </w:r>
    </w:p>
    <w:p w14:paraId="2C871968">
      <w:pPr>
        <w:spacing w:line="600" w:lineRule="exact"/>
        <w:ind w:firstLine="640" w:firstLineChars="200"/>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s="仿宋_GB2312"/>
          <w:color w:val="000000" w:themeColor="text1"/>
          <w:sz w:val="32"/>
          <w:szCs w:val="32"/>
          <w:highlight w:val="none"/>
          <w14:textFill>
            <w14:solidFill>
              <w14:schemeClr w14:val="tx1"/>
            </w14:solidFill>
          </w14:textFill>
        </w:rPr>
        <w:t>华池县人力资源市场管理中心是华池县人力资源和社会保障局</w:t>
      </w:r>
      <w:r>
        <w:rPr>
          <w:rFonts w:ascii="Times New Roman" w:hAnsi="Times New Roman" w:eastAsia="仿宋_GB2312" w:cs="Times New Roman"/>
          <w:color w:val="000000" w:themeColor="text1"/>
          <w:sz w:val="32"/>
          <w:szCs w:val="32"/>
          <w:highlight w:val="none"/>
          <w14:textFill>
            <w14:solidFill>
              <w14:schemeClr w14:val="tx1"/>
            </w14:solidFill>
          </w14:textFill>
        </w:rPr>
        <w:t>的职能部门。主要职责是:</w:t>
      </w:r>
      <w:r>
        <w:rPr>
          <w:rFonts w:hint="eastAsia" w:ascii="仿宋_GB2312" w:eastAsia="仿宋_GB2312"/>
          <w:color w:val="000000" w:themeColor="text1"/>
          <w:sz w:val="32"/>
          <w:szCs w:val="32"/>
          <w:highlight w:val="none"/>
          <w14:textFill>
            <w14:solidFill>
              <w14:schemeClr w14:val="tx1"/>
            </w14:solidFill>
          </w14:textFill>
        </w:rPr>
        <w:t xml:space="preserve">1、社保卡办理；2、高校毕业生到非公经济组织就业；3、高校毕业生注册登记；4、下岗失业人员公益性岗位；5、社保补贴申报； 6.退休职工档案管理；7.就业见习。 </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54774D84">
      <w:pPr>
        <w:snapToGrid w:val="0"/>
        <w:spacing w:line="520" w:lineRule="exact"/>
        <w:ind w:firstLine="640" w:firstLineChars="200"/>
        <w:rPr>
          <w:rFonts w:hint="eastAsia" w:ascii="仿宋_GB2312" w:hAnsi="仿宋" w:eastAsia="仿宋_GB2312"/>
          <w:color w:val="000000" w:themeColor="text1"/>
          <w:sz w:val="32"/>
          <w:szCs w:val="32"/>
          <w:highlight w:val="none"/>
          <w14:textFill>
            <w14:solidFill>
              <w14:schemeClr w14:val="tx1"/>
            </w14:solidFill>
          </w14:textFill>
        </w:rPr>
      </w:pPr>
      <w:r>
        <w:rPr>
          <w:rFonts w:hint="eastAsia" w:ascii="仿宋_GB2312" w:hAnsi="仿宋" w:eastAsia="仿宋_GB2312"/>
          <w:color w:val="000000" w:themeColor="text1"/>
          <w:sz w:val="32"/>
          <w:szCs w:val="32"/>
          <w:highlight w:val="none"/>
          <w14:textFill>
            <w14:solidFill>
              <w14:schemeClr w14:val="tx1"/>
            </w14:solidFill>
          </w14:textFill>
        </w:rPr>
        <w:t>1）独立编制机构。</w:t>
      </w:r>
    </w:p>
    <w:p w14:paraId="4AEC5C20">
      <w:pPr>
        <w:snapToGrid w:val="0"/>
        <w:spacing w:line="520" w:lineRule="exact"/>
        <w:ind w:firstLine="640" w:firstLineChars="200"/>
        <w:rPr>
          <w:rFonts w:hint="eastAsia" w:ascii="仿宋_GB2312" w:hAnsi="仿宋" w:eastAsia="仿宋_GB2312"/>
          <w:color w:val="000000" w:themeColor="text1"/>
          <w:sz w:val="32"/>
          <w:szCs w:val="32"/>
          <w:highlight w:val="none"/>
          <w14:textFill>
            <w14:solidFill>
              <w14:schemeClr w14:val="tx1"/>
            </w14:solidFill>
          </w14:textFill>
        </w:rPr>
      </w:pPr>
      <w:r>
        <w:rPr>
          <w:rFonts w:hint="eastAsia" w:ascii="仿宋_GB2312" w:hAnsi="仿宋" w:eastAsia="仿宋_GB2312"/>
          <w:color w:val="000000" w:themeColor="text1"/>
          <w:sz w:val="32"/>
          <w:szCs w:val="32"/>
          <w:highlight w:val="none"/>
          <w14:textFill>
            <w14:solidFill>
              <w14:schemeClr w14:val="tx1"/>
            </w14:solidFill>
          </w14:textFill>
        </w:rPr>
        <w:t>202</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6</w:t>
      </w:r>
      <w:r>
        <w:rPr>
          <w:rFonts w:hint="eastAsia" w:ascii="仿宋_GB2312" w:hAnsi="仿宋" w:eastAsia="仿宋_GB2312"/>
          <w:color w:val="000000" w:themeColor="text1"/>
          <w:sz w:val="32"/>
          <w:szCs w:val="32"/>
          <w:highlight w:val="none"/>
          <w14:textFill>
            <w14:solidFill>
              <w14:schemeClr w14:val="tx1"/>
            </w14:solidFill>
          </w14:textFill>
        </w:rPr>
        <w:t>年，独立编制机构共</w:t>
      </w:r>
      <w:r>
        <w:rPr>
          <w:rFonts w:hint="eastAsia" w:ascii="仿宋_GB2312" w:eastAsia="仿宋_GB2312"/>
          <w:color w:val="000000" w:themeColor="text1"/>
          <w:sz w:val="32"/>
          <w:szCs w:val="32"/>
          <w:highlight w:val="none"/>
          <w:u w:val="single"/>
          <w14:textFill>
            <w14:solidFill>
              <w14:schemeClr w14:val="tx1"/>
            </w14:solidFill>
          </w14:textFill>
        </w:rPr>
        <w:t>1</w:t>
      </w:r>
      <w:r>
        <w:rPr>
          <w:rFonts w:hint="eastAsia" w:ascii="仿宋_GB2312" w:hAnsi="仿宋" w:eastAsia="仿宋_GB2312"/>
          <w:color w:val="000000" w:themeColor="text1"/>
          <w:sz w:val="32"/>
          <w:szCs w:val="32"/>
          <w:highlight w:val="none"/>
          <w14:textFill>
            <w14:solidFill>
              <w14:schemeClr w14:val="tx1"/>
            </w14:solidFill>
          </w14:textFill>
        </w:rPr>
        <w:t>个，较上年</w:t>
      </w:r>
      <w:r>
        <w:rPr>
          <w:rFonts w:ascii="仿宋_GB2312" w:eastAsia="仿宋_GB2312" w:cs="仿宋_GB2312"/>
          <w:color w:val="000000" w:themeColor="text1"/>
          <w:sz w:val="32"/>
          <w:szCs w:val="32"/>
          <w:highlight w:val="none"/>
          <w:lang w:bidi="zh-HK"/>
          <w14:textFill>
            <w14:solidFill>
              <w14:schemeClr w14:val="tx1"/>
            </w14:solidFill>
          </w14:textFill>
        </w:rPr>
        <w:t>持平</w:t>
      </w:r>
      <w:r>
        <w:rPr>
          <w:rFonts w:hint="eastAsia" w:ascii="仿宋_GB2312" w:hAnsi="仿宋" w:eastAsia="仿宋_GB2312"/>
          <w:color w:val="000000" w:themeColor="text1"/>
          <w:sz w:val="32"/>
          <w:szCs w:val="32"/>
          <w:highlight w:val="none"/>
          <w14:textFill>
            <w14:solidFill>
              <w14:schemeClr w14:val="tx1"/>
            </w14:solidFill>
          </w14:textFill>
        </w:rPr>
        <w:t>。</w:t>
      </w:r>
    </w:p>
    <w:p w14:paraId="2E4B4300">
      <w:pPr>
        <w:snapToGrid w:val="0"/>
        <w:spacing w:line="520" w:lineRule="exact"/>
        <w:ind w:firstLine="640" w:firstLineChars="200"/>
        <w:rPr>
          <w:rFonts w:hint="eastAsia" w:ascii="仿宋_GB2312" w:hAnsi="仿宋" w:eastAsia="仿宋_GB2312"/>
          <w:color w:val="000000" w:themeColor="text1"/>
          <w:sz w:val="32"/>
          <w:szCs w:val="32"/>
          <w:highlight w:val="none"/>
          <w14:textFill>
            <w14:solidFill>
              <w14:schemeClr w14:val="tx1"/>
            </w14:solidFill>
          </w14:textFill>
        </w:rPr>
      </w:pPr>
      <w:r>
        <w:rPr>
          <w:rFonts w:hint="eastAsia" w:ascii="仿宋_GB2312" w:hAnsi="仿宋" w:eastAsia="仿宋_GB2312"/>
          <w:color w:val="000000" w:themeColor="text1"/>
          <w:sz w:val="32"/>
          <w:szCs w:val="32"/>
          <w:highlight w:val="none"/>
          <w14:textFill>
            <w14:solidFill>
              <w14:schemeClr w14:val="tx1"/>
            </w14:solidFill>
          </w14:textFill>
        </w:rPr>
        <w:t>（2）独立核算机构。</w:t>
      </w:r>
    </w:p>
    <w:p w14:paraId="11438C06">
      <w:pPr>
        <w:snapToGrid w:val="0"/>
        <w:spacing w:line="520" w:lineRule="exact"/>
        <w:ind w:firstLine="640" w:firstLineChars="200"/>
        <w:rPr>
          <w:rFonts w:hint="eastAsia" w:ascii="仿宋_GB2312" w:hAnsi="仿宋" w:eastAsia="仿宋_GB2312"/>
          <w:color w:val="000000" w:themeColor="text1"/>
          <w:sz w:val="32"/>
          <w:szCs w:val="32"/>
          <w:highlight w:val="none"/>
          <w14:textFill>
            <w14:solidFill>
              <w14:schemeClr w14:val="tx1"/>
            </w14:solidFill>
          </w14:textFill>
        </w:rPr>
      </w:pPr>
      <w:r>
        <w:rPr>
          <w:rFonts w:hint="eastAsia" w:ascii="仿宋_GB2312" w:hAnsi="仿宋" w:eastAsia="仿宋_GB2312"/>
          <w:color w:val="000000" w:themeColor="text1"/>
          <w:sz w:val="32"/>
          <w:szCs w:val="32"/>
          <w:highlight w:val="none"/>
          <w14:textFill>
            <w14:solidFill>
              <w14:schemeClr w14:val="tx1"/>
            </w14:solidFill>
          </w14:textFill>
        </w:rPr>
        <w:t>202</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6</w:t>
      </w:r>
      <w:r>
        <w:rPr>
          <w:rFonts w:hint="eastAsia" w:ascii="仿宋_GB2312" w:hAnsi="仿宋" w:eastAsia="仿宋_GB2312"/>
          <w:color w:val="000000" w:themeColor="text1"/>
          <w:sz w:val="32"/>
          <w:szCs w:val="32"/>
          <w:highlight w:val="none"/>
          <w14:textFill>
            <w14:solidFill>
              <w14:schemeClr w14:val="tx1"/>
            </w14:solidFill>
          </w14:textFill>
        </w:rPr>
        <w:t>年，独立核算机构共</w:t>
      </w:r>
      <w:r>
        <w:rPr>
          <w:rFonts w:hint="eastAsia" w:ascii="仿宋_GB2312" w:eastAsia="仿宋_GB2312"/>
          <w:color w:val="000000" w:themeColor="text1"/>
          <w:sz w:val="32"/>
          <w:szCs w:val="32"/>
          <w:highlight w:val="none"/>
          <w:u w:val="single"/>
          <w14:textFill>
            <w14:solidFill>
              <w14:schemeClr w14:val="tx1"/>
            </w14:solidFill>
          </w14:textFill>
        </w:rPr>
        <w:t>1</w:t>
      </w:r>
      <w:r>
        <w:rPr>
          <w:rFonts w:hint="eastAsia" w:ascii="仿宋_GB2312" w:hAnsi="仿宋" w:eastAsia="仿宋_GB2312"/>
          <w:color w:val="000000" w:themeColor="text1"/>
          <w:sz w:val="32"/>
          <w:szCs w:val="32"/>
          <w:highlight w:val="none"/>
          <w14:textFill>
            <w14:solidFill>
              <w14:schemeClr w14:val="tx1"/>
            </w14:solidFill>
          </w14:textFill>
        </w:rPr>
        <w:t>个，较上年</w:t>
      </w:r>
      <w:r>
        <w:rPr>
          <w:rFonts w:ascii="仿宋_GB2312" w:eastAsia="仿宋_GB2312" w:cs="仿宋_GB2312"/>
          <w:color w:val="000000" w:themeColor="text1"/>
          <w:sz w:val="32"/>
          <w:szCs w:val="32"/>
          <w:highlight w:val="none"/>
          <w:lang w:bidi="zh-HK"/>
          <w14:textFill>
            <w14:solidFill>
              <w14:schemeClr w14:val="tx1"/>
            </w14:solidFill>
          </w14:textFill>
        </w:rPr>
        <w:t>持平</w:t>
      </w:r>
      <w:r>
        <w:rPr>
          <w:rFonts w:hint="eastAsia" w:ascii="仿宋_GB2312" w:hAnsi="仿宋" w:eastAsia="仿宋_GB2312"/>
          <w:color w:val="000000" w:themeColor="text1"/>
          <w:sz w:val="32"/>
          <w:szCs w:val="32"/>
          <w:highlight w:val="none"/>
          <w14:textFill>
            <w14:solidFill>
              <w14:schemeClr w14:val="tx1"/>
            </w14:solidFill>
          </w14:textFill>
        </w:rPr>
        <w:t>。</w:t>
      </w:r>
    </w:p>
    <w:p w14:paraId="65546208">
      <w:pPr>
        <w:snapToGrid w:val="0"/>
        <w:spacing w:line="520" w:lineRule="exact"/>
        <w:ind w:firstLine="640" w:firstLineChars="200"/>
        <w:rPr>
          <w:rFonts w:ascii="仿宋_GB2312" w:hAnsi="仿宋" w:eastAsia="仿宋_GB2312"/>
          <w:color w:val="000000" w:themeColor="text1"/>
          <w:sz w:val="32"/>
          <w:szCs w:val="32"/>
          <w:highlight w:val="none"/>
          <w14:textFill>
            <w14:solidFill>
              <w14:schemeClr w14:val="tx1"/>
            </w14:solidFill>
          </w14:textFill>
        </w:rPr>
      </w:pPr>
      <w:r>
        <w:rPr>
          <w:rFonts w:hint="eastAsia" w:ascii="仿宋_GB2312" w:hAnsi="仿宋" w:eastAsia="仿宋_GB2312"/>
          <w:color w:val="000000" w:themeColor="text1"/>
          <w:sz w:val="32"/>
          <w:szCs w:val="32"/>
          <w:highlight w:val="none"/>
          <w:lang w:eastAsia="zh-CN"/>
          <w14:textFill>
            <w14:solidFill>
              <w14:schemeClr w14:val="tx1"/>
            </w14:solidFill>
          </w14:textFill>
        </w:rPr>
        <w:t>（</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3</w:t>
      </w:r>
      <w:r>
        <w:rPr>
          <w:rFonts w:hint="eastAsia" w:ascii="仿宋_GB2312" w:hAnsi="仿宋" w:eastAsia="仿宋_GB2312"/>
          <w:color w:val="000000" w:themeColor="text1"/>
          <w:sz w:val="32"/>
          <w:szCs w:val="32"/>
          <w:highlight w:val="none"/>
          <w:lang w:eastAsia="zh-CN"/>
          <w14:textFill>
            <w14:solidFill>
              <w14:schemeClr w14:val="tx1"/>
            </w14:solidFill>
          </w14:textFill>
        </w:rPr>
        <w:t>）</w:t>
      </w:r>
      <w:r>
        <w:rPr>
          <w:rFonts w:hint="eastAsia" w:ascii="仿宋_GB2312" w:hAnsi="仿宋" w:eastAsia="仿宋_GB2312"/>
          <w:color w:val="000000" w:themeColor="text1"/>
          <w:sz w:val="32"/>
          <w:szCs w:val="32"/>
          <w:highlight w:val="none"/>
          <w14:textFill>
            <w14:solidFill>
              <w14:schemeClr w14:val="tx1"/>
            </w14:solidFill>
          </w14:textFill>
        </w:rPr>
        <w:t>人员情况，包括当年变动情况及原因。</w:t>
      </w:r>
    </w:p>
    <w:p w14:paraId="61C52C68">
      <w:pPr>
        <w:ind w:firstLine="640" w:firstLineChars="200"/>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bidi="zh-HK"/>
          <w14:textFill>
            <w14:solidFill>
              <w14:schemeClr w14:val="tx1"/>
            </w14:solidFill>
          </w14:textFill>
        </w:rPr>
        <w:t>202</w:t>
      </w:r>
      <w:r>
        <w:rPr>
          <w:rFonts w:hint="eastAsia" w:ascii="仿宋" w:hAnsi="仿宋" w:eastAsia="仿宋" w:cs="仿宋"/>
          <w:color w:val="000000" w:themeColor="text1"/>
          <w:sz w:val="32"/>
          <w:szCs w:val="32"/>
          <w:highlight w:val="none"/>
          <w:lang w:val="en-US" w:eastAsia="zh-CN" w:bidi="zh-HK"/>
          <w14:textFill>
            <w14:solidFill>
              <w14:schemeClr w14:val="tx1"/>
            </w14:solidFill>
          </w14:textFill>
        </w:rPr>
        <w:t>6</w:t>
      </w:r>
      <w:r>
        <w:rPr>
          <w:rFonts w:ascii="仿宋_GB2312" w:eastAsia="仿宋_GB2312" w:cs="仿宋_GB2312"/>
          <w:color w:val="000000" w:themeColor="text1"/>
          <w:sz w:val="32"/>
          <w:szCs w:val="32"/>
          <w:highlight w:val="none"/>
          <w:lang w:bidi="zh-HK"/>
          <w14:textFill>
            <w14:solidFill>
              <w14:schemeClr w14:val="tx1"/>
            </w14:solidFill>
          </w14:textFill>
        </w:rPr>
        <w:t>年实有人数</w:t>
      </w:r>
      <w:r>
        <w:rPr>
          <w:rFonts w:hint="eastAsia" w:ascii="仿宋_GB2312" w:eastAsia="仿宋_GB2312" w:cs="仿宋_GB2312"/>
          <w:color w:val="000000" w:themeColor="text1"/>
          <w:sz w:val="32"/>
          <w:szCs w:val="32"/>
          <w:highlight w:val="none"/>
          <w:lang w:val="en-US" w:eastAsia="zh-CN" w:bidi="zh-HK"/>
          <w14:textFill>
            <w14:solidFill>
              <w14:schemeClr w14:val="tx1"/>
            </w14:solidFill>
          </w14:textFill>
        </w:rPr>
        <w:t>6</w:t>
      </w:r>
      <w:r>
        <w:rPr>
          <w:rFonts w:ascii="仿宋_GB2312" w:eastAsia="仿宋_GB2312" w:cs="仿宋_GB2312"/>
          <w:color w:val="000000" w:themeColor="text1"/>
          <w:sz w:val="32"/>
          <w:szCs w:val="32"/>
          <w:highlight w:val="none"/>
          <w:lang w:bidi="zh-HK"/>
          <w14:textFill>
            <w14:solidFill>
              <w14:schemeClr w14:val="tx1"/>
            </w14:solidFill>
          </w14:textFill>
        </w:rPr>
        <w:t>人</w:t>
      </w:r>
      <w:r>
        <w:rPr>
          <w:rFonts w:ascii="仿宋_GB2312" w:eastAsia="仿宋_GB2312"/>
          <w:color w:val="000000" w:themeColor="text1"/>
          <w:sz w:val="32"/>
          <w:szCs w:val="32"/>
          <w:highlight w:val="none"/>
          <w14:textFill>
            <w14:solidFill>
              <w14:schemeClr w14:val="tx1"/>
            </w14:solidFill>
          </w14:textFill>
        </w:rPr>
        <w:t>（不含遗属优抚人员）</w:t>
      </w:r>
      <w:r>
        <w:rPr>
          <w:rFonts w:hint="eastAsia" w:ascii="仿宋_GB2312" w:eastAsia="仿宋_GB2312"/>
          <w:color w:val="000000" w:themeColor="text1"/>
          <w:sz w:val="32"/>
          <w:szCs w:val="32"/>
          <w:highlight w:val="none"/>
          <w14:textFill>
            <w14:solidFill>
              <w14:schemeClr w14:val="tx1"/>
            </w14:solidFill>
          </w14:textFill>
        </w:rPr>
        <w:t>，</w:t>
      </w:r>
      <w:r>
        <w:rPr>
          <w:rFonts w:ascii="仿宋_GB2312" w:eastAsia="仿宋_GB2312" w:cs="仿宋_GB2312"/>
          <w:color w:val="000000" w:themeColor="text1"/>
          <w:sz w:val="32"/>
          <w:szCs w:val="32"/>
          <w:highlight w:val="none"/>
          <w:lang w:bidi="zh-HK"/>
          <w14:textFill>
            <w14:solidFill>
              <w14:schemeClr w14:val="tx1"/>
            </w14:solidFill>
          </w14:textFill>
        </w:rPr>
        <w:t>与202</w:t>
      </w:r>
      <w:r>
        <w:rPr>
          <w:rFonts w:hint="eastAsia" w:ascii="仿宋_GB2312" w:eastAsia="仿宋_GB2312" w:cs="仿宋_GB2312"/>
          <w:color w:val="000000" w:themeColor="text1"/>
          <w:sz w:val="32"/>
          <w:szCs w:val="32"/>
          <w:highlight w:val="none"/>
          <w:lang w:val="en-US" w:eastAsia="zh-CN" w:bidi="zh-HK"/>
          <w14:textFill>
            <w14:solidFill>
              <w14:schemeClr w14:val="tx1"/>
            </w14:solidFill>
          </w14:textFill>
        </w:rPr>
        <w:t>5</w:t>
      </w:r>
      <w:r>
        <w:rPr>
          <w:rFonts w:ascii="仿宋_GB2312" w:eastAsia="仿宋_GB2312" w:cs="仿宋_GB2312"/>
          <w:color w:val="000000" w:themeColor="text1"/>
          <w:sz w:val="32"/>
          <w:szCs w:val="32"/>
          <w:highlight w:val="none"/>
          <w:lang w:bidi="zh-HK"/>
          <w14:textFill>
            <w14:solidFill>
              <w14:schemeClr w14:val="tx1"/>
            </w14:solidFill>
          </w14:textFill>
        </w:rPr>
        <w:t>年</w:t>
      </w:r>
      <w:r>
        <w:rPr>
          <w:rFonts w:hint="eastAsia" w:ascii="仿宋_GB2312" w:eastAsia="仿宋_GB2312" w:cs="仿宋_GB2312"/>
          <w:color w:val="000000" w:themeColor="text1"/>
          <w:sz w:val="32"/>
          <w:szCs w:val="32"/>
          <w:highlight w:val="none"/>
          <w:lang w:bidi="zh-HK"/>
          <w14:textFill>
            <w14:solidFill>
              <w14:schemeClr w14:val="tx1"/>
            </w14:solidFill>
          </w14:textFill>
        </w:rPr>
        <w:t>度</w:t>
      </w:r>
      <w:r>
        <w:rPr>
          <w:rFonts w:ascii="仿宋_GB2312" w:eastAsia="仿宋_GB2312" w:cs="仿宋_GB2312"/>
          <w:color w:val="000000" w:themeColor="text1"/>
          <w:sz w:val="32"/>
          <w:szCs w:val="32"/>
          <w:highlight w:val="none"/>
          <w:lang w:bidi="zh-HK"/>
          <w14:textFill>
            <w14:solidFill>
              <w14:schemeClr w14:val="tx1"/>
            </w14:solidFill>
          </w14:textFill>
        </w:rPr>
        <w:t>相比，</w:t>
      </w:r>
      <w:r>
        <w:rPr>
          <w:rFonts w:hint="eastAsia" w:ascii="仿宋_GB2312" w:eastAsia="仿宋_GB2312" w:cs="仿宋_GB2312"/>
          <w:color w:val="000000" w:themeColor="text1"/>
          <w:sz w:val="32"/>
          <w:szCs w:val="32"/>
          <w:highlight w:val="none"/>
          <w:lang w:eastAsia="zh-CN" w:bidi="zh-HK"/>
          <w14:textFill>
            <w14:solidFill>
              <w14:schemeClr w14:val="tx1"/>
            </w14:solidFill>
          </w14:textFill>
        </w:rPr>
        <w:t>持平。</w:t>
      </w:r>
    </w:p>
    <w:p w14:paraId="1A18BC4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w:t>
      </w:r>
      <w:r>
        <w:rPr>
          <w:rFonts w:hint="eastAsia" w:ascii="楷体_GB2312" w:hAnsi="楷体" w:eastAsia="楷体_GB2312" w:cs="宋体"/>
          <w:b/>
          <w:bCs/>
          <w:kern w:val="0"/>
          <w:sz w:val="32"/>
          <w:szCs w:val="32"/>
          <w:lang w:eastAsia="zh-CN"/>
        </w:rPr>
        <w:t>二</w:t>
      </w:r>
      <w:r>
        <w:rPr>
          <w:rFonts w:hint="eastAsia" w:ascii="楷体_GB2312" w:hAnsi="楷体" w:eastAsia="楷体_GB2312" w:cs="宋体"/>
          <w:b/>
          <w:bCs/>
          <w:kern w:val="0"/>
          <w:sz w:val="32"/>
          <w:szCs w:val="32"/>
        </w:rPr>
        <w:t>）直属事业单位</w:t>
      </w:r>
    </w:p>
    <w:p w14:paraId="4243A464">
      <w:pPr>
        <w:spacing w:line="600" w:lineRule="exact"/>
        <w:ind w:firstLine="960" w:firstLineChars="30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eastAsia="zh-CN"/>
        </w:rPr>
        <w:t>我部门属华池县人力资源和社会保障局二级事业单位。</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三、部门收支总体情况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101.12</w:t>
      </w:r>
      <w:r>
        <w:rPr>
          <w:rFonts w:hint="eastAsia" w:ascii="仿宋_GB2312" w:hAnsi="仿宋" w:eastAsia="仿宋_GB2312" w:cs="宋体"/>
          <w:kern w:val="0"/>
          <w:sz w:val="32"/>
          <w:szCs w:val="32"/>
        </w:rPr>
        <w:t>万元。按照综合预算的原则，部门所有收入和支出均纳入部门预算管理。收入包括：一般公共预算拨款收入；支出包括：社会保障和就业支出、卫生健康支出、住房保障支出。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101.12</w:t>
      </w:r>
      <w:r>
        <w:rPr>
          <w:rFonts w:hint="eastAsia" w:ascii="仿宋_GB2312" w:hAnsi="仿宋" w:eastAsia="仿宋_GB2312"/>
          <w:sz w:val="32"/>
          <w:szCs w:val="32"/>
        </w:rPr>
        <w:t>万元（详见部门预算公开表1,2）。包括：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101.12</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06AE385C">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101.12</w:t>
      </w:r>
      <w:r>
        <w:rPr>
          <w:rFonts w:hint="eastAsia" w:ascii="仿宋_GB2312" w:hAnsi="仿宋" w:eastAsia="仿宋_GB2312"/>
          <w:sz w:val="32"/>
          <w:szCs w:val="32"/>
        </w:rPr>
        <w:t>万元（详见部门预算公开表3）。</w:t>
      </w:r>
      <w:r>
        <w:rPr>
          <w:rStyle w:val="20"/>
          <w:rFonts w:hint="default" w:hAnsi="仿宋"/>
        </w:rPr>
        <w:t>其中：基本支出</w:t>
      </w:r>
      <w:r>
        <w:rPr>
          <w:rStyle w:val="21"/>
          <w:rFonts w:hint="eastAsia" w:ascii="仿宋_GB2312" w:hAnsi="仿宋" w:eastAsia="仿宋_GB2312"/>
          <w:lang w:val="en-US" w:eastAsia="zh-CN"/>
        </w:rPr>
        <w:t>99.12</w:t>
      </w:r>
      <w:r>
        <w:rPr>
          <w:rStyle w:val="20"/>
          <w:rFonts w:hint="default" w:hAnsi="仿宋"/>
        </w:rPr>
        <w:t>万元， 占</w:t>
      </w:r>
      <w:r>
        <w:rPr>
          <w:rStyle w:val="20"/>
          <w:rFonts w:hint="eastAsia" w:hAnsi="仿宋" w:eastAsia="仿宋_GB2312"/>
          <w:lang w:val="en-US" w:eastAsia="zh-CN"/>
        </w:rPr>
        <w:t>98.02</w:t>
      </w:r>
      <w:r>
        <w:rPr>
          <w:rStyle w:val="21"/>
          <w:rFonts w:hint="eastAsia" w:ascii="仿宋_GB2312" w:hAnsi="仿宋" w:eastAsia="仿宋_GB2312"/>
        </w:rPr>
        <w:t>%</w:t>
      </w:r>
      <w:r>
        <w:rPr>
          <w:rStyle w:val="20"/>
          <w:rFonts w:hint="default" w:hAnsi="仿宋"/>
        </w:rPr>
        <w:t>； 项目支出</w:t>
      </w:r>
      <w:r>
        <w:rPr>
          <w:rStyle w:val="20"/>
          <w:rFonts w:hint="eastAsia" w:hAnsi="仿宋" w:eastAsia="仿宋_GB2312"/>
          <w:lang w:val="en-US" w:eastAsia="zh-CN"/>
        </w:rPr>
        <w:t>2</w:t>
      </w:r>
      <w:r>
        <w:rPr>
          <w:rStyle w:val="20"/>
          <w:rFonts w:hint="default" w:hAnsi="仿宋"/>
        </w:rPr>
        <w:t>万元，占</w:t>
      </w:r>
      <w:r>
        <w:rPr>
          <w:rStyle w:val="21"/>
          <w:rFonts w:hint="eastAsia" w:ascii="仿宋_GB2312" w:hAnsi="仿宋" w:eastAsia="仿宋_GB2312"/>
          <w:lang w:val="en-US" w:eastAsia="zh-CN"/>
        </w:rPr>
        <w:t>1.98</w:t>
      </w:r>
      <w:r>
        <w:rPr>
          <w:rStyle w:val="21"/>
          <w:rFonts w:hint="eastAsia" w:ascii="仿宋_GB2312" w:hAnsi="仿宋" w:eastAsia="仿宋_GB2312"/>
        </w:rPr>
        <w:t>%</w:t>
      </w:r>
      <w:r>
        <w:rPr>
          <w:rStyle w:val="20"/>
          <w:rFonts w:hint="default" w:hAnsi="仿宋"/>
        </w:rPr>
        <w:t>； 上年结转</w:t>
      </w:r>
      <w:r>
        <w:rPr>
          <w:rStyle w:val="20"/>
          <w:rFonts w:hint="eastAsia" w:hAnsi="仿宋" w:eastAsia="仿宋_GB2312"/>
          <w:lang w:val="en-US" w:eastAsia="zh-CN"/>
        </w:rPr>
        <w:t>0</w:t>
      </w:r>
      <w:r>
        <w:rPr>
          <w:rStyle w:val="21"/>
          <w:rFonts w:hint="eastAsia" w:ascii="仿宋_GB2312" w:hAnsi="仿宋" w:eastAsia="仿宋_GB2312"/>
          <w:lang w:val="en-US" w:eastAsia="zh-CN"/>
        </w:rPr>
        <w:t xml:space="preserve"> </w:t>
      </w:r>
      <w:r>
        <w:rPr>
          <w:rStyle w:val="20"/>
          <w:rFonts w:hint="default" w:hAnsi="仿宋"/>
        </w:rPr>
        <w:t>万元， 占</w:t>
      </w:r>
      <w:r>
        <w:rPr>
          <w:rStyle w:val="21"/>
          <w:rFonts w:hint="eastAsia" w:ascii="仿宋_GB2312" w:hAnsi="仿宋" w:eastAsia="仿宋_GB2312"/>
          <w:lang w:val="en-US" w:eastAsia="zh-CN"/>
        </w:rPr>
        <w:t xml:space="preserve"> </w:t>
      </w:r>
      <w:r>
        <w:rPr>
          <w:rStyle w:val="21"/>
          <w:rFonts w:hint="eastAsia" w:ascii="仿宋_GB2312" w:hAnsi="仿宋" w:eastAsia="仿宋_GB2312"/>
        </w:rPr>
        <w:t>%</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lang w:val="en-US" w:eastAsia="zh-CN"/>
        </w:rPr>
        <w:t>101.12</w:t>
      </w:r>
      <w:r>
        <w:rPr>
          <w:rStyle w:val="20"/>
          <w:rFonts w:hint="default" w:hAnsi="仿宋"/>
        </w:rPr>
        <w:t>万元，包括：一般公共服务支出</w:t>
      </w:r>
      <w:r>
        <w:rPr>
          <w:rStyle w:val="20"/>
          <w:rFonts w:hint="eastAsia" w:hAnsi="仿宋" w:eastAsia="仿宋_GB2312"/>
          <w:lang w:val="en-US" w:eastAsia="zh-CN"/>
        </w:rPr>
        <w:t>0</w:t>
      </w:r>
      <w:r>
        <w:rPr>
          <w:rStyle w:val="21"/>
          <w:rFonts w:hint="eastAsia" w:ascii="仿宋_GB2312" w:hAnsi="仿宋" w:eastAsia="仿宋_GB2312"/>
          <w:lang w:val="en-US" w:eastAsia="zh-CN"/>
        </w:rPr>
        <w:t xml:space="preserve"> </w:t>
      </w:r>
      <w:r>
        <w:rPr>
          <w:rStyle w:val="20"/>
          <w:rFonts w:hint="default" w:hAnsi="仿宋"/>
        </w:rPr>
        <w:t>万元、公共安全支出</w:t>
      </w:r>
      <w:r>
        <w:rPr>
          <w:rStyle w:val="21"/>
          <w:rFonts w:hint="eastAsia" w:ascii="仿宋_GB2312" w:hAnsi="仿宋" w:eastAsia="仿宋_GB2312"/>
          <w:lang w:val="en-US" w:eastAsia="zh-CN"/>
        </w:rPr>
        <w:t>0</w:t>
      </w:r>
      <w:r>
        <w:rPr>
          <w:rStyle w:val="20"/>
          <w:rFonts w:hint="default" w:hAnsi="仿宋"/>
        </w:rPr>
        <w:t>万元、教育支出</w:t>
      </w:r>
      <w:r>
        <w:rPr>
          <w:rStyle w:val="21"/>
          <w:rFonts w:hint="eastAsia" w:ascii="仿宋_GB2312" w:hAnsi="仿宋" w:eastAsia="仿宋_GB2312"/>
          <w:lang w:val="en-US" w:eastAsia="zh-CN"/>
        </w:rPr>
        <w:t>0</w:t>
      </w:r>
      <w:r>
        <w:rPr>
          <w:rStyle w:val="20"/>
          <w:rFonts w:hint="default" w:hAnsi="仿宋"/>
        </w:rPr>
        <w:t>万元、科学技术支出</w:t>
      </w:r>
      <w:r>
        <w:rPr>
          <w:rStyle w:val="21"/>
          <w:rFonts w:hint="eastAsia" w:ascii="仿宋_GB2312" w:hAnsi="仿宋" w:eastAsia="仿宋_GB2312"/>
        </w:rPr>
        <w:t xml:space="preserve"> </w:t>
      </w:r>
      <w:r>
        <w:rPr>
          <w:rStyle w:val="21"/>
          <w:rFonts w:hint="eastAsia" w:ascii="仿宋_GB2312" w:hAnsi="仿宋" w:eastAsia="仿宋_GB2312"/>
          <w:lang w:val="en-US" w:eastAsia="zh-CN"/>
        </w:rPr>
        <w:t xml:space="preserve">0 </w:t>
      </w:r>
      <w:r>
        <w:rPr>
          <w:rStyle w:val="20"/>
          <w:rFonts w:hint="default" w:hAnsi="仿宋"/>
        </w:rPr>
        <w:t>万元、社会保障和就业支出</w:t>
      </w:r>
      <w:r>
        <w:rPr>
          <w:rStyle w:val="21"/>
          <w:rFonts w:hint="eastAsia" w:ascii="仿宋_GB2312" w:hAnsi="仿宋" w:eastAsia="仿宋_GB2312"/>
          <w:lang w:val="en-US" w:eastAsia="zh-CN"/>
        </w:rPr>
        <w:t>89.55</w:t>
      </w:r>
      <w:r>
        <w:rPr>
          <w:rStyle w:val="20"/>
          <w:rFonts w:hint="default" w:hAnsi="仿宋"/>
        </w:rPr>
        <w:t>万元、</w:t>
      </w:r>
      <w:r>
        <w:rPr>
          <w:rFonts w:hint="eastAsia" w:ascii="仿宋_GB2312" w:hAnsi="仿宋" w:eastAsia="仿宋_GB2312" w:cs="宋体"/>
          <w:kern w:val="0"/>
          <w:sz w:val="32"/>
          <w:szCs w:val="32"/>
          <w:lang w:val="en-US" w:eastAsia="zh-CN"/>
        </w:rPr>
        <w:t>卫生健康支出4.68万元、住房保障支出6.89万元、</w:t>
      </w:r>
      <w:r>
        <w:rPr>
          <w:rStyle w:val="20"/>
          <w:rFonts w:hint="default" w:hAnsi="仿宋"/>
        </w:rPr>
        <w:t>其他支出</w:t>
      </w:r>
      <w:r>
        <w:rPr>
          <w:rStyle w:val="21"/>
          <w:rFonts w:hint="eastAsia" w:ascii="仿宋_GB2312" w:hAnsi="仿宋" w:eastAsia="仿宋_GB2312"/>
          <w:lang w:val="en-US" w:eastAsia="zh-CN"/>
        </w:rPr>
        <w:t xml:space="preserve"> 0</w:t>
      </w:r>
      <w:r>
        <w:rPr>
          <w:rStyle w:val="20"/>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99.12</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5.89</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6.32</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人员工资上涨。</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92.01</w:t>
      </w:r>
      <w:r>
        <w:rPr>
          <w:rFonts w:hint="eastAsia" w:ascii="仿宋_GB2312" w:hAnsi="仿宋" w:eastAsia="仿宋_GB2312"/>
          <w:sz w:val="32"/>
          <w:szCs w:val="32"/>
        </w:rPr>
        <w:t>万元，主要包括：基本工资</w:t>
      </w:r>
      <w:r>
        <w:rPr>
          <w:rFonts w:hint="eastAsia" w:ascii="仿宋_GB2312" w:hAnsi="仿宋" w:eastAsia="仿宋_GB2312"/>
          <w:sz w:val="32"/>
          <w:szCs w:val="32"/>
          <w:lang w:val="en-US" w:eastAsia="zh-CN"/>
        </w:rPr>
        <w:t>28.78万元</w:t>
      </w:r>
      <w:r>
        <w:rPr>
          <w:rFonts w:hint="eastAsia" w:ascii="仿宋_GB2312" w:hAnsi="仿宋" w:eastAsia="仿宋_GB2312"/>
          <w:sz w:val="32"/>
          <w:szCs w:val="32"/>
        </w:rPr>
        <w:t>、津贴补贴</w:t>
      </w:r>
      <w:r>
        <w:rPr>
          <w:rFonts w:hint="eastAsia" w:ascii="仿宋_GB2312" w:hAnsi="仿宋" w:eastAsia="仿宋_GB2312"/>
          <w:sz w:val="32"/>
          <w:szCs w:val="32"/>
          <w:lang w:val="en-US" w:eastAsia="zh-CN"/>
        </w:rPr>
        <w:t>30.83万元</w:t>
      </w:r>
      <w:r>
        <w:rPr>
          <w:rFonts w:hint="eastAsia" w:ascii="仿宋_GB2312" w:hAnsi="仿宋" w:eastAsia="仿宋_GB2312"/>
          <w:sz w:val="32"/>
          <w:szCs w:val="32"/>
        </w:rPr>
        <w:t>、奖金</w:t>
      </w:r>
      <w:r>
        <w:rPr>
          <w:rFonts w:hint="eastAsia" w:ascii="仿宋_GB2312" w:hAnsi="仿宋" w:eastAsia="仿宋_GB2312"/>
          <w:sz w:val="32"/>
          <w:szCs w:val="32"/>
          <w:lang w:val="en-US" w:eastAsia="zh-CN"/>
        </w:rPr>
        <w:t>6.00万元</w:t>
      </w:r>
      <w:r>
        <w:rPr>
          <w:rFonts w:hint="eastAsia" w:ascii="仿宋_GB2312" w:hAnsi="仿宋" w:eastAsia="仿宋_GB2312"/>
          <w:sz w:val="32"/>
          <w:szCs w:val="32"/>
        </w:rPr>
        <w:t>、机关事业单位基本养老保险缴费</w:t>
      </w:r>
      <w:r>
        <w:rPr>
          <w:rFonts w:hint="eastAsia" w:ascii="仿宋_GB2312" w:hAnsi="仿宋" w:eastAsia="仿宋_GB2312"/>
          <w:sz w:val="32"/>
          <w:szCs w:val="32"/>
          <w:lang w:val="en-US" w:eastAsia="zh-CN"/>
        </w:rPr>
        <w:t>9.19万元</w:t>
      </w:r>
      <w:r>
        <w:rPr>
          <w:rFonts w:hint="eastAsia" w:ascii="仿宋_GB2312" w:hAnsi="仿宋" w:eastAsia="仿宋_GB2312"/>
          <w:sz w:val="32"/>
          <w:szCs w:val="32"/>
        </w:rPr>
        <w:t>、职业年金缴费</w:t>
      </w:r>
      <w:r>
        <w:rPr>
          <w:rFonts w:hint="eastAsia" w:ascii="仿宋_GB2312" w:hAnsi="仿宋" w:eastAsia="仿宋_GB2312"/>
          <w:sz w:val="32"/>
          <w:szCs w:val="32"/>
          <w:lang w:val="en-US" w:eastAsia="zh-CN"/>
        </w:rPr>
        <w:t>4.59万元</w:t>
      </w:r>
      <w:r>
        <w:rPr>
          <w:rFonts w:hint="eastAsia" w:ascii="仿宋_GB2312" w:hAnsi="仿宋" w:eastAsia="仿宋_GB2312"/>
          <w:sz w:val="32"/>
          <w:szCs w:val="32"/>
        </w:rPr>
        <w:t>、职工基本医疗保险缴费</w:t>
      </w:r>
      <w:r>
        <w:rPr>
          <w:rFonts w:hint="eastAsia" w:ascii="仿宋_GB2312" w:hAnsi="仿宋" w:eastAsia="仿宋_GB2312"/>
          <w:sz w:val="32"/>
          <w:szCs w:val="32"/>
          <w:lang w:val="en-US" w:eastAsia="zh-CN"/>
        </w:rPr>
        <w:t>4.68万元</w:t>
      </w:r>
      <w:r>
        <w:rPr>
          <w:rFonts w:hint="eastAsia" w:ascii="仿宋_GB2312" w:hAnsi="仿宋" w:eastAsia="仿宋_GB2312"/>
          <w:sz w:val="32"/>
          <w:szCs w:val="32"/>
        </w:rPr>
        <w:t>、其他社会保障缴费</w:t>
      </w:r>
      <w:r>
        <w:rPr>
          <w:rFonts w:hint="eastAsia" w:ascii="仿宋_GB2312" w:hAnsi="仿宋" w:eastAsia="仿宋_GB2312"/>
          <w:sz w:val="32"/>
          <w:szCs w:val="32"/>
          <w:lang w:val="en-US" w:eastAsia="zh-CN"/>
        </w:rPr>
        <w:t>0.63万元</w:t>
      </w:r>
      <w:r>
        <w:rPr>
          <w:rFonts w:hint="eastAsia" w:ascii="仿宋_GB2312" w:hAnsi="仿宋" w:eastAsia="仿宋_GB2312"/>
          <w:sz w:val="32"/>
          <w:szCs w:val="32"/>
        </w:rPr>
        <w:t>、住房公积金</w:t>
      </w:r>
      <w:r>
        <w:rPr>
          <w:rFonts w:hint="eastAsia" w:ascii="仿宋_GB2312" w:hAnsi="仿宋" w:eastAsia="仿宋_GB2312"/>
          <w:sz w:val="32"/>
          <w:szCs w:val="32"/>
          <w:lang w:val="en-US" w:eastAsia="zh-CN"/>
        </w:rPr>
        <w:t>6.89万元,其他商品和服务支出0.41万元</w:t>
      </w:r>
      <w:r>
        <w:rPr>
          <w:rFonts w:hint="eastAsia" w:ascii="仿宋_GB2312" w:hAnsi="仿宋" w:eastAsia="仿宋_GB2312"/>
          <w:sz w:val="32"/>
          <w:szCs w:val="32"/>
        </w:rPr>
        <w:t>。</w:t>
      </w:r>
    </w:p>
    <w:p w14:paraId="2E872863">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7.11</w:t>
      </w:r>
      <w:r>
        <w:rPr>
          <w:rFonts w:hint="eastAsia" w:ascii="仿宋_GB2312" w:hAnsi="仿宋" w:eastAsia="仿宋_GB2312"/>
          <w:sz w:val="32"/>
          <w:szCs w:val="32"/>
        </w:rPr>
        <w:t>万元，主要包括：办公费</w:t>
      </w:r>
      <w:r>
        <w:rPr>
          <w:rFonts w:hint="eastAsia" w:ascii="仿宋_GB2312" w:hAnsi="仿宋" w:eastAsia="仿宋_GB2312"/>
          <w:sz w:val="32"/>
          <w:szCs w:val="32"/>
          <w:lang w:val="en-US" w:eastAsia="zh-CN"/>
        </w:rPr>
        <w:t>2.28万元</w:t>
      </w:r>
      <w:r>
        <w:rPr>
          <w:rFonts w:hint="eastAsia" w:ascii="仿宋_GB2312" w:hAnsi="仿宋" w:eastAsia="仿宋_GB2312"/>
          <w:sz w:val="32"/>
          <w:szCs w:val="32"/>
        </w:rPr>
        <w:t>、印刷费</w:t>
      </w:r>
      <w:r>
        <w:rPr>
          <w:rFonts w:hint="eastAsia" w:ascii="仿宋_GB2312" w:hAnsi="仿宋" w:eastAsia="仿宋_GB2312"/>
          <w:sz w:val="32"/>
          <w:szCs w:val="32"/>
          <w:lang w:val="en-US" w:eastAsia="zh-CN"/>
        </w:rPr>
        <w:t>0.36万元</w:t>
      </w:r>
      <w:r>
        <w:rPr>
          <w:rFonts w:hint="eastAsia" w:ascii="仿宋_GB2312" w:hAnsi="仿宋" w:eastAsia="仿宋_GB2312"/>
          <w:sz w:val="32"/>
          <w:szCs w:val="32"/>
        </w:rPr>
        <w:t>、水费</w:t>
      </w:r>
      <w:r>
        <w:rPr>
          <w:rFonts w:hint="eastAsia" w:ascii="仿宋_GB2312" w:hAnsi="仿宋" w:eastAsia="仿宋_GB2312"/>
          <w:sz w:val="32"/>
          <w:szCs w:val="32"/>
          <w:lang w:val="en-US" w:eastAsia="zh-CN"/>
        </w:rPr>
        <w:t>0.12万元</w:t>
      </w:r>
      <w:r>
        <w:rPr>
          <w:rFonts w:hint="eastAsia" w:ascii="仿宋_GB2312" w:hAnsi="仿宋" w:eastAsia="仿宋_GB2312"/>
          <w:sz w:val="32"/>
          <w:szCs w:val="32"/>
        </w:rPr>
        <w:t>、电费</w:t>
      </w:r>
      <w:r>
        <w:rPr>
          <w:rFonts w:hint="eastAsia" w:ascii="仿宋_GB2312" w:hAnsi="仿宋" w:eastAsia="仿宋_GB2312"/>
          <w:sz w:val="32"/>
          <w:szCs w:val="32"/>
          <w:lang w:val="en-US" w:eastAsia="zh-CN"/>
        </w:rPr>
        <w:t>0.3万元</w:t>
      </w:r>
      <w:r>
        <w:rPr>
          <w:rFonts w:hint="eastAsia" w:ascii="仿宋_GB2312" w:hAnsi="仿宋" w:eastAsia="仿宋_GB2312"/>
          <w:sz w:val="32"/>
          <w:szCs w:val="32"/>
        </w:rPr>
        <w:t>、邮电费</w:t>
      </w:r>
      <w:r>
        <w:rPr>
          <w:rFonts w:hint="eastAsia" w:ascii="仿宋_GB2312" w:hAnsi="仿宋" w:eastAsia="仿宋_GB2312"/>
          <w:sz w:val="32"/>
          <w:szCs w:val="32"/>
          <w:lang w:val="en-US" w:eastAsia="zh-CN"/>
        </w:rPr>
        <w:t>0.24万元</w:t>
      </w:r>
      <w:r>
        <w:rPr>
          <w:rFonts w:hint="eastAsia" w:ascii="仿宋_GB2312" w:hAnsi="仿宋" w:eastAsia="仿宋_GB2312"/>
          <w:sz w:val="32"/>
          <w:szCs w:val="32"/>
        </w:rPr>
        <w:t>、取暖费</w:t>
      </w:r>
      <w:r>
        <w:rPr>
          <w:rFonts w:hint="eastAsia" w:ascii="仿宋_GB2312" w:hAnsi="仿宋" w:eastAsia="仿宋_GB2312"/>
          <w:sz w:val="32"/>
          <w:szCs w:val="32"/>
          <w:lang w:val="en-US" w:eastAsia="zh-CN"/>
        </w:rPr>
        <w:t>1.43万元</w:t>
      </w:r>
      <w:r>
        <w:rPr>
          <w:rFonts w:hint="eastAsia" w:ascii="仿宋_GB2312" w:hAnsi="仿宋" w:eastAsia="仿宋_GB2312"/>
          <w:sz w:val="32"/>
          <w:szCs w:val="32"/>
        </w:rPr>
        <w:t>、差旅费</w:t>
      </w:r>
      <w:r>
        <w:rPr>
          <w:rFonts w:hint="eastAsia" w:ascii="仿宋_GB2312" w:hAnsi="仿宋" w:eastAsia="仿宋_GB2312"/>
          <w:sz w:val="32"/>
          <w:szCs w:val="32"/>
          <w:lang w:val="en-US" w:eastAsia="zh-CN"/>
        </w:rPr>
        <w:t>0.3万元</w:t>
      </w:r>
      <w:r>
        <w:rPr>
          <w:rFonts w:hint="eastAsia" w:ascii="仿宋_GB2312" w:hAnsi="仿宋" w:eastAsia="仿宋_GB2312"/>
          <w:sz w:val="32"/>
          <w:szCs w:val="32"/>
        </w:rPr>
        <w:t>、工会经费</w:t>
      </w:r>
      <w:r>
        <w:rPr>
          <w:rFonts w:hint="eastAsia" w:ascii="仿宋_GB2312" w:hAnsi="仿宋" w:eastAsia="仿宋_GB2312"/>
          <w:sz w:val="32"/>
          <w:szCs w:val="32"/>
          <w:lang w:val="en-US" w:eastAsia="zh-CN"/>
        </w:rPr>
        <w:t>0.66万元</w:t>
      </w:r>
      <w:r>
        <w:rPr>
          <w:rFonts w:hint="eastAsia" w:ascii="仿宋_GB2312" w:hAnsi="仿宋" w:eastAsia="仿宋_GB2312"/>
          <w:sz w:val="32"/>
          <w:szCs w:val="32"/>
        </w:rPr>
        <w:t>、福利费</w:t>
      </w:r>
      <w:r>
        <w:rPr>
          <w:rFonts w:hint="eastAsia" w:ascii="仿宋_GB2312" w:hAnsi="仿宋" w:eastAsia="仿宋_GB2312"/>
          <w:sz w:val="32"/>
          <w:szCs w:val="32"/>
          <w:lang w:val="en-US" w:eastAsia="zh-CN"/>
        </w:rPr>
        <w:t>0.41万元、其他商品和服务支出1万元。</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4083CA42">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2</w:t>
      </w:r>
      <w:r>
        <w:rPr>
          <w:rFonts w:hint="eastAsia" w:ascii="仿宋_GB2312" w:hAnsi="仿宋" w:eastAsia="仿宋_GB2312"/>
          <w:sz w:val="32"/>
          <w:szCs w:val="32"/>
        </w:rPr>
        <w:t>万元，</w:t>
      </w:r>
      <w:r>
        <w:rPr>
          <w:rFonts w:hint="eastAsia" w:ascii="仿宋_GB2312" w:hAnsi="仿宋" w:eastAsia="仿宋_GB2312"/>
          <w:sz w:val="32"/>
          <w:szCs w:val="32"/>
          <w:lang w:eastAsia="zh-CN"/>
        </w:rPr>
        <w:t>比</w:t>
      </w:r>
      <w:r>
        <w:rPr>
          <w:rFonts w:hint="eastAsia" w:ascii="仿宋_GB2312" w:hAnsi="仿宋" w:eastAsia="仿宋_GB2312"/>
          <w:sz w:val="32"/>
          <w:szCs w:val="32"/>
          <w:lang w:val="en-US" w:eastAsia="zh-CN"/>
        </w:rPr>
        <w:t>2025年持平</w:t>
      </w:r>
    </w:p>
    <w:p w14:paraId="3629A69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基本民生</w:t>
      </w:r>
      <w:r>
        <w:rPr>
          <w:rFonts w:hint="eastAsia" w:ascii="仿宋_GB2312" w:hAnsi="仿宋" w:eastAsia="仿宋_GB2312"/>
          <w:sz w:val="32"/>
          <w:szCs w:val="32"/>
        </w:rPr>
        <w:t>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50CA5CE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1</w:t>
      </w:r>
      <w:r>
        <w:rPr>
          <w:rFonts w:hint="eastAsia" w:ascii="仿宋_GB2312" w:hAnsi="仿宋" w:eastAsia="仿宋_GB2312"/>
          <w:sz w:val="32"/>
          <w:szCs w:val="32"/>
        </w:rPr>
        <w:t>个，主要是项目流动人员人事档案基本公共服务经费。</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36ECDBBA">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rPr>
        <w:t>一般公共服务（ 类） 纪检监察事务（ 款） 派驻派出机构（ 项）</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1F0F6D5C">
      <w:pPr>
        <w:widowControl/>
        <w:adjustRightInd w:val="0"/>
        <w:snapToGrid w:val="0"/>
        <w:spacing w:line="640" w:lineRule="exact"/>
        <w:ind w:firstLine="960" w:firstLineChars="3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2026年无三公经费</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1D9FA7B0">
      <w:pPr>
        <w:adjustRightInd w:val="0"/>
        <w:snapToGrid w:val="0"/>
        <w:spacing w:line="640" w:lineRule="exact"/>
        <w:ind w:firstLine="960" w:firstLineChars="300"/>
        <w:contextualSpacing/>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2026年无培训费</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6C9C7863">
      <w:pPr>
        <w:adjustRightInd w:val="0"/>
        <w:snapToGrid w:val="0"/>
        <w:spacing w:line="640" w:lineRule="exact"/>
        <w:ind w:firstLine="960" w:firstLineChars="300"/>
        <w:contextualSpacing/>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2026年无会议费</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3.6</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持平。</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年，部门政府采购预算总额</w:t>
      </w:r>
      <w:r>
        <w:rPr>
          <w:rFonts w:hint="eastAsia" w:ascii="仿宋_GB2312" w:hAnsi="仿宋" w:eastAsia="仿宋_GB2312"/>
          <w:sz w:val="32"/>
          <w:szCs w:val="32"/>
          <w:lang w:val="en-US" w:eastAsia="zh-CN"/>
        </w:rPr>
        <w:t>1.7</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1.7</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年，部门面向中小企业预留政府采购项目预算金额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8.37</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平方米，价值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万元。预算部门共有公务用车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1.2</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747E053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本部门</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1CFB37A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选取1个</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部门预算安排的经济社会发展类项目公开项目文本信息，包括项目名称、项目概况、立项依据、实施主体、实施周期、实施计划、年度预算安排、预期总体目标等内容。没有经济社会发展类项目支出的部门可公开其他类项目。</w:t>
      </w:r>
    </w:p>
    <w:p w14:paraId="6B23741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项目名称：</w:t>
      </w:r>
    </w:p>
    <w:p w14:paraId="41F7DDD8">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1、项目概况</w:t>
      </w:r>
    </w:p>
    <w:p w14:paraId="7C54DC3C">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根据《中共中央组织部 、人力资源社会保障部等五部门关于进一步加强流动人员人事档案管理服务工作的通知》人社部发[2014]90号文件第七条完善流动人员人事档案基本公共服务经费保障制度，自2015年1月1日起，取消收取人事档案关系及档案保管费、查阅费、证明费、档案转递费等名目的费用。各级公共就业和人才服务机构应提供免费的流动人员人事档案基本公共服务。相关经费纳入同级财政预算，要加大对流动人员人事档案库房、服务场所和信息系统等基础设施的投入，保障相关工作正常开展。流动人员人事档案存储量大，每日转递份数较多，转递费用偏高；定时需更换档案库房安全设备，防火、防潮、防虫，现申请流动人员人事档案基本公共服务经费。</w:t>
      </w:r>
    </w:p>
    <w:p w14:paraId="372EC121">
      <w:pPr>
        <w:widowControl/>
        <w:numPr>
          <w:ilvl w:val="0"/>
          <w:numId w:val="1"/>
        </w:numPr>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立项依据</w:t>
      </w:r>
    </w:p>
    <w:p w14:paraId="238A2BB7">
      <w:pPr>
        <w:widowControl/>
        <w:numPr>
          <w:ilvl w:val="0"/>
          <w:numId w:val="0"/>
        </w:numPr>
        <w:adjustRightInd w:val="0"/>
        <w:snapToGrid w:val="0"/>
        <w:spacing w:line="640" w:lineRule="exact"/>
        <w:ind w:firstLine="960" w:firstLineChars="300"/>
        <w:contextualSpacing/>
        <w:jc w:val="left"/>
        <w:rPr>
          <w:rFonts w:hint="eastAsia" w:ascii="仿宋_GB2312" w:hAnsi="仿宋" w:eastAsia="仿宋_GB2312"/>
          <w:sz w:val="32"/>
          <w:szCs w:val="32"/>
        </w:rPr>
      </w:pPr>
      <w:r>
        <w:rPr>
          <w:rFonts w:hint="eastAsia" w:ascii="仿宋_GB2312" w:hAnsi="仿宋" w:eastAsia="仿宋_GB2312"/>
          <w:sz w:val="32"/>
          <w:szCs w:val="32"/>
        </w:rPr>
        <w:t>人社部发[2014]90号文件</w:t>
      </w:r>
    </w:p>
    <w:p w14:paraId="797AD7DA">
      <w:pPr>
        <w:widowControl/>
        <w:numPr>
          <w:ilvl w:val="0"/>
          <w:numId w:val="1"/>
        </w:numPr>
        <w:adjustRightInd w:val="0"/>
        <w:snapToGrid w:val="0"/>
        <w:spacing w:line="640" w:lineRule="exact"/>
        <w:ind w:left="0" w:leftChars="0"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实施主体</w:t>
      </w:r>
    </w:p>
    <w:p w14:paraId="66DC4776">
      <w:pPr>
        <w:widowControl/>
        <w:numPr>
          <w:ilvl w:val="0"/>
          <w:numId w:val="0"/>
        </w:numPr>
        <w:adjustRightInd w:val="0"/>
        <w:snapToGrid w:val="0"/>
        <w:spacing w:line="640" w:lineRule="exact"/>
        <w:ind w:left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    华池县人力资源市场管理中心</w:t>
      </w:r>
    </w:p>
    <w:p w14:paraId="31C74AFE">
      <w:pPr>
        <w:widowControl/>
        <w:numPr>
          <w:ilvl w:val="0"/>
          <w:numId w:val="1"/>
        </w:numPr>
        <w:adjustRightInd w:val="0"/>
        <w:snapToGrid w:val="0"/>
        <w:spacing w:line="640" w:lineRule="exact"/>
        <w:ind w:left="0" w:leftChars="0"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实施周期</w:t>
      </w:r>
    </w:p>
    <w:p w14:paraId="2FA1ECE2">
      <w:pPr>
        <w:widowControl/>
        <w:numPr>
          <w:ilvl w:val="0"/>
          <w:numId w:val="0"/>
        </w:numPr>
        <w:adjustRightInd w:val="0"/>
        <w:snapToGrid w:val="0"/>
        <w:spacing w:line="640" w:lineRule="exact"/>
        <w:ind w:leftChars="200" w:firstLine="64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2026年1月1日-2026年12月31日</w:t>
      </w:r>
    </w:p>
    <w:p w14:paraId="759079D4">
      <w:pPr>
        <w:widowControl/>
        <w:numPr>
          <w:ilvl w:val="0"/>
          <w:numId w:val="1"/>
        </w:numPr>
        <w:adjustRightInd w:val="0"/>
        <w:snapToGrid w:val="0"/>
        <w:spacing w:line="640" w:lineRule="exact"/>
        <w:ind w:left="0" w:leftChars="0"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实施计划</w:t>
      </w:r>
    </w:p>
    <w:p w14:paraId="0C04CEA0">
      <w:pPr>
        <w:widowControl/>
        <w:numPr>
          <w:ilvl w:val="0"/>
          <w:numId w:val="0"/>
        </w:numPr>
        <w:adjustRightInd w:val="0"/>
        <w:snapToGrid w:val="0"/>
        <w:spacing w:line="640" w:lineRule="exact"/>
        <w:ind w:leftChars="200"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第一阶段</w:t>
      </w:r>
      <w:r>
        <w:rPr>
          <w:rFonts w:hint="eastAsia" w:ascii="仿宋_GB2312" w:hAnsi="仿宋" w:eastAsia="仿宋_GB2312"/>
          <w:sz w:val="32"/>
          <w:szCs w:val="32"/>
          <w:lang w:eastAsia="zh-CN"/>
        </w:rPr>
        <w:t>：流动人员人事档案转递工作正常开展</w:t>
      </w:r>
    </w:p>
    <w:p w14:paraId="4270D502">
      <w:pPr>
        <w:widowControl/>
        <w:numPr>
          <w:ilvl w:val="0"/>
          <w:numId w:val="0"/>
        </w:numPr>
        <w:adjustRightInd w:val="0"/>
        <w:snapToGrid w:val="0"/>
        <w:spacing w:line="640" w:lineRule="exact"/>
        <w:ind w:leftChars="200"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第二阶段：加大档案库房安全设备的投入</w:t>
      </w:r>
    </w:p>
    <w:p w14:paraId="7CA89A8B">
      <w:pPr>
        <w:widowControl/>
        <w:numPr>
          <w:ilvl w:val="0"/>
          <w:numId w:val="1"/>
        </w:numPr>
        <w:adjustRightInd w:val="0"/>
        <w:snapToGrid w:val="0"/>
        <w:spacing w:line="640" w:lineRule="exact"/>
        <w:ind w:left="0" w:leftChars="0"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年度预算安排：</w:t>
      </w:r>
    </w:p>
    <w:p w14:paraId="1516836C">
      <w:pPr>
        <w:widowControl/>
        <w:numPr>
          <w:ilvl w:val="0"/>
          <w:numId w:val="0"/>
        </w:numPr>
        <w:adjustRightInd w:val="0"/>
        <w:snapToGrid w:val="0"/>
        <w:spacing w:line="640" w:lineRule="exact"/>
        <w:ind w:left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    2025年预算2万元流动人员档案管理服务经费用于</w:t>
      </w:r>
      <w:r>
        <w:rPr>
          <w:rFonts w:hint="eastAsia" w:ascii="仿宋_GB2312" w:hAnsi="仿宋" w:eastAsia="仿宋_GB2312"/>
          <w:sz w:val="32"/>
          <w:szCs w:val="32"/>
        </w:rPr>
        <w:t>加大对流动人员人事档案库房、服务场所和信息系统等基础设施的投入，保障相关工作正常开展。</w:t>
      </w:r>
    </w:p>
    <w:p w14:paraId="3059C33D">
      <w:pPr>
        <w:widowControl/>
        <w:numPr>
          <w:ilvl w:val="0"/>
          <w:numId w:val="1"/>
        </w:numPr>
        <w:adjustRightInd w:val="0"/>
        <w:snapToGrid w:val="0"/>
        <w:spacing w:line="640" w:lineRule="exact"/>
        <w:ind w:left="0" w:leftChars="0"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预期总体目标：</w:t>
      </w:r>
    </w:p>
    <w:p w14:paraId="5BBECA28">
      <w:pPr>
        <w:widowControl/>
        <w:numPr>
          <w:ilvl w:val="0"/>
          <w:numId w:val="0"/>
        </w:numPr>
        <w:adjustRightInd w:val="0"/>
        <w:snapToGrid w:val="0"/>
        <w:spacing w:line="640" w:lineRule="exact"/>
        <w:ind w:leftChars="200"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保障流动人员人事档案转递工作正常开展，</w:t>
      </w:r>
      <w:r>
        <w:rPr>
          <w:rFonts w:hint="eastAsia" w:ascii="仿宋_GB2312" w:hAnsi="仿宋" w:eastAsia="仿宋_GB2312"/>
          <w:sz w:val="32"/>
          <w:szCs w:val="32"/>
        </w:rPr>
        <w:t>定时需更换档案库房安全设备，防火、防潮、防虫，现申请流动人员人事档案基本公共服务经费</w:t>
      </w:r>
      <w:r>
        <w:rPr>
          <w:rFonts w:hint="eastAsia" w:ascii="仿宋_GB2312" w:hAnsi="仿宋" w:eastAsia="仿宋_GB2312"/>
          <w:sz w:val="32"/>
          <w:szCs w:val="32"/>
          <w:lang w:eastAsia="zh-CN"/>
        </w:rPr>
        <w:t>档案库房的信息安全。</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7F56C8E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未安排预算，部门管理转移支付表为空表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6F8D9DB1">
      <w:pPr>
        <w:adjustRightInd w:val="0"/>
        <w:snapToGrid w:val="0"/>
        <w:spacing w:line="640" w:lineRule="exact"/>
        <w:ind w:firstLine="640" w:firstLineChars="200"/>
        <w:contextualSpacing/>
        <w:rPr>
          <w:rFonts w:hint="eastAsia"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1</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eastAsia="zh-CN"/>
        </w:rPr>
        <w:t>资金执行率低，为形成支付条件</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个，占本部门项目的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eastAsia="zh-CN"/>
        </w:rPr>
        <w:t>资金执行率低，为形成支付条件</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eastAsia="zh-CN"/>
        </w:rPr>
        <w:t>待形成支付条件，及时支付</w:t>
      </w:r>
      <w:r>
        <w:rPr>
          <w:rFonts w:hint="eastAsia" w:ascii="仿宋_GB2312" w:hAnsi="仿宋" w:eastAsia="仿宋_GB2312"/>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个，其中，部门整体支出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及时公开</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年度增加（减少）部门预算项目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%。同时对政策和项目资金管理作出调整的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32</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9B31ED0">
      <w:pPr>
        <w:adjustRightInd w:val="0"/>
        <w:snapToGrid w:val="0"/>
        <w:spacing w:line="640" w:lineRule="exact"/>
        <w:ind w:firstLine="640" w:firstLineChars="200"/>
        <w:contextualSpacing/>
        <w:rPr>
          <w:rFonts w:hint="eastAsia" w:ascii="仿宋_GB2312" w:hAnsi="CIDFont+F6" w:eastAsia="仿宋_GB2312"/>
          <w:color w:val="000000"/>
          <w:sz w:val="32"/>
          <w:szCs w:val="32"/>
        </w:rPr>
      </w:pPr>
    </w:p>
    <w:p w14:paraId="460CD359">
      <w:pPr>
        <w:adjustRightInd w:val="0"/>
        <w:snapToGrid w:val="0"/>
        <w:spacing w:line="640" w:lineRule="exact"/>
        <w:ind w:firstLine="640" w:firstLineChars="200"/>
        <w:contextualSpacing/>
        <w:rPr>
          <w:rFonts w:hint="eastAsia" w:ascii="仿宋_GB2312" w:hAnsi="CIDFont+F6" w:eastAsia="仿宋_GB2312"/>
          <w:color w:val="000000"/>
          <w:sz w:val="32"/>
          <w:szCs w:val="32"/>
        </w:rPr>
      </w:pPr>
    </w:p>
    <w:p w14:paraId="742CBCCA">
      <w:pPr>
        <w:adjustRightInd w:val="0"/>
        <w:snapToGrid w:val="0"/>
        <w:spacing w:line="640" w:lineRule="exact"/>
        <w:ind w:right="112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华池县人力资源市场管理中心</w:t>
      </w:r>
    </w:p>
    <w:p w14:paraId="77E85168">
      <w:pPr>
        <w:adjustRightInd w:val="0"/>
        <w:snapToGrid w:val="0"/>
        <w:spacing w:line="640" w:lineRule="exact"/>
        <w:ind w:right="1120"/>
        <w:contextualSpacing/>
        <w:jc w:val="center"/>
        <w:rPr>
          <w:rFonts w:ascii="仿宋_GB2312" w:eastAsia="仿宋_GB2312"/>
          <w:sz w:val="32"/>
          <w:szCs w:val="32"/>
        </w:rPr>
      </w:pPr>
      <w:r>
        <w:rPr>
          <w:rFonts w:hint="eastAsia" w:ascii="仿宋_GB2312" w:hAnsi="CIDFont+F6" w:eastAsia="仿宋_GB2312"/>
          <w:color w:val="000000"/>
          <w:sz w:val="32"/>
          <w:szCs w:val="32"/>
          <w:lang w:val="en-US" w:eastAsia="zh-CN"/>
        </w:rPr>
        <w:t xml:space="preserve">                           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9</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eastAsia="zh-CN"/>
        </w:rPr>
        <w:t>华池县人力资源市场管理中心202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部门</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eastAsia="zh-CN"/>
        </w:rPr>
        <w:t>华池县人力资源市场管理中心</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6B1F0"/>
    <w:multiLevelType w:val="singleLevel"/>
    <w:tmpl w:val="4206B1F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378873BE"/>
    <w:rsid w:val="42A05423"/>
    <w:rsid w:val="433C211A"/>
    <w:rsid w:val="4C433C79"/>
    <w:rsid w:val="527E074E"/>
    <w:rsid w:val="56393C72"/>
    <w:rsid w:val="579503FF"/>
    <w:rsid w:val="60535296"/>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12</Pages>
  <Words>4142</Words>
  <Characters>4457</Characters>
  <Lines>68</Lines>
  <Paragraphs>19</Paragraphs>
  <TotalTime>5</TotalTime>
  <ScaleCrop>false</ScaleCrop>
  <LinksUpToDate>false</LinksUpToDate>
  <CharactersWithSpaces>4503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love迷儿</cp:lastModifiedBy>
  <cp:lastPrinted>2022-02-15T15:45:00Z</cp:lastPrinted>
  <dcterms:modified xsi:type="dcterms:W3CDTF">2026-03-09T02:57:56Z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D8546F81EFC745F5845694710463E17E_13</vt:lpwstr>
  </property>
  <property fmtid="{D5CDD505-2E9C-101B-9397-08002B2CF9AE}" pid="4" name="KSOTemplateDocerSaveRecord">
    <vt:lpwstr>eyJoZGlkIjoiZGNiMDAwZGYzMzRiOWM3ZTJiZTI3MWJjY2Y4MTQ3NTAiLCJ1c2VySWQiOiIyMDk4NDI2OSJ9</vt:lpwstr>
  </property>
</Properties>
</file>