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8B6B5">
      <w:pPr>
        <w:spacing w:line="660" w:lineRule="exact"/>
        <w:jc w:val="center"/>
        <w:rPr>
          <w:rFonts w:ascii="宋体" w:hAnsi="宋体" w:cs="宋体"/>
          <w:b/>
          <w:bCs/>
          <w:kern w:val="0"/>
          <w:sz w:val="44"/>
          <w:szCs w:val="44"/>
        </w:rPr>
      </w:pPr>
    </w:p>
    <w:p w14:paraId="0065D364">
      <w:pPr>
        <w:spacing w:line="660" w:lineRule="exact"/>
        <w:jc w:val="center"/>
        <w:rPr>
          <w:rFonts w:ascii="宋体" w:hAnsi="宋体" w:cs="宋体"/>
          <w:b/>
          <w:bCs/>
          <w:kern w:val="0"/>
          <w:sz w:val="44"/>
          <w:szCs w:val="44"/>
        </w:rPr>
      </w:pPr>
    </w:p>
    <w:p w14:paraId="5AF7918B">
      <w:pPr>
        <w:spacing w:line="660" w:lineRule="exact"/>
        <w:jc w:val="center"/>
        <w:rPr>
          <w:rFonts w:ascii="宋体" w:hAnsi="宋体" w:cs="宋体"/>
          <w:b/>
          <w:bCs/>
          <w:kern w:val="0"/>
          <w:sz w:val="44"/>
          <w:szCs w:val="44"/>
        </w:rPr>
      </w:pPr>
    </w:p>
    <w:p w14:paraId="28FCBA9A">
      <w:pPr>
        <w:spacing w:line="660" w:lineRule="exact"/>
        <w:jc w:val="center"/>
        <w:rPr>
          <w:rFonts w:hint="eastAsia" w:ascii="宋体" w:hAnsi="宋体" w:cs="宋体"/>
          <w:b/>
          <w:bCs/>
          <w:kern w:val="0"/>
          <w:sz w:val="44"/>
          <w:szCs w:val="44"/>
          <w:lang w:eastAsia="zh-CN"/>
        </w:rPr>
      </w:pPr>
    </w:p>
    <w:p w14:paraId="40396136">
      <w:pPr>
        <w:spacing w:line="660" w:lineRule="exact"/>
        <w:jc w:val="center"/>
        <w:rPr>
          <w:rFonts w:hint="eastAsia" w:ascii="宋体" w:hAnsi="宋体" w:cs="宋体"/>
          <w:b/>
          <w:bCs/>
          <w:kern w:val="0"/>
          <w:sz w:val="44"/>
          <w:szCs w:val="44"/>
          <w:lang w:eastAsia="zh-CN"/>
        </w:rPr>
      </w:pPr>
    </w:p>
    <w:p w14:paraId="170BE9BE">
      <w:pPr>
        <w:spacing w:line="660" w:lineRule="exact"/>
        <w:jc w:val="center"/>
        <w:rPr>
          <w:rFonts w:ascii="宋体" w:hAnsi="宋体" w:cs="宋体"/>
          <w:b/>
          <w:bCs/>
          <w:kern w:val="0"/>
          <w:sz w:val="44"/>
          <w:szCs w:val="44"/>
        </w:rPr>
      </w:pPr>
      <w:r>
        <w:rPr>
          <w:rFonts w:hint="eastAsia" w:ascii="宋体" w:hAnsi="宋体" w:cs="宋体"/>
          <w:b/>
          <w:bCs/>
          <w:kern w:val="0"/>
          <w:sz w:val="44"/>
          <w:szCs w:val="44"/>
          <w:lang w:eastAsia="zh-CN"/>
        </w:rPr>
        <w:t>华池县财政局</w:t>
      </w:r>
    </w:p>
    <w:p w14:paraId="30E0CC37">
      <w:pPr>
        <w:spacing w:line="660" w:lineRule="exact"/>
        <w:jc w:val="center"/>
        <w:rPr>
          <w:rFonts w:hint="eastAsia" w:ascii="宋体" w:hAnsi="宋体" w:cs="宋体"/>
          <w:b/>
          <w:bCs/>
          <w:kern w:val="0"/>
          <w:sz w:val="44"/>
          <w:szCs w:val="44"/>
          <w:lang w:eastAsia="zh-CN"/>
        </w:rPr>
      </w:pPr>
    </w:p>
    <w:p w14:paraId="17126450">
      <w:pPr>
        <w:spacing w:line="660" w:lineRule="exact"/>
        <w:jc w:val="center"/>
        <w:rPr>
          <w:rFonts w:hint="eastAsia" w:ascii="宋体" w:hAnsi="宋体" w:cs="宋体"/>
          <w:b/>
          <w:bCs/>
          <w:kern w:val="0"/>
          <w:sz w:val="44"/>
          <w:szCs w:val="44"/>
          <w:lang w:eastAsia="zh-CN"/>
        </w:rPr>
      </w:pPr>
    </w:p>
    <w:p w14:paraId="67ACC143">
      <w:pPr>
        <w:spacing w:line="660" w:lineRule="exact"/>
        <w:jc w:val="center"/>
        <w:rPr>
          <w:rFonts w:ascii="宋体" w:hAnsi="宋体" w:cs="宋体"/>
          <w:b/>
          <w:bCs/>
          <w:kern w:val="0"/>
          <w:sz w:val="44"/>
          <w:szCs w:val="44"/>
        </w:rPr>
        <w:sectPr>
          <w:footerReference r:id="rId3" w:type="default"/>
          <w:pgSz w:w="11906" w:h="16838"/>
          <w:pgMar w:top="1134" w:right="1134" w:bottom="1440" w:left="1276" w:header="851" w:footer="992" w:gutter="0"/>
          <w:cols w:space="720" w:num="1"/>
          <w:docGrid w:type="lines" w:linePitch="312" w:charSpace="0"/>
        </w:sectPr>
      </w:pPr>
      <w:r>
        <w:rPr>
          <w:rFonts w:hint="eastAsia" w:ascii="宋体" w:hAnsi="宋体" w:cs="宋体"/>
          <w:b/>
          <w:bCs/>
          <w:kern w:val="0"/>
          <w:sz w:val="44"/>
          <w:szCs w:val="44"/>
          <w:lang w:eastAsia="zh-CN"/>
        </w:rPr>
        <w:t>202</w:t>
      </w:r>
      <w:r>
        <w:rPr>
          <w:rFonts w:hint="default" w:ascii="宋体" w:hAnsi="宋体" w:cs="宋体"/>
          <w:b/>
          <w:bCs/>
          <w:kern w:val="0"/>
          <w:sz w:val="44"/>
          <w:szCs w:val="44"/>
          <w:lang w:val="en-US" w:eastAsia="zh-CN"/>
        </w:rPr>
        <w:t>6</w:t>
      </w:r>
      <w:r>
        <w:rPr>
          <w:rFonts w:hint="eastAsia" w:ascii="宋体" w:hAnsi="宋体" w:cs="宋体"/>
          <w:b/>
          <w:bCs/>
          <w:kern w:val="0"/>
          <w:sz w:val="44"/>
          <w:szCs w:val="44"/>
        </w:rPr>
        <w:t xml:space="preserve">年部门/单位预算公开情况说明 </w:t>
      </w:r>
    </w:p>
    <w:p w14:paraId="23298934">
      <w:pPr>
        <w:spacing w:line="660" w:lineRule="exact"/>
        <w:jc w:val="center"/>
        <w:rPr>
          <w:rFonts w:ascii="宋体" w:hAnsi="宋体" w:cs="宋体"/>
          <w:b/>
          <w:bCs/>
          <w:kern w:val="0"/>
          <w:sz w:val="44"/>
          <w:szCs w:val="44"/>
        </w:rPr>
      </w:pPr>
      <w:r>
        <w:rPr>
          <w:rFonts w:hint="eastAsia" w:ascii="宋体" w:hAnsi="宋体" w:cs="宋体"/>
          <w:b/>
          <w:bCs/>
          <w:kern w:val="0"/>
          <w:sz w:val="44"/>
          <w:szCs w:val="44"/>
        </w:rPr>
        <w:t>目  录</w:t>
      </w:r>
    </w:p>
    <w:p w14:paraId="404A4908">
      <w:pPr>
        <w:spacing w:line="660" w:lineRule="exact"/>
        <w:jc w:val="center"/>
        <w:rPr>
          <w:rFonts w:ascii="宋体" w:hAnsi="宋体" w:cs="宋体"/>
          <w:b/>
          <w:bCs/>
          <w:kern w:val="0"/>
          <w:sz w:val="44"/>
          <w:szCs w:val="44"/>
        </w:rPr>
      </w:pPr>
    </w:p>
    <w:p w14:paraId="581C7286">
      <w:pPr>
        <w:spacing w:line="30" w:lineRule="exact"/>
        <w:jc w:val="center"/>
        <w:rPr>
          <w:rFonts w:ascii="黑体" w:eastAsia="黑体"/>
          <w:color w:val="000000"/>
          <w:sz w:val="18"/>
          <w:szCs w:val="18"/>
        </w:rPr>
      </w:pPr>
    </w:p>
    <w:p w14:paraId="53002029">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第一部分 部门/单位基本概况</w:t>
      </w:r>
    </w:p>
    <w:p w14:paraId="70C024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一、部门/单位职责</w:t>
      </w:r>
    </w:p>
    <w:p w14:paraId="4D83AF2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14:paraId="433351F8">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第二部分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年部门/单位预算情况说明</w:t>
      </w:r>
    </w:p>
    <w:p w14:paraId="44EBD67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14:paraId="0BB73FF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14:paraId="4A12B8C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14:paraId="435BC81C">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14:paraId="2F88CE3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14:paraId="5046C44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14:paraId="6D55E2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14:paraId="171C4917">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14:paraId="7042C3D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14:paraId="734FD345">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第三部分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年部门（单位）预算公开表</w:t>
      </w:r>
    </w:p>
    <w:p w14:paraId="3FD2078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一、部门/单位收支总体情况表</w:t>
      </w:r>
    </w:p>
    <w:p w14:paraId="72142C8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二、部门/单位收入总体情况表</w:t>
      </w:r>
    </w:p>
    <w:p w14:paraId="45966E8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三、部门/单位支出总体情况表</w:t>
      </w:r>
    </w:p>
    <w:p w14:paraId="675B820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7622165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6361183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600E529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5189B486">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4B121EF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031FDB5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5FFFCFA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505BB7C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4129F3F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十三、部门/单位整体支出绩效目标表和项目支出绩效目标表</w:t>
      </w:r>
    </w:p>
    <w:p w14:paraId="7F85859C">
      <w:pPr>
        <w:spacing w:line="660" w:lineRule="exact"/>
        <w:jc w:val="center"/>
        <w:rPr>
          <w:rFonts w:ascii="仿宋_GB2312" w:hAnsi="宋体" w:eastAsia="仿宋_GB2312" w:cs="宋体"/>
          <w:b/>
          <w:bCs/>
          <w:kern w:val="0"/>
          <w:sz w:val="44"/>
          <w:szCs w:val="44"/>
        </w:rPr>
      </w:pPr>
    </w:p>
    <w:p w14:paraId="6DBFCF8A">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14:paraId="42E458F6">
      <w:pPr>
        <w:spacing w:line="600" w:lineRule="exact"/>
        <w:ind w:firstLine="643" w:firstLineChars="200"/>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14:paraId="0AD557B8">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年部门预算公开如下：</w:t>
      </w:r>
    </w:p>
    <w:p w14:paraId="1BFDDEEA">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一、部门/单位职责</w:t>
      </w:r>
    </w:p>
    <w:p w14:paraId="514E22EF">
      <w:pPr>
        <w:keepNext w:val="0"/>
        <w:keepLines w:val="0"/>
        <w:pageBreakBefore w:val="0"/>
        <w:kinsoku/>
        <w:wordWrap/>
        <w:overflowPunct/>
        <w:topLinePunct w:val="0"/>
        <w:autoSpaceDE/>
        <w:autoSpaceDN/>
        <w:bidi w:val="0"/>
        <w:spacing w:before="100" w:beforeLines="0" w:after="100" w:afterLines="0" w:line="600" w:lineRule="exact"/>
        <w:ind w:firstLine="640" w:firstLineChars="200"/>
        <w:jc w:val="left"/>
        <w:textAlignment w:val="auto"/>
        <w:rPr>
          <w:rFonts w:hint="eastAsia" w:ascii="仿宋_GB2312" w:hAnsi="仿宋" w:eastAsia="仿宋_GB2312" w:cs="宋体"/>
          <w:kern w:val="0"/>
          <w:sz w:val="32"/>
          <w:szCs w:val="32"/>
          <w:lang w:val="zh-CN"/>
        </w:rPr>
      </w:pPr>
      <w:r>
        <w:rPr>
          <w:rFonts w:hint="eastAsia" w:ascii="仿宋_GB2312" w:hAnsi="仿宋" w:eastAsia="仿宋_GB2312" w:cs="宋体"/>
          <w:kern w:val="0"/>
          <w:sz w:val="32"/>
          <w:szCs w:val="32"/>
          <w:lang w:val="zh-CN"/>
        </w:rPr>
        <w:t>一是贯彻执行国家财政、税收、国家资产管理、政府采购的法规、制度和方针政策。</w:t>
      </w:r>
    </w:p>
    <w:p w14:paraId="4782A35D">
      <w:pPr>
        <w:keepNext w:val="0"/>
        <w:keepLines w:val="0"/>
        <w:pageBreakBefore w:val="0"/>
        <w:kinsoku/>
        <w:wordWrap/>
        <w:overflowPunct/>
        <w:topLinePunct w:val="0"/>
        <w:autoSpaceDE/>
        <w:autoSpaceDN/>
        <w:bidi w:val="0"/>
        <w:spacing w:before="100" w:beforeLines="0" w:after="100" w:afterLines="0" w:line="600" w:lineRule="exact"/>
        <w:ind w:firstLine="640" w:firstLineChars="200"/>
        <w:jc w:val="left"/>
        <w:textAlignment w:val="auto"/>
        <w:rPr>
          <w:rFonts w:hint="eastAsia" w:ascii="仿宋_GB2312" w:hAnsi="仿宋" w:eastAsia="仿宋_GB2312" w:cs="宋体"/>
          <w:kern w:val="0"/>
          <w:sz w:val="32"/>
          <w:szCs w:val="32"/>
          <w:lang w:val="zh-CN"/>
        </w:rPr>
      </w:pPr>
      <w:r>
        <w:rPr>
          <w:rFonts w:hint="eastAsia" w:ascii="仿宋_GB2312" w:hAnsi="仿宋" w:eastAsia="仿宋_GB2312" w:cs="宋体"/>
          <w:kern w:val="0"/>
          <w:sz w:val="32"/>
          <w:szCs w:val="32"/>
          <w:lang w:val="zh-CN"/>
        </w:rPr>
        <w:t xml:space="preserve">二是编制全县预决算草案并组织执行；受县政府委托，向县人民代表大会报告全县和县级预算及执行情况，向县人大常委会报告决算。                                                                              </w:t>
      </w:r>
    </w:p>
    <w:p w14:paraId="0D1C3538">
      <w:pPr>
        <w:keepNext w:val="0"/>
        <w:keepLines w:val="0"/>
        <w:pageBreakBefore w:val="0"/>
        <w:kinsoku/>
        <w:wordWrap/>
        <w:overflowPunct/>
        <w:topLinePunct w:val="0"/>
        <w:autoSpaceDE/>
        <w:autoSpaceDN/>
        <w:bidi w:val="0"/>
        <w:spacing w:before="100" w:beforeLines="0" w:after="100" w:afterLines="0" w:line="600" w:lineRule="exact"/>
        <w:ind w:firstLine="640" w:firstLineChars="200"/>
        <w:jc w:val="left"/>
        <w:textAlignment w:val="auto"/>
        <w:rPr>
          <w:rFonts w:hint="eastAsia" w:ascii="仿宋_GB2312" w:hAnsi="仿宋" w:eastAsia="仿宋_GB2312" w:cs="宋体"/>
          <w:kern w:val="0"/>
          <w:sz w:val="32"/>
          <w:szCs w:val="32"/>
          <w:lang w:val="zh-CN"/>
        </w:rPr>
      </w:pPr>
      <w:r>
        <w:rPr>
          <w:rFonts w:hint="eastAsia" w:ascii="仿宋_GB2312" w:hAnsi="仿宋" w:eastAsia="仿宋_GB2312" w:cs="宋体"/>
          <w:kern w:val="0"/>
          <w:sz w:val="32"/>
          <w:szCs w:val="32"/>
          <w:lang w:val="zh-CN"/>
        </w:rPr>
        <w:t>三是制定财政预算收入规划；管理县级各项财政收入，监督预算执行；监缴国有资产经营收益。</w:t>
      </w:r>
    </w:p>
    <w:p w14:paraId="7EFF09E0">
      <w:pPr>
        <w:keepNext w:val="0"/>
        <w:keepLines w:val="0"/>
        <w:pageBreakBefore w:val="0"/>
        <w:kinsoku/>
        <w:wordWrap/>
        <w:overflowPunct/>
        <w:topLinePunct w:val="0"/>
        <w:autoSpaceDE/>
        <w:autoSpaceDN/>
        <w:bidi w:val="0"/>
        <w:spacing w:before="100" w:beforeLines="0" w:after="100" w:afterLines="0" w:line="600" w:lineRule="exact"/>
        <w:ind w:firstLine="640" w:firstLineChars="200"/>
        <w:jc w:val="left"/>
        <w:textAlignment w:val="auto"/>
        <w:rPr>
          <w:rFonts w:hint="eastAsia" w:ascii="仿宋_GB2312" w:hAnsi="仿宋" w:eastAsia="仿宋_GB2312" w:cs="宋体"/>
          <w:kern w:val="0"/>
          <w:sz w:val="32"/>
          <w:szCs w:val="32"/>
          <w:lang w:val="zh-CN"/>
        </w:rPr>
      </w:pPr>
      <w:r>
        <w:rPr>
          <w:rFonts w:hint="eastAsia" w:ascii="仿宋_GB2312" w:hAnsi="仿宋" w:eastAsia="仿宋_GB2312" w:cs="宋体"/>
          <w:kern w:val="0"/>
          <w:sz w:val="32"/>
          <w:szCs w:val="32"/>
          <w:lang w:val="zh-CN"/>
        </w:rPr>
        <w:t>四是管理和监督各项财政支出，管理县级预算资金、财政专户和政府性基金。</w:t>
      </w:r>
    </w:p>
    <w:p w14:paraId="24DF2137">
      <w:pPr>
        <w:keepNext w:val="0"/>
        <w:keepLines w:val="0"/>
        <w:pageBreakBefore w:val="0"/>
        <w:kinsoku/>
        <w:wordWrap/>
        <w:overflowPunct/>
        <w:topLinePunct w:val="0"/>
        <w:autoSpaceDE/>
        <w:autoSpaceDN/>
        <w:bidi w:val="0"/>
        <w:spacing w:before="100" w:beforeLines="0" w:after="100" w:afterLines="0" w:line="600" w:lineRule="exact"/>
        <w:ind w:firstLine="640" w:firstLineChars="200"/>
        <w:jc w:val="left"/>
        <w:textAlignment w:val="auto"/>
        <w:rPr>
          <w:rFonts w:hint="eastAsia" w:ascii="仿宋_GB2312" w:hAnsi="仿宋" w:eastAsia="仿宋_GB2312" w:cs="宋体"/>
          <w:kern w:val="0"/>
          <w:sz w:val="32"/>
          <w:szCs w:val="32"/>
          <w:lang w:val="zh-CN"/>
        </w:rPr>
      </w:pPr>
      <w:r>
        <w:rPr>
          <w:rFonts w:hint="eastAsia" w:ascii="仿宋_GB2312" w:hAnsi="仿宋" w:eastAsia="仿宋_GB2312" w:cs="宋体"/>
          <w:kern w:val="0"/>
          <w:sz w:val="32"/>
          <w:szCs w:val="32"/>
          <w:lang w:val="zh-CN"/>
        </w:rPr>
        <w:t xml:space="preserve">五是执行政府采购政策，组织和监督管理县乡级政府采购。                                                     </w:t>
      </w:r>
    </w:p>
    <w:p w14:paraId="0E0E3049">
      <w:pPr>
        <w:keepNext w:val="0"/>
        <w:keepLines w:val="0"/>
        <w:pageBreakBefore w:val="0"/>
        <w:kinsoku/>
        <w:wordWrap/>
        <w:overflowPunct/>
        <w:topLinePunct w:val="0"/>
        <w:autoSpaceDE/>
        <w:autoSpaceDN/>
        <w:bidi w:val="0"/>
        <w:spacing w:before="100" w:beforeLines="0" w:after="100" w:afterLines="0" w:line="600" w:lineRule="exact"/>
        <w:ind w:firstLine="640" w:firstLineChars="200"/>
        <w:jc w:val="left"/>
        <w:textAlignment w:val="auto"/>
        <w:rPr>
          <w:rFonts w:hint="eastAsia" w:ascii="仿宋_GB2312" w:hAnsi="仿宋" w:eastAsia="仿宋_GB2312" w:cs="宋体"/>
          <w:kern w:val="0"/>
          <w:sz w:val="32"/>
          <w:szCs w:val="32"/>
          <w:lang w:val="zh-CN"/>
        </w:rPr>
      </w:pPr>
      <w:r>
        <w:rPr>
          <w:rFonts w:hint="eastAsia" w:ascii="仿宋_GB2312" w:hAnsi="仿宋" w:eastAsia="仿宋_GB2312" w:cs="宋体"/>
          <w:kern w:val="0"/>
          <w:sz w:val="32"/>
          <w:szCs w:val="32"/>
          <w:lang w:val="zh-CN"/>
        </w:rPr>
        <w:t>六是组织实施国有企业和行政事业单位的清产核资、国有产权界定、登记、转让、授权经营等工作。</w:t>
      </w:r>
    </w:p>
    <w:p w14:paraId="2AF20341">
      <w:pPr>
        <w:keepNext w:val="0"/>
        <w:keepLines w:val="0"/>
        <w:pageBreakBefore w:val="0"/>
        <w:kinsoku/>
        <w:wordWrap/>
        <w:overflowPunct/>
        <w:topLinePunct w:val="0"/>
        <w:autoSpaceDE/>
        <w:autoSpaceDN/>
        <w:bidi w:val="0"/>
        <w:spacing w:before="100" w:beforeLines="0" w:after="100" w:afterLines="0" w:line="600" w:lineRule="exact"/>
        <w:ind w:firstLine="640" w:firstLineChars="200"/>
        <w:jc w:val="left"/>
        <w:textAlignment w:val="auto"/>
        <w:rPr>
          <w:rFonts w:hint="eastAsia" w:ascii="仿宋_GB2312" w:hAnsi="仿宋" w:eastAsia="仿宋_GB2312" w:cs="宋体"/>
          <w:kern w:val="0"/>
          <w:sz w:val="32"/>
          <w:szCs w:val="32"/>
          <w:lang w:val="zh-CN"/>
        </w:rPr>
      </w:pPr>
      <w:r>
        <w:rPr>
          <w:rFonts w:hint="eastAsia" w:ascii="仿宋_GB2312" w:hAnsi="仿宋" w:eastAsia="仿宋_GB2312" w:cs="宋体"/>
          <w:kern w:val="0"/>
          <w:sz w:val="32"/>
          <w:szCs w:val="32"/>
          <w:lang w:val="zh-CN"/>
        </w:rPr>
        <w:t>七是贯彻执行会计法规和制度，指导和监督会计业务；负责国库集中支付核算和乡镇零户统管工作</w:t>
      </w:r>
    </w:p>
    <w:p w14:paraId="32CCC6DF">
      <w:pPr>
        <w:keepNext w:val="0"/>
        <w:keepLines w:val="0"/>
        <w:pageBreakBefore w:val="0"/>
        <w:kinsoku/>
        <w:wordWrap/>
        <w:overflowPunct/>
        <w:topLinePunct w:val="0"/>
        <w:autoSpaceDE/>
        <w:autoSpaceDN/>
        <w:bidi w:val="0"/>
        <w:spacing w:before="100" w:beforeLines="0" w:after="100" w:afterLines="0" w:line="600" w:lineRule="exact"/>
        <w:ind w:firstLine="640" w:firstLineChars="200"/>
        <w:jc w:val="left"/>
        <w:textAlignment w:val="auto"/>
        <w:rPr>
          <w:rFonts w:hint="eastAsia" w:ascii="仿宋_GB2312" w:hAnsi="仿宋" w:eastAsia="仿宋_GB2312" w:cs="宋体"/>
          <w:kern w:val="0"/>
          <w:sz w:val="32"/>
          <w:szCs w:val="32"/>
          <w:lang w:val="zh-CN"/>
        </w:rPr>
      </w:pPr>
      <w:r>
        <w:rPr>
          <w:rFonts w:hint="eastAsia" w:ascii="仿宋_GB2312" w:hAnsi="仿宋" w:eastAsia="仿宋_GB2312" w:cs="宋体"/>
          <w:kern w:val="0"/>
          <w:sz w:val="32"/>
          <w:szCs w:val="32"/>
          <w:lang w:val="zh-CN"/>
        </w:rPr>
        <w:t>八是监督和检查全县财政预算收支情况、专项资金的拨入和使用情况以及群众反映的其它财经问题。</w:t>
      </w:r>
    </w:p>
    <w:p w14:paraId="69030BE5">
      <w:pPr>
        <w:keepNext w:val="0"/>
        <w:keepLines w:val="0"/>
        <w:pageBreakBefore w:val="0"/>
        <w:kinsoku/>
        <w:wordWrap/>
        <w:overflowPunct/>
        <w:topLinePunct w:val="0"/>
        <w:autoSpaceDE/>
        <w:autoSpaceDN/>
        <w:bidi w:val="0"/>
        <w:spacing w:before="100" w:beforeLines="0" w:after="100" w:afterLines="0" w:line="600" w:lineRule="exact"/>
        <w:ind w:firstLine="640" w:firstLineChars="200"/>
        <w:jc w:val="left"/>
        <w:textAlignment w:val="auto"/>
        <w:rPr>
          <w:rFonts w:hint="eastAsia" w:ascii="仿宋_GB2312" w:hAnsi="仿宋" w:eastAsia="仿宋_GB2312" w:cs="宋体"/>
          <w:kern w:val="0"/>
          <w:sz w:val="32"/>
          <w:szCs w:val="32"/>
          <w:lang w:val="zh-CN"/>
        </w:rPr>
      </w:pPr>
      <w:r>
        <w:rPr>
          <w:rFonts w:hint="eastAsia" w:ascii="仿宋_GB2312" w:hAnsi="仿宋" w:eastAsia="仿宋_GB2312" w:cs="宋体"/>
          <w:kern w:val="0"/>
          <w:sz w:val="32"/>
          <w:szCs w:val="32"/>
          <w:lang w:val="zh-CN"/>
        </w:rPr>
        <w:t>九是承办县委、县政府和上级业务部门交办的其它工作。</w:t>
      </w:r>
    </w:p>
    <w:p w14:paraId="720E48B4">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二、机构设置情况</w:t>
      </w:r>
    </w:p>
    <w:p w14:paraId="77BC1A87">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（一）机关内设机构</w:t>
      </w:r>
    </w:p>
    <w:p w14:paraId="0A8553C8">
      <w:pPr>
        <w:keepNext w:val="0"/>
        <w:keepLines w:val="0"/>
        <w:pageBreakBefore w:val="0"/>
        <w:kinsoku/>
        <w:wordWrap/>
        <w:overflowPunct/>
        <w:topLinePunct w:val="0"/>
        <w:autoSpaceDE/>
        <w:autoSpaceDN/>
        <w:bidi w:val="0"/>
        <w:spacing w:before="100" w:beforeLines="0" w:after="100" w:afterLines="0" w:line="600" w:lineRule="exact"/>
        <w:ind w:firstLine="640" w:firstLineChars="200"/>
        <w:jc w:val="left"/>
        <w:textAlignment w:val="auto"/>
        <w:rPr>
          <w:rFonts w:hint="eastAsia" w:ascii="仿宋_GB2312" w:hAnsi="仿宋" w:eastAsia="仿宋_GB2312" w:cs="宋体"/>
          <w:kern w:val="0"/>
          <w:sz w:val="32"/>
          <w:szCs w:val="32"/>
          <w:lang w:val="zh-CN"/>
        </w:rPr>
      </w:pPr>
      <w:r>
        <w:rPr>
          <w:rFonts w:hint="eastAsia" w:ascii="仿宋_GB2312" w:hAnsi="仿宋" w:eastAsia="仿宋_GB2312" w:cs="宋体"/>
          <w:kern w:val="0"/>
          <w:sz w:val="32"/>
          <w:szCs w:val="32"/>
          <w:lang w:val="en-US" w:eastAsia="zh-CN"/>
        </w:rPr>
        <w:t>华池县财政局内设12个股室：预算股、国库股、办公室、经建金融股、社保股、行财股、基建股、监督评价股、农业农村股、综合股、资产管理股、金融事务中心。</w:t>
      </w:r>
    </w:p>
    <w:p w14:paraId="316EA88B">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（二）参照公务员法管理单位</w:t>
      </w:r>
    </w:p>
    <w:p w14:paraId="159E6CD8">
      <w:pPr>
        <w:keepNext w:val="0"/>
        <w:keepLines w:val="0"/>
        <w:pageBreakBefore w:val="0"/>
        <w:kinsoku/>
        <w:wordWrap/>
        <w:overflowPunct/>
        <w:topLinePunct w:val="0"/>
        <w:autoSpaceDE/>
        <w:autoSpaceDN/>
        <w:bidi w:val="0"/>
        <w:spacing w:line="600" w:lineRule="exact"/>
        <w:ind w:firstLine="640" w:firstLineChars="200"/>
        <w:textAlignment w:val="auto"/>
        <w:rPr>
          <w:rFonts w:hint="eastAsia"/>
          <w:lang w:val="en-US" w:eastAsia="zh-CN"/>
        </w:rPr>
      </w:pPr>
      <w:r>
        <w:rPr>
          <w:rFonts w:hint="eastAsia" w:ascii="仿宋_GB2312" w:hAnsi="仿宋" w:eastAsia="仿宋_GB2312" w:cs="宋体"/>
          <w:kern w:val="0"/>
          <w:sz w:val="32"/>
          <w:szCs w:val="32"/>
          <w:lang w:val="en-US" w:eastAsia="zh-CN"/>
        </w:rPr>
        <w:t>下设三个参公事业单位：国库集中支付核算中心、财政综合事务中心、采购办</w:t>
      </w:r>
      <w:r>
        <w:rPr>
          <w:rFonts w:hint="eastAsia"/>
          <w:lang w:val="en-US" w:eastAsia="zh-CN"/>
        </w:rPr>
        <w:t>。</w:t>
      </w:r>
    </w:p>
    <w:p w14:paraId="1A18BC42">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（三）直属事业单位</w:t>
      </w:r>
    </w:p>
    <w:p w14:paraId="0881FE9B">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下设一个事业单位：华池县国有资产事务中心。</w:t>
      </w:r>
    </w:p>
    <w:p w14:paraId="154D8898">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三、部门/单位收支总体情况</w:t>
      </w:r>
    </w:p>
    <w:p w14:paraId="10AF1836">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按照预算管理有关规定，</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年部门（单位）收支包括机关预算和直属单位预算在内的汇总情况。</w:t>
      </w:r>
    </w:p>
    <w:p w14:paraId="02D85CDC">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年部门收支总预算</w:t>
      </w:r>
      <w:r>
        <w:rPr>
          <w:rFonts w:hint="eastAsia" w:ascii="仿宋_GB2312" w:hAnsi="仿宋" w:eastAsia="仿宋_GB2312" w:cs="宋体"/>
          <w:kern w:val="0"/>
          <w:sz w:val="32"/>
          <w:szCs w:val="32"/>
          <w:lang w:val="en-US" w:eastAsia="zh-CN"/>
        </w:rPr>
        <w:t>2157</w:t>
      </w:r>
      <w:r>
        <w:rPr>
          <w:rFonts w:hint="eastAsia" w:ascii="仿宋_GB2312" w:hAnsi="仿宋" w:eastAsia="仿宋_GB2312" w:cs="宋体"/>
          <w:kern w:val="0"/>
          <w:sz w:val="32"/>
          <w:szCs w:val="32"/>
        </w:rPr>
        <w:t>万元。按照综合预算的原则，部门（单位）所有收入和支出均纳入部门预算管理。收入包括：一般公共预算拨款收入、政府性基金预算拨款收入、事业收入、事业单位经营收入、其他收入、使用非财政拨款结余、上年结转；支出包括：一般公共服务支出、公共安全支出、教育支出、科学技术支出、社会保障和就业支出、卫生健康支出、交通运输支出、住房保障支出、其他支出。</w:t>
      </w:r>
    </w:p>
    <w:p w14:paraId="78846D78">
      <w:pPr>
        <w:spacing w:line="600" w:lineRule="exact"/>
        <w:ind w:firstLine="643" w:firstLineChars="200"/>
        <w:rPr>
          <w:rFonts w:ascii="楷体_GB2312" w:hAnsi="楷体" w:eastAsia="楷体_GB2312"/>
          <w:sz w:val="32"/>
          <w:szCs w:val="32"/>
        </w:rPr>
      </w:pPr>
      <w:r>
        <w:rPr>
          <w:rFonts w:hint="eastAsia" w:ascii="楷体_GB2312" w:hAnsi="楷体" w:eastAsia="楷体_GB2312" w:cs="宋体"/>
          <w:b/>
          <w:bCs/>
          <w:kern w:val="0"/>
          <w:sz w:val="32"/>
          <w:szCs w:val="32"/>
        </w:rPr>
        <w:t>（一）收入预算</w:t>
      </w:r>
    </w:p>
    <w:p w14:paraId="7E3AB6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年收入预算</w:t>
      </w:r>
      <w:r>
        <w:rPr>
          <w:rFonts w:hint="eastAsia" w:ascii="仿宋_GB2312" w:hAnsi="仿宋" w:eastAsia="仿宋_GB2312"/>
          <w:sz w:val="32"/>
          <w:szCs w:val="32"/>
          <w:lang w:val="en-US" w:eastAsia="zh-CN"/>
        </w:rPr>
        <w:t>2157</w:t>
      </w:r>
      <w:r>
        <w:rPr>
          <w:rFonts w:hint="eastAsia" w:ascii="仿宋_GB2312" w:hAnsi="仿宋" w:eastAsia="仿宋_GB2312"/>
          <w:sz w:val="32"/>
          <w:szCs w:val="32"/>
        </w:rPr>
        <w:t xml:space="preserve"> 万元（详见部门/单位预算公开表1,2）。包括：</w:t>
      </w:r>
    </w:p>
    <w:p w14:paraId="14E911E5">
      <w:pPr>
        <w:widowControl/>
        <w:spacing w:line="560" w:lineRule="exact"/>
        <w:ind w:firstLine="640" w:firstLineChars="200"/>
        <w:jc w:val="left"/>
        <w:rPr>
          <w:rFonts w:hint="eastAsia" w:ascii="仿宋_GB2312" w:hAnsi="仿宋" w:eastAsia="仿宋_GB2312"/>
          <w:sz w:val="32"/>
          <w:szCs w:val="32"/>
          <w:lang w:eastAsia="zh-CN"/>
        </w:rPr>
      </w:pPr>
      <w:r>
        <w:rPr>
          <w:rFonts w:hint="eastAsia" w:ascii="仿宋_GB2312" w:hAnsi="仿宋" w:eastAsia="仿宋_GB2312"/>
          <w:sz w:val="32"/>
          <w:szCs w:val="32"/>
        </w:rPr>
        <w:t>一般公共预算收入</w:t>
      </w:r>
      <w:r>
        <w:rPr>
          <w:rFonts w:hint="eastAsia" w:ascii="仿宋_GB2312" w:hAnsi="仿宋" w:eastAsia="仿宋_GB2312"/>
          <w:sz w:val="32"/>
          <w:szCs w:val="32"/>
          <w:lang w:val="en-US" w:eastAsia="zh-CN"/>
        </w:rPr>
        <w:t>2157</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rPr>
        <w:t>占</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r>
        <w:rPr>
          <w:rFonts w:hint="eastAsia" w:ascii="仿宋_GB2312" w:hAnsi="仿宋" w:eastAsia="仿宋_GB2312"/>
          <w:sz w:val="32"/>
          <w:szCs w:val="32"/>
          <w:lang w:eastAsia="zh-CN"/>
        </w:rPr>
        <w:t>。</w:t>
      </w:r>
    </w:p>
    <w:p w14:paraId="2217B58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14:paraId="356FC48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年支出预算</w:t>
      </w:r>
      <w:r>
        <w:rPr>
          <w:rFonts w:hint="eastAsia" w:ascii="仿宋_GB2312" w:hAnsi="仿宋" w:eastAsia="仿宋_GB2312"/>
          <w:sz w:val="32"/>
          <w:szCs w:val="32"/>
          <w:lang w:val="en-US" w:eastAsia="zh-CN"/>
        </w:rPr>
        <w:t>2157</w:t>
      </w:r>
      <w:r>
        <w:rPr>
          <w:rFonts w:hint="eastAsia" w:ascii="仿宋_GB2312" w:hAnsi="仿宋" w:eastAsia="仿宋_GB2312"/>
          <w:sz w:val="32"/>
          <w:szCs w:val="32"/>
        </w:rPr>
        <w:t>万元（详见部门/单位预算公开表3）。</w:t>
      </w:r>
      <w:r>
        <w:rPr>
          <w:rStyle w:val="20"/>
          <w:rFonts w:hint="default" w:hAnsi="仿宋"/>
        </w:rPr>
        <w:t>其中：基本支出</w:t>
      </w:r>
      <w:r>
        <w:rPr>
          <w:rStyle w:val="21"/>
          <w:rFonts w:hint="eastAsia" w:ascii="仿宋_GB2312" w:hAnsi="仿宋" w:eastAsia="仿宋_GB2312"/>
        </w:rPr>
        <w:t xml:space="preserve"> </w:t>
      </w:r>
      <w:r>
        <w:rPr>
          <w:rStyle w:val="21"/>
          <w:rFonts w:hint="eastAsia" w:ascii="仿宋_GB2312" w:hAnsi="仿宋" w:eastAsia="仿宋_GB2312"/>
          <w:lang w:val="en-US" w:eastAsia="zh-CN"/>
        </w:rPr>
        <w:t>1194.84</w:t>
      </w:r>
      <w:r>
        <w:rPr>
          <w:rStyle w:val="20"/>
          <w:rFonts w:hint="default" w:hAnsi="仿宋"/>
        </w:rPr>
        <w:t>万元，占</w:t>
      </w:r>
      <w:r>
        <w:rPr>
          <w:rStyle w:val="21"/>
          <w:rFonts w:hint="eastAsia" w:ascii="仿宋_GB2312" w:hAnsi="仿宋" w:eastAsia="仿宋_GB2312"/>
          <w:lang w:val="en-US" w:eastAsia="zh-CN"/>
        </w:rPr>
        <w:t>55.4</w:t>
      </w:r>
      <w:r>
        <w:rPr>
          <w:rStyle w:val="21"/>
          <w:rFonts w:hint="eastAsia" w:ascii="仿宋_GB2312" w:hAnsi="仿宋" w:eastAsia="仿宋_GB2312"/>
        </w:rPr>
        <w:t xml:space="preserve"> %</w:t>
      </w:r>
      <w:r>
        <w:rPr>
          <w:rStyle w:val="20"/>
          <w:rFonts w:hint="default" w:hAnsi="仿宋"/>
        </w:rPr>
        <w:t xml:space="preserve">；项目支出 </w:t>
      </w:r>
      <w:r>
        <w:rPr>
          <w:rStyle w:val="21"/>
          <w:rFonts w:hint="eastAsia" w:ascii="仿宋_GB2312" w:hAnsi="仿宋" w:eastAsia="仿宋_GB2312"/>
          <w:lang w:val="en-US" w:eastAsia="zh-CN"/>
        </w:rPr>
        <w:t>962.16</w:t>
      </w:r>
      <w:r>
        <w:rPr>
          <w:rStyle w:val="20"/>
          <w:rFonts w:hint="default" w:hAnsi="仿宋"/>
        </w:rPr>
        <w:t>万元，占</w:t>
      </w:r>
      <w:r>
        <w:rPr>
          <w:rStyle w:val="21"/>
          <w:rFonts w:hint="eastAsia" w:ascii="仿宋_GB2312" w:hAnsi="仿宋" w:eastAsia="仿宋_GB2312"/>
        </w:rPr>
        <w:t xml:space="preserve"> </w:t>
      </w:r>
      <w:r>
        <w:rPr>
          <w:rStyle w:val="21"/>
          <w:rFonts w:hint="eastAsia" w:ascii="仿宋_GB2312" w:hAnsi="仿宋" w:eastAsia="仿宋_GB2312"/>
          <w:lang w:val="en-US" w:eastAsia="zh-CN"/>
        </w:rPr>
        <w:t>44.6</w:t>
      </w:r>
      <w:r>
        <w:rPr>
          <w:rStyle w:val="21"/>
          <w:rFonts w:hint="eastAsia" w:ascii="仿宋_GB2312" w:hAnsi="仿宋" w:eastAsia="仿宋_GB2312"/>
        </w:rPr>
        <w:t>%</w:t>
      </w:r>
      <w:r>
        <w:rPr>
          <w:rStyle w:val="20"/>
          <w:rFonts w:hint="default" w:hAnsi="仿宋"/>
        </w:rPr>
        <w:t>。</w:t>
      </w:r>
    </w:p>
    <w:p w14:paraId="7D7ADD5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四、一般公共预算情况</w:t>
      </w:r>
    </w:p>
    <w:p w14:paraId="0F3C656B">
      <w:pPr>
        <w:widowControl/>
        <w:adjustRightInd w:val="0"/>
        <w:snapToGrid w:val="0"/>
        <w:spacing w:line="640" w:lineRule="exact"/>
        <w:ind w:firstLine="640" w:firstLineChars="200"/>
        <w:contextualSpacing/>
        <w:jc w:val="left"/>
        <w:rPr>
          <w:rFonts w:ascii="仿宋_GB2312" w:hAnsi="仿宋" w:eastAsia="仿宋_GB2312"/>
          <w:sz w:val="32"/>
          <w:szCs w:val="32"/>
        </w:rPr>
      </w:pPr>
      <w:r>
        <w:rPr>
          <w:rStyle w:val="21"/>
          <w:rFonts w:hint="eastAsia" w:ascii="仿宋_GB2312" w:hAnsi="仿宋" w:eastAsia="仿宋_GB2312"/>
          <w:lang w:eastAsia="zh-CN"/>
        </w:rPr>
        <w:t>202</w:t>
      </w:r>
      <w:r>
        <w:rPr>
          <w:rStyle w:val="21"/>
          <w:rFonts w:hint="default" w:ascii="仿宋_GB2312" w:hAnsi="仿宋" w:eastAsia="仿宋_GB2312"/>
          <w:lang w:val="en-US" w:eastAsia="zh-CN"/>
        </w:rPr>
        <w:t>6</w:t>
      </w:r>
      <w:r>
        <w:rPr>
          <w:rStyle w:val="20"/>
          <w:rFonts w:hint="default" w:hAnsi="仿宋"/>
        </w:rPr>
        <w:t>年一般公共预算当年支出</w:t>
      </w:r>
      <w:r>
        <w:rPr>
          <w:rFonts w:hint="eastAsia" w:ascii="仿宋_GB2312" w:hAnsi="仿宋" w:eastAsia="仿宋_GB2312"/>
          <w:sz w:val="32"/>
          <w:szCs w:val="32"/>
          <w:lang w:val="en-US" w:eastAsia="zh-CN"/>
        </w:rPr>
        <w:t>2157</w:t>
      </w:r>
      <w:r>
        <w:rPr>
          <w:rStyle w:val="20"/>
          <w:rFonts w:hint="default" w:hAnsi="仿宋"/>
        </w:rPr>
        <w:t>万元，包括：一般公共服务支出</w:t>
      </w:r>
      <w:r>
        <w:rPr>
          <w:rStyle w:val="21"/>
          <w:rFonts w:hint="eastAsia" w:ascii="仿宋_GB2312" w:hAnsi="仿宋" w:eastAsia="仿宋_GB2312"/>
        </w:rPr>
        <w:t xml:space="preserve"> </w:t>
      </w:r>
      <w:r>
        <w:rPr>
          <w:rStyle w:val="21"/>
          <w:rFonts w:hint="eastAsia" w:ascii="仿宋_GB2312" w:hAnsi="仿宋" w:eastAsia="仿宋_GB2312"/>
          <w:lang w:val="en-US" w:eastAsia="zh-CN"/>
        </w:rPr>
        <w:t>1845.63</w:t>
      </w:r>
      <w:r>
        <w:rPr>
          <w:rStyle w:val="20"/>
          <w:rFonts w:hint="default" w:hAnsi="仿宋"/>
        </w:rPr>
        <w:t>万元、社会保障和就业支出</w:t>
      </w:r>
      <w:r>
        <w:rPr>
          <w:rStyle w:val="21"/>
          <w:rFonts w:hint="eastAsia" w:ascii="仿宋_GB2312" w:hAnsi="仿宋" w:eastAsia="仿宋_GB2312"/>
        </w:rPr>
        <w:t xml:space="preserve"> </w:t>
      </w:r>
      <w:r>
        <w:rPr>
          <w:rStyle w:val="21"/>
          <w:rFonts w:hint="eastAsia" w:ascii="仿宋_GB2312" w:hAnsi="仿宋" w:eastAsia="仿宋_GB2312"/>
          <w:lang w:val="en-US" w:eastAsia="zh-CN"/>
        </w:rPr>
        <w:t>171.75</w:t>
      </w:r>
      <w:r>
        <w:rPr>
          <w:rStyle w:val="20"/>
          <w:rFonts w:hint="default" w:hAnsi="仿宋"/>
        </w:rPr>
        <w:t>万元、</w:t>
      </w:r>
      <w:r>
        <w:rPr>
          <w:rStyle w:val="20"/>
          <w:rFonts w:hint="eastAsia" w:hAnsi="仿宋" w:eastAsia="仿宋_GB2312"/>
          <w:lang w:eastAsia="zh-CN"/>
        </w:rPr>
        <w:t>卫生健康支出</w:t>
      </w:r>
      <w:r>
        <w:rPr>
          <w:rStyle w:val="20"/>
          <w:rFonts w:hint="eastAsia" w:hAnsi="仿宋" w:eastAsia="仿宋_GB2312"/>
          <w:lang w:val="en-US" w:eastAsia="zh-CN"/>
        </w:rPr>
        <w:t>57.64</w:t>
      </w:r>
      <w:r>
        <w:rPr>
          <w:rStyle w:val="20"/>
          <w:rFonts w:hint="default" w:hAnsi="仿宋"/>
        </w:rPr>
        <w:t>万元</w:t>
      </w:r>
      <w:r>
        <w:rPr>
          <w:rStyle w:val="20"/>
          <w:rFonts w:hint="eastAsia" w:hAnsi="仿宋" w:eastAsia="仿宋_GB2312"/>
          <w:lang w:eastAsia="zh-CN"/>
        </w:rPr>
        <w:t>、住房保障支出</w:t>
      </w:r>
      <w:r>
        <w:rPr>
          <w:rStyle w:val="20"/>
          <w:rFonts w:hint="eastAsia" w:hAnsi="仿宋" w:eastAsia="仿宋_GB2312"/>
          <w:lang w:val="en-US" w:eastAsia="zh-CN"/>
        </w:rPr>
        <w:t>81.98万元</w:t>
      </w:r>
      <w:r>
        <w:rPr>
          <w:rStyle w:val="20"/>
          <w:rFonts w:hint="default" w:hAnsi="仿宋"/>
        </w:rPr>
        <w:t>。</w:t>
      </w:r>
      <w:r>
        <w:rPr>
          <w:rFonts w:hint="eastAsia" w:ascii="仿宋_GB2312" w:hAnsi="仿宋" w:eastAsia="仿宋_GB2312"/>
          <w:sz w:val="32"/>
          <w:szCs w:val="32"/>
        </w:rPr>
        <w:t>具体安排情况如下</w:t>
      </w:r>
      <w:r>
        <w:rPr>
          <w:rFonts w:hint="eastAsia" w:ascii="仿宋_GB2312" w:hAnsi="微软雅黑" w:eastAsia="仿宋_GB2312"/>
          <w:sz w:val="32"/>
          <w:szCs w:val="32"/>
        </w:rPr>
        <w:t>（详见部门（单位）预算公开表4,5,6,7）</w:t>
      </w:r>
      <w:r>
        <w:rPr>
          <w:rFonts w:hint="eastAsia" w:ascii="仿宋_GB2312" w:hAnsi="仿宋" w:eastAsia="仿宋_GB2312"/>
          <w:sz w:val="32"/>
          <w:szCs w:val="32"/>
        </w:rPr>
        <w:t>：</w:t>
      </w:r>
    </w:p>
    <w:p w14:paraId="59725234">
      <w:pPr>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14:paraId="1AE41538">
      <w:pPr>
        <w:widowControl/>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 xml:space="preserve">年基本支出 </w:t>
      </w:r>
      <w:r>
        <w:rPr>
          <w:rFonts w:hint="eastAsia" w:ascii="仿宋_GB2312" w:hAnsi="仿宋" w:eastAsia="仿宋_GB2312"/>
          <w:sz w:val="32"/>
          <w:szCs w:val="32"/>
          <w:lang w:val="en-US" w:eastAsia="zh-CN"/>
        </w:rPr>
        <w:t>1194.84</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65.16</w:t>
      </w:r>
      <w:r>
        <w:rPr>
          <w:rFonts w:hint="eastAsia" w:ascii="仿宋_GB2312" w:hAnsi="仿宋" w:eastAsia="仿宋_GB2312"/>
          <w:sz w:val="32"/>
          <w:szCs w:val="32"/>
        </w:rPr>
        <w:t xml:space="preserve"> 万元，增长</w:t>
      </w:r>
      <w:r>
        <w:rPr>
          <w:rFonts w:hint="eastAsia" w:ascii="仿宋_GB2312" w:hAnsi="仿宋" w:eastAsia="仿宋_GB2312"/>
          <w:sz w:val="32"/>
          <w:szCs w:val="32"/>
          <w:lang w:val="en-US" w:eastAsia="zh-CN"/>
        </w:rPr>
        <w:t>5.8</w:t>
      </w:r>
      <w:r>
        <w:rPr>
          <w:rFonts w:hint="eastAsia" w:ascii="仿宋_GB2312" w:hAnsi="仿宋" w:eastAsia="仿宋_GB2312"/>
          <w:sz w:val="32"/>
          <w:szCs w:val="32"/>
        </w:rPr>
        <w:t>%，增长的主要原因是一般行政管理事务经费相应增加</w:t>
      </w:r>
      <w:r>
        <w:rPr>
          <w:rFonts w:hint="eastAsia" w:ascii="仿宋_GB2312" w:hAnsi="仿宋" w:eastAsia="仿宋_GB2312"/>
          <w:sz w:val="32"/>
          <w:szCs w:val="32"/>
          <w:lang w:eastAsia="zh-CN"/>
        </w:rPr>
        <w:t>。</w:t>
      </w:r>
    </w:p>
    <w:p w14:paraId="7088349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其中：人员经费支出</w:t>
      </w:r>
      <w:r>
        <w:rPr>
          <w:rFonts w:hint="eastAsia" w:ascii="仿宋_GB2312" w:hAnsi="仿宋" w:eastAsia="仿宋_GB2312"/>
          <w:sz w:val="32"/>
          <w:szCs w:val="32"/>
          <w:lang w:val="en-US" w:eastAsia="zh-CN"/>
        </w:rPr>
        <w:t>1100.77</w:t>
      </w:r>
      <w:r>
        <w:rPr>
          <w:rFonts w:hint="eastAsia" w:ascii="仿宋_GB2312" w:hAnsi="仿宋" w:eastAsia="仿宋_GB2312"/>
          <w:sz w:val="32"/>
          <w:szCs w:val="32"/>
        </w:rPr>
        <w:t xml:space="preserve"> 万元，主要包括：基本工资、津贴补贴、奖金、伙食补助费、绩效工资、机关事业单位基本养老保险缴费、职业年金缴费、职工基本医疗保险缴费、公务员医疗补助缴费、其他社会保障缴费、住房公积金、医疗费、其他工资福利支出、离休费、退休费、退职（役）费、抚恤金、生活补助、救济费、医疗费补助、助学金、奖励金、个人农业生产补贴、代缴社会保险费 、其他对个人和家庭的补助等。</w:t>
      </w:r>
    </w:p>
    <w:p w14:paraId="5167C9C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 xml:space="preserve">公用经费支出 </w:t>
      </w:r>
      <w:r>
        <w:rPr>
          <w:rFonts w:hint="eastAsia" w:ascii="仿宋_GB2312" w:hAnsi="仿宋" w:eastAsia="仿宋_GB2312"/>
          <w:sz w:val="32"/>
          <w:szCs w:val="32"/>
          <w:lang w:val="en-US" w:eastAsia="zh-CN"/>
        </w:rPr>
        <w:t>94.07</w:t>
      </w:r>
      <w:r>
        <w:rPr>
          <w:rFonts w:hint="eastAsia" w:ascii="仿宋_GB2312" w:hAnsi="仿宋" w:eastAsia="仿宋_GB2312"/>
          <w:sz w:val="32"/>
          <w:szCs w:val="32"/>
        </w:rPr>
        <w:t>万元，主要包括：办公费、印刷费、咨询费、手续费、水费、电费、邮电费、取暖费、物业管理费、差旅费、因公出国（境）费、维修（护）费、租赁费、会议费、培训费、公务接待费、专用材料费、被装购置费、专用燃料费、劳务费、委托业务费、工会经费、福利费、公务用车运行维护费、其他交通费用、税金及附加费用、其他商品和服务支出、办公设备购置、专用设备购置等。</w:t>
      </w:r>
    </w:p>
    <w:p w14:paraId="47B7981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14:paraId="50CA5CEE">
      <w:pPr>
        <w:widowControl/>
        <w:adjustRightInd w:val="0"/>
        <w:snapToGrid w:val="0"/>
        <w:spacing w:line="640" w:lineRule="exact"/>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年一般公共预算财政拨款项目支出预算</w:t>
      </w:r>
      <w:r>
        <w:rPr>
          <w:rFonts w:hint="eastAsia" w:ascii="仿宋_GB2312" w:hAnsi="仿宋" w:eastAsia="仿宋_GB2312"/>
          <w:sz w:val="32"/>
          <w:szCs w:val="32"/>
          <w:lang w:val="en-US" w:eastAsia="zh-CN"/>
        </w:rPr>
        <w:t>962</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602</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167</w:t>
      </w:r>
      <w:r>
        <w:rPr>
          <w:rFonts w:hint="eastAsia" w:ascii="仿宋_GB2312" w:hAnsi="仿宋" w:eastAsia="仿宋_GB2312"/>
          <w:sz w:val="32"/>
          <w:szCs w:val="32"/>
        </w:rPr>
        <w:t xml:space="preserve"> %，增长的主要原因是</w:t>
      </w:r>
      <w:r>
        <w:rPr>
          <w:rFonts w:hint="eastAsia" w:ascii="仿宋_GB2312" w:hAnsi="仿宋" w:eastAsia="仿宋_GB2312"/>
          <w:sz w:val="32"/>
          <w:szCs w:val="32"/>
          <w:lang w:eastAsia="zh-CN"/>
        </w:rPr>
        <w:t>项目增加</w:t>
      </w:r>
      <w:r>
        <w:rPr>
          <w:rFonts w:hint="eastAsia" w:ascii="仿宋_GB2312" w:hAnsi="仿宋" w:eastAsia="仿宋_GB2312"/>
          <w:sz w:val="32"/>
          <w:szCs w:val="32"/>
          <w:lang w:val="en-US" w:eastAsia="zh-CN"/>
        </w:rPr>
        <w:t xml:space="preserve">3个。     </w:t>
      </w:r>
    </w:p>
    <w:p w14:paraId="2DD7CC2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部门专项</w:t>
      </w:r>
      <w:r>
        <w:rPr>
          <w:rFonts w:hint="eastAsia" w:ascii="仿宋_GB2312" w:hAnsi="仿宋" w:eastAsia="仿宋_GB2312"/>
          <w:sz w:val="32"/>
          <w:szCs w:val="32"/>
          <w:lang w:val="en-US" w:eastAsia="zh-CN"/>
        </w:rPr>
        <w:t>3</w:t>
      </w:r>
      <w:r>
        <w:rPr>
          <w:rFonts w:hint="eastAsia" w:ascii="仿宋_GB2312" w:hAnsi="仿宋" w:eastAsia="仿宋_GB2312"/>
          <w:sz w:val="32"/>
          <w:szCs w:val="32"/>
        </w:rPr>
        <w:t>个，主要是项目1预（结）算审核费</w:t>
      </w:r>
      <w:r>
        <w:rPr>
          <w:rFonts w:hint="eastAsia" w:ascii="仿宋_GB2312" w:hAnsi="仿宋" w:eastAsia="仿宋_GB2312"/>
          <w:sz w:val="32"/>
          <w:szCs w:val="32"/>
          <w:lang w:val="en-US" w:eastAsia="zh-CN"/>
        </w:rPr>
        <w:t>300万元</w:t>
      </w:r>
      <w:r>
        <w:rPr>
          <w:rFonts w:hint="eastAsia" w:ascii="仿宋_GB2312" w:hAnsi="仿宋" w:eastAsia="仿宋_GB2312"/>
          <w:sz w:val="32"/>
          <w:szCs w:val="32"/>
        </w:rPr>
        <w:t>、项目2文旅投公司运营补助（安保服务）</w:t>
      </w:r>
      <w:r>
        <w:rPr>
          <w:rFonts w:hint="eastAsia" w:ascii="仿宋_GB2312" w:hAnsi="仿宋" w:eastAsia="仿宋_GB2312"/>
          <w:sz w:val="32"/>
          <w:szCs w:val="32"/>
          <w:lang w:val="en-US" w:eastAsia="zh-CN"/>
        </w:rPr>
        <w:t>62.4万元</w:t>
      </w:r>
      <w:r>
        <w:rPr>
          <w:rFonts w:hint="eastAsia" w:ascii="仿宋_GB2312" w:hAnsi="仿宋" w:eastAsia="仿宋_GB2312"/>
          <w:sz w:val="32"/>
          <w:szCs w:val="32"/>
        </w:rPr>
        <w:t>、项目3华池县宾馆有限责任公司运营补贴</w:t>
      </w:r>
      <w:r>
        <w:rPr>
          <w:rFonts w:hint="eastAsia" w:ascii="仿宋_GB2312" w:hAnsi="仿宋" w:eastAsia="仿宋_GB2312"/>
          <w:sz w:val="32"/>
          <w:szCs w:val="32"/>
          <w:lang w:val="en-US" w:eastAsia="zh-CN"/>
        </w:rPr>
        <w:t>500万元</w:t>
      </w:r>
      <w:r>
        <w:rPr>
          <w:rFonts w:hint="eastAsia" w:ascii="仿宋_GB2312" w:hAnsi="仿宋" w:eastAsia="仿宋_GB2312"/>
          <w:sz w:val="32"/>
          <w:szCs w:val="32"/>
        </w:rPr>
        <w:t>。</w:t>
      </w:r>
    </w:p>
    <w:p w14:paraId="2CA5B85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（三）支出功能分类说明</w:t>
      </w:r>
    </w:p>
    <w:p w14:paraId="1E181CAA">
      <w:pPr>
        <w:widowControl/>
        <w:adjustRightInd w:val="0"/>
        <w:snapToGrid w:val="0"/>
        <w:spacing w:line="640" w:lineRule="exact"/>
        <w:ind w:firstLine="640" w:firstLineChars="200"/>
        <w:contextualSpacing/>
        <w:jc w:val="left"/>
        <w:rPr>
          <w:rFonts w:hint="eastAsia" w:ascii="仿宋_GB2312" w:eastAsia="仿宋_GB2312"/>
          <w:color w:val="000000"/>
          <w:sz w:val="32"/>
          <w:szCs w:val="32"/>
          <w:lang w:eastAsia="zh-CN"/>
        </w:rPr>
      </w:pPr>
      <w:r>
        <w:rPr>
          <w:rFonts w:hint="eastAsia" w:ascii="仿宋_GB2312" w:hAnsi="TimesNewRomanPS-BoldMT" w:eastAsia="仿宋_GB2312"/>
          <w:bCs/>
          <w:color w:val="000000"/>
          <w:sz w:val="32"/>
          <w:szCs w:val="32"/>
        </w:rPr>
        <w:t>1.</w:t>
      </w:r>
      <w:r>
        <w:rPr>
          <w:rFonts w:hint="eastAsia" w:ascii="仿宋_GB2312" w:eastAsia="仿宋_GB2312"/>
          <w:color w:val="000000"/>
          <w:sz w:val="32"/>
          <w:szCs w:val="32"/>
        </w:rPr>
        <w:t>一般公共服务（ 类） 纪检监察事务（ 款） 派驻派出机构（ 项）</w:t>
      </w:r>
      <w:r>
        <w:rPr>
          <w:rFonts w:hint="eastAsia" w:ascii="仿宋_GB2312" w:hAnsi="TimesNewRomanPSMT" w:eastAsia="仿宋_GB2312"/>
          <w:color w:val="000000"/>
          <w:sz w:val="32"/>
          <w:szCs w:val="32"/>
          <w:lang w:eastAsia="zh-CN"/>
        </w:rPr>
        <w:t>202</w:t>
      </w:r>
      <w:r>
        <w:rPr>
          <w:rFonts w:hint="eastAsia" w:ascii="仿宋_GB2312" w:hAnsi="TimesNewRomanPSMT" w:eastAsia="仿宋_GB2312"/>
          <w:color w:val="000000"/>
          <w:sz w:val="32"/>
          <w:szCs w:val="32"/>
          <w:lang w:val="en-US" w:eastAsia="zh-CN"/>
        </w:rPr>
        <w:t>6</w:t>
      </w:r>
      <w:r>
        <w:rPr>
          <w:rFonts w:hint="eastAsia" w:ascii="仿宋_GB2312" w:eastAsia="仿宋_GB2312"/>
          <w:color w:val="000000"/>
          <w:sz w:val="32"/>
          <w:szCs w:val="32"/>
        </w:rPr>
        <w:t>年预算数为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 xml:space="preserve">万元， 比 </w:t>
      </w:r>
      <w:r>
        <w:rPr>
          <w:rFonts w:hint="eastAsia" w:ascii="仿宋_GB2312" w:hAnsi="TimesNewRomanPSMT" w:eastAsia="仿宋_GB2312"/>
          <w:color w:val="000000"/>
          <w:sz w:val="32"/>
          <w:szCs w:val="32"/>
          <w:lang w:eastAsia="zh-CN"/>
        </w:rPr>
        <w:t>202</w:t>
      </w:r>
      <w:r>
        <w:rPr>
          <w:rFonts w:hint="eastAsia" w:ascii="仿宋_GB2312" w:hAnsi="TimesNewRomanPSMT" w:eastAsia="仿宋_GB2312"/>
          <w:color w:val="000000"/>
          <w:sz w:val="32"/>
          <w:szCs w:val="32"/>
          <w:lang w:val="en-US" w:eastAsia="zh-CN"/>
        </w:rPr>
        <w:t>5</w:t>
      </w:r>
      <w:r>
        <w:rPr>
          <w:rFonts w:hint="eastAsia" w:ascii="仿宋_GB2312" w:eastAsia="仿宋_GB2312"/>
          <w:color w:val="000000"/>
          <w:sz w:val="32"/>
          <w:szCs w:val="32"/>
        </w:rPr>
        <w:t>年预算增加</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 主要原因是</w:t>
      </w:r>
      <w:r>
        <w:rPr>
          <w:rFonts w:hint="eastAsia" w:ascii="仿宋_GB2312" w:eastAsia="仿宋_GB2312"/>
          <w:color w:val="000000"/>
          <w:sz w:val="32"/>
          <w:szCs w:val="32"/>
          <w:lang w:eastAsia="zh-CN"/>
        </w:rPr>
        <w:t>无</w:t>
      </w:r>
    </w:p>
    <w:p w14:paraId="0A65071F">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五、部门（单位）一般公共预算财政拨款“三公”经费、培训费、会议费等情况</w:t>
      </w:r>
    </w:p>
    <w:p w14:paraId="1A1EA64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14:paraId="6B52960A">
      <w:pPr>
        <w:adjustRightInd w:val="0"/>
        <w:snapToGrid w:val="0"/>
        <w:spacing w:line="640" w:lineRule="exact"/>
        <w:ind w:firstLine="640" w:firstLineChars="200"/>
        <w:contextualSpacing/>
        <w:rPr>
          <w:rFonts w:ascii="仿宋_GB2312" w:hAnsi="仿宋" w:eastAsia="仿宋_GB2312" w:cs="宋体"/>
          <w:b/>
          <w:kern w:val="0"/>
          <w:sz w:val="32"/>
          <w:szCs w:val="32"/>
        </w:rPr>
      </w:pPr>
      <w:r>
        <w:rPr>
          <w:rFonts w:hint="eastAsia" w:ascii="仿宋_GB2312" w:hAnsi="仿宋" w:eastAsia="仿宋_GB2312"/>
          <w:sz w:val="32"/>
          <w:szCs w:val="32"/>
        </w:rPr>
        <w:t>“三公”经费预算</w:t>
      </w:r>
      <w:r>
        <w:rPr>
          <w:rFonts w:hint="eastAsia" w:ascii="仿宋_GB2312" w:hAnsi="仿宋" w:eastAsia="仿宋_GB2312"/>
          <w:sz w:val="32"/>
          <w:szCs w:val="32"/>
          <w:lang w:val="en-US" w:eastAsia="zh-CN"/>
        </w:rPr>
        <w:t>1.02</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0.02</w:t>
      </w:r>
      <w:r>
        <w:rPr>
          <w:rFonts w:hint="eastAsia" w:ascii="仿宋_GB2312" w:hAnsi="仿宋" w:eastAsia="仿宋_GB2312"/>
          <w:sz w:val="32"/>
          <w:szCs w:val="32"/>
        </w:rPr>
        <w:t>万元。</w:t>
      </w:r>
    </w:p>
    <w:p w14:paraId="12178E23">
      <w:pPr>
        <w:keepNext w:val="0"/>
        <w:keepLines w:val="0"/>
        <w:pageBreakBefore w:val="0"/>
        <w:widowControl/>
        <w:numPr>
          <w:numId w:val="0"/>
        </w:numPr>
        <w:kinsoku/>
        <w:wordWrap/>
        <w:overflowPunct/>
        <w:topLinePunct w:val="0"/>
        <w:autoSpaceDE/>
        <w:autoSpaceDN/>
        <w:bidi w:val="0"/>
        <w:adjustRightInd w:val="0"/>
        <w:snapToGrid w:val="0"/>
        <w:spacing w:line="600" w:lineRule="exact"/>
        <w:ind w:firstLine="960" w:firstLineChars="300"/>
        <w:contextualSpacing/>
        <w:jc w:val="left"/>
        <w:textAlignment w:val="auto"/>
        <w:rPr>
          <w:rFonts w:hint="eastAsia" w:ascii="仿宋_GB2312" w:hAnsi="仿宋" w:eastAsia="仿宋_GB2312"/>
          <w:sz w:val="32"/>
          <w:szCs w:val="32"/>
          <w:lang w:eastAsia="zh-CN"/>
        </w:rPr>
      </w:pPr>
      <w:r>
        <w:rPr>
          <w:rFonts w:hint="eastAsia" w:ascii="仿宋_GB2312" w:hAnsi="仿宋" w:eastAsia="仿宋_GB2312"/>
          <w:sz w:val="32"/>
          <w:szCs w:val="32"/>
          <w:lang w:val="en-US" w:eastAsia="zh-CN"/>
        </w:rPr>
        <w:t>1.</w:t>
      </w:r>
      <w:r>
        <w:rPr>
          <w:rFonts w:hint="eastAsia" w:ascii="仿宋_GB2312" w:hAnsi="仿宋" w:eastAsia="仿宋_GB2312"/>
          <w:sz w:val="32"/>
          <w:szCs w:val="32"/>
          <w:lang w:eastAsia="zh-CN"/>
        </w:rPr>
        <w:t>本单位无</w:t>
      </w:r>
      <w:r>
        <w:rPr>
          <w:rFonts w:hint="eastAsia" w:ascii="仿宋_GB2312" w:hAnsi="仿宋" w:eastAsia="仿宋_GB2312"/>
          <w:sz w:val="32"/>
          <w:szCs w:val="32"/>
        </w:rPr>
        <w:t>因公出国（境）费用</w:t>
      </w:r>
      <w:r>
        <w:rPr>
          <w:rFonts w:hint="eastAsia" w:ascii="仿宋_GB2312" w:hAnsi="仿宋" w:eastAsia="仿宋_GB2312"/>
          <w:sz w:val="32"/>
          <w:szCs w:val="32"/>
          <w:lang w:eastAsia="zh-CN"/>
        </w:rPr>
        <w:t>。</w:t>
      </w:r>
    </w:p>
    <w:p w14:paraId="2C1E118B">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w:t>
      </w:r>
    </w:p>
    <w:p w14:paraId="3BA530D4">
      <w:pPr>
        <w:keepNext w:val="0"/>
        <w:keepLines w:val="0"/>
        <w:pageBreakBefore w:val="0"/>
        <w:widowControl/>
        <w:numPr>
          <w:ilvl w:val="0"/>
          <w:numId w:val="0"/>
        </w:numPr>
        <w:kinsoku/>
        <w:wordWrap/>
        <w:overflowPunct/>
        <w:topLinePunct w:val="0"/>
        <w:autoSpaceDE/>
        <w:autoSpaceDN/>
        <w:bidi w:val="0"/>
        <w:adjustRightInd w:val="0"/>
        <w:snapToGrid w:val="0"/>
        <w:spacing w:line="600" w:lineRule="exact"/>
        <w:ind w:firstLine="640" w:firstLineChars="200"/>
        <w:contextualSpacing/>
        <w:jc w:val="left"/>
        <w:textAlignment w:val="auto"/>
        <w:rPr>
          <w:rFonts w:ascii="仿宋_GB2312" w:hAnsi="仿宋" w:eastAsia="仿宋_GB2312"/>
          <w:sz w:val="32"/>
          <w:szCs w:val="32"/>
        </w:rPr>
      </w:pPr>
      <w:r>
        <w:rPr>
          <w:rFonts w:hint="eastAsia" w:ascii="仿宋_GB2312" w:hAnsi="仿宋" w:eastAsia="仿宋_GB2312"/>
          <w:sz w:val="32"/>
          <w:szCs w:val="32"/>
        </w:rPr>
        <w:t>2.公务接待费</w:t>
      </w:r>
      <w:r>
        <w:rPr>
          <w:rFonts w:hint="eastAsia" w:ascii="仿宋_GB2312" w:hAnsi="仿宋" w:eastAsia="仿宋_GB2312"/>
          <w:sz w:val="32"/>
          <w:szCs w:val="32"/>
          <w:lang w:val="en-US" w:eastAsia="zh-CN"/>
        </w:rPr>
        <w:t>1.02</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0.02</w:t>
      </w:r>
      <w:r>
        <w:rPr>
          <w:rFonts w:hint="eastAsia" w:ascii="仿宋_GB2312" w:hAnsi="仿宋" w:eastAsia="仿宋_GB2312"/>
          <w:sz w:val="32"/>
          <w:szCs w:val="32"/>
        </w:rPr>
        <w:t>万元，下降</w:t>
      </w:r>
      <w:r>
        <w:rPr>
          <w:rFonts w:hint="eastAsia" w:ascii="仿宋_GB2312" w:hAnsi="仿宋" w:eastAsia="仿宋_GB2312"/>
          <w:sz w:val="32"/>
          <w:szCs w:val="32"/>
          <w:lang w:val="en-US" w:eastAsia="zh-CN"/>
        </w:rPr>
        <w:t>1.9</w:t>
      </w:r>
      <w:r>
        <w:rPr>
          <w:rFonts w:hint="eastAsia" w:ascii="仿宋_GB2312" w:hAnsi="仿宋" w:eastAsia="仿宋_GB2312"/>
          <w:sz w:val="32"/>
          <w:szCs w:val="32"/>
        </w:rPr>
        <w:t xml:space="preserve"> %，下降的主要原因是</w:t>
      </w:r>
      <w:r>
        <w:rPr>
          <w:rFonts w:hint="eastAsia" w:ascii="仿宋_GB2312" w:hAnsi="仿宋" w:eastAsia="仿宋_GB2312"/>
          <w:sz w:val="32"/>
          <w:szCs w:val="32"/>
          <w:lang w:eastAsia="zh-CN"/>
        </w:rPr>
        <w:t>严格遵守中央八项规定，厉行节约，不超标准</w:t>
      </w:r>
      <w:r>
        <w:rPr>
          <w:rFonts w:hint="eastAsia" w:ascii="仿宋_GB2312" w:hAnsi="仿宋" w:eastAsia="仿宋_GB2312"/>
          <w:sz w:val="32"/>
          <w:szCs w:val="32"/>
          <w:lang w:val="en-US" w:eastAsia="zh-CN"/>
        </w:rPr>
        <w:t>接待</w:t>
      </w:r>
      <w:r>
        <w:rPr>
          <w:rFonts w:hint="eastAsia" w:ascii="仿宋_GB2312" w:hAnsi="仿宋" w:eastAsia="仿宋_GB2312"/>
          <w:sz w:val="32"/>
          <w:szCs w:val="32"/>
        </w:rPr>
        <w:t>。</w:t>
      </w:r>
    </w:p>
    <w:p w14:paraId="6CC67525">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3.</w:t>
      </w:r>
      <w:r>
        <w:rPr>
          <w:rFonts w:hint="eastAsia" w:ascii="仿宋_GB2312" w:hAnsi="仿宋" w:eastAsia="仿宋_GB2312"/>
          <w:sz w:val="32"/>
          <w:szCs w:val="32"/>
          <w:lang w:eastAsia="zh-CN"/>
        </w:rPr>
        <w:t>本单位无</w:t>
      </w:r>
      <w:r>
        <w:rPr>
          <w:rFonts w:hint="eastAsia" w:ascii="仿宋_GB2312" w:hAnsi="仿宋" w:eastAsia="仿宋_GB2312"/>
          <w:sz w:val="32"/>
          <w:szCs w:val="32"/>
        </w:rPr>
        <w:t>公务用车。</w:t>
      </w:r>
    </w:p>
    <w:p w14:paraId="3C18502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（二）培训费预算情况说明</w:t>
      </w:r>
    </w:p>
    <w:p w14:paraId="7ED815E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4.培训费</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eastAsia="zh-CN"/>
        </w:rPr>
        <w:t>持平。</w:t>
      </w:r>
    </w:p>
    <w:p w14:paraId="27BFF129">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（三）会议费预算情况说明</w:t>
      </w:r>
    </w:p>
    <w:p w14:paraId="37DF21A3">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 xml:space="preserve">5.会议费 </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万元，</w:t>
      </w:r>
      <w:r>
        <w:rPr>
          <w:rFonts w:hint="eastAsia" w:ascii="仿宋_GB2312" w:hAnsi="仿宋" w:eastAsia="仿宋_GB2312"/>
          <w:sz w:val="32"/>
          <w:szCs w:val="32"/>
          <w:lang w:eastAsia="zh-CN"/>
        </w:rPr>
        <w:t>与</w:t>
      </w: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eastAsia="zh-CN"/>
        </w:rPr>
        <w:t>持平。</w:t>
      </w:r>
    </w:p>
    <w:p w14:paraId="7D35BB7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14:paraId="2A2D2CF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机关运行经费</w:t>
      </w:r>
      <w:r>
        <w:rPr>
          <w:rFonts w:hint="eastAsia" w:ascii="仿宋_GB2312" w:hAnsi="仿宋" w:eastAsia="仿宋_GB2312"/>
          <w:sz w:val="32"/>
          <w:szCs w:val="32"/>
          <w:lang w:val="en-US" w:eastAsia="zh-CN"/>
        </w:rPr>
        <w:t>61.19</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7.12</w:t>
      </w:r>
      <w:r>
        <w:rPr>
          <w:rFonts w:hint="eastAsia" w:ascii="仿宋_GB2312" w:hAnsi="仿宋" w:eastAsia="仿宋_GB2312"/>
          <w:sz w:val="32"/>
          <w:szCs w:val="32"/>
        </w:rPr>
        <w:t xml:space="preserve"> 万元，增长</w:t>
      </w:r>
      <w:r>
        <w:rPr>
          <w:rFonts w:hint="eastAsia" w:ascii="仿宋_GB2312" w:hAnsi="仿宋" w:eastAsia="仿宋_GB2312"/>
          <w:sz w:val="32"/>
          <w:szCs w:val="32"/>
          <w:lang w:val="en-US" w:eastAsia="zh-CN"/>
        </w:rPr>
        <w:t>10.45</w:t>
      </w:r>
      <w:r>
        <w:rPr>
          <w:rFonts w:hint="eastAsia" w:ascii="仿宋_GB2312" w:hAnsi="仿宋" w:eastAsia="仿宋_GB2312"/>
          <w:sz w:val="32"/>
          <w:szCs w:val="32"/>
        </w:rPr>
        <w:t>%，增长（下降）的主要原因是增长的主要原因是新增省考、遴选、军转及调入人员，相应增加基本养老保险缴费支出。</w:t>
      </w:r>
    </w:p>
    <w:p w14:paraId="57B4FFA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七、政府采购安排情况</w:t>
      </w:r>
    </w:p>
    <w:p w14:paraId="73FD1C8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年，部门（单位）政府采购预算总额</w:t>
      </w:r>
      <w:r>
        <w:rPr>
          <w:rFonts w:hint="eastAsia" w:ascii="仿宋_GB2312" w:hAnsi="仿宋" w:eastAsia="仿宋_GB2312"/>
          <w:sz w:val="32"/>
          <w:szCs w:val="32"/>
          <w:lang w:val="en-US" w:eastAsia="zh-CN"/>
        </w:rPr>
        <w:t>19</w:t>
      </w:r>
      <w:r>
        <w:rPr>
          <w:rFonts w:hint="eastAsia" w:ascii="仿宋_GB2312" w:hAnsi="仿宋" w:eastAsia="仿宋_GB2312"/>
          <w:sz w:val="32"/>
          <w:szCs w:val="32"/>
        </w:rPr>
        <w:t>万元，其中：政府采购货物预算</w:t>
      </w:r>
      <w:r>
        <w:rPr>
          <w:rFonts w:hint="eastAsia" w:ascii="仿宋_GB2312" w:hAnsi="仿宋" w:eastAsia="仿宋_GB2312"/>
          <w:sz w:val="32"/>
          <w:szCs w:val="32"/>
          <w:lang w:val="en-US" w:eastAsia="zh-CN"/>
        </w:rPr>
        <w:t>19</w:t>
      </w:r>
      <w:r>
        <w:rPr>
          <w:rFonts w:hint="eastAsia" w:ascii="仿宋_GB2312" w:hAnsi="仿宋" w:eastAsia="仿宋_GB2312"/>
          <w:sz w:val="32"/>
          <w:szCs w:val="32"/>
        </w:rPr>
        <w:t>万元。</w:t>
      </w:r>
    </w:p>
    <w:p w14:paraId="51697EF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 xml:space="preserve">年，部门（单位）面向中小企业预留政府采购项目预算金额  万元，小微企业预留政府采购项目预算金额 </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6A193527">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八、国有资产占用情况</w:t>
      </w:r>
    </w:p>
    <w:p w14:paraId="7051FEC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上年末固定资产金额为</w:t>
      </w:r>
      <w:r>
        <w:rPr>
          <w:rFonts w:hint="eastAsia" w:ascii="仿宋_GB2312" w:hAnsi="仿宋" w:eastAsia="仿宋_GB2312"/>
          <w:sz w:val="32"/>
          <w:szCs w:val="32"/>
          <w:lang w:val="en-US" w:eastAsia="zh-CN"/>
        </w:rPr>
        <w:t>496.34</w:t>
      </w:r>
      <w:r>
        <w:rPr>
          <w:rFonts w:hint="eastAsia" w:ascii="仿宋_GB2312" w:hAnsi="仿宋" w:eastAsia="仿宋_GB2312"/>
          <w:sz w:val="32"/>
          <w:szCs w:val="32"/>
        </w:rPr>
        <w:t>万元。其中：办公用房</w:t>
      </w:r>
      <w:r>
        <w:rPr>
          <w:rFonts w:hint="eastAsia" w:ascii="仿宋_GB2312" w:hAnsi="仿宋" w:eastAsia="仿宋_GB2312"/>
          <w:sz w:val="32"/>
          <w:szCs w:val="32"/>
          <w:lang w:val="en-US" w:eastAsia="zh-CN"/>
        </w:rPr>
        <w:t xml:space="preserve"> 2045.11</w:t>
      </w:r>
      <w:r>
        <w:rPr>
          <w:rFonts w:hint="eastAsia" w:ascii="仿宋_GB2312" w:hAnsi="仿宋" w:eastAsia="仿宋_GB2312"/>
          <w:sz w:val="32"/>
          <w:szCs w:val="32"/>
        </w:rPr>
        <w:t>平方米，价值</w:t>
      </w:r>
      <w:r>
        <w:rPr>
          <w:rFonts w:hint="eastAsia" w:ascii="仿宋_GB2312" w:hAnsi="仿宋" w:eastAsia="仿宋_GB2312"/>
          <w:sz w:val="32"/>
          <w:szCs w:val="32"/>
          <w:lang w:val="en-US" w:eastAsia="zh-CN"/>
        </w:rPr>
        <w:t>168.90</w:t>
      </w:r>
      <w:r>
        <w:rPr>
          <w:rFonts w:hint="eastAsia" w:ascii="仿宋_GB2312" w:hAnsi="仿宋" w:eastAsia="仿宋_GB2312"/>
          <w:sz w:val="32"/>
          <w:szCs w:val="32"/>
        </w:rPr>
        <w:t>万元。预算部门（单位）共有公务用车</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辆，价值 </w:t>
      </w:r>
      <w:r>
        <w:rPr>
          <w:rFonts w:hint="eastAsia" w:ascii="仿宋_GB2312" w:hAnsi="仿宋" w:eastAsia="仿宋_GB2312"/>
          <w:sz w:val="32"/>
          <w:szCs w:val="32"/>
          <w:lang w:val="en-US" w:eastAsia="zh-CN"/>
        </w:rPr>
        <w:t>0</w:t>
      </w:r>
      <w:r>
        <w:rPr>
          <w:rFonts w:hint="eastAsia" w:ascii="仿宋_GB2312" w:hAnsi="仿宋" w:eastAsia="仿宋_GB2312"/>
          <w:sz w:val="32"/>
          <w:szCs w:val="32"/>
        </w:rPr>
        <w:t>元。单价20万元以上的设备价值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 xml:space="preserve">年拟采购固定资产约 </w:t>
      </w:r>
      <w:r>
        <w:rPr>
          <w:rFonts w:hint="eastAsia" w:ascii="仿宋_GB2312" w:hAnsi="仿宋" w:eastAsia="仿宋_GB2312"/>
          <w:sz w:val="32"/>
          <w:szCs w:val="32"/>
          <w:lang w:val="en-US" w:eastAsia="zh-CN"/>
        </w:rPr>
        <w:t>15</w:t>
      </w:r>
      <w:r>
        <w:rPr>
          <w:rFonts w:hint="eastAsia" w:ascii="仿宋_GB2312" w:hAnsi="仿宋" w:eastAsia="仿宋_GB2312"/>
          <w:sz w:val="32"/>
          <w:szCs w:val="32"/>
        </w:rPr>
        <w:t>万元。</w:t>
      </w:r>
    </w:p>
    <w:p w14:paraId="4AAB33A2">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14:paraId="4B4945E4">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14:paraId="3D308989">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年未安排政府性基金预算支出，政府性基金预算支出情况表为空表。</w:t>
      </w:r>
    </w:p>
    <w:p w14:paraId="792B6F0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0C54ABC8">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本部门</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ascii="仿宋_GB2312" w:hAnsi="仿宋" w:eastAsia="仿宋_GB2312"/>
          <w:sz w:val="32"/>
          <w:szCs w:val="32"/>
        </w:rPr>
        <w:t>无非税收入</w:t>
      </w:r>
      <w:r>
        <w:rPr>
          <w:rFonts w:hint="eastAsia" w:ascii="仿宋_GB2312" w:hAnsi="仿宋" w:eastAsia="仿宋_GB2312"/>
          <w:sz w:val="32"/>
          <w:szCs w:val="32"/>
        </w:rPr>
        <w:t>。</w:t>
      </w:r>
    </w:p>
    <w:p w14:paraId="09CA2645">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14:paraId="02ABA4AA">
      <w:pPr>
        <w:adjustRightInd w:val="0"/>
        <w:snapToGrid w:val="0"/>
        <w:spacing w:line="640" w:lineRule="exact"/>
        <w:ind w:firstLine="640" w:firstLineChars="200"/>
        <w:contextualSpacing/>
        <w:rPr>
          <w:rFonts w:hint="eastAsia" w:ascii="仿宋_GB2312" w:hAnsi="仿宋" w:eastAsia="仿宋_GB2312"/>
          <w:sz w:val="32"/>
          <w:szCs w:val="32"/>
        </w:rPr>
      </w:pPr>
      <w:r>
        <w:rPr>
          <w:rFonts w:hint="eastAsia" w:ascii="仿宋_GB2312" w:hAnsi="仿宋" w:eastAsia="仿宋_GB2312"/>
          <w:sz w:val="32"/>
          <w:szCs w:val="32"/>
        </w:rPr>
        <w:t>项目名称：国库集中支付工作经费及财政一体化网络运行维护费</w:t>
      </w:r>
    </w:p>
    <w:p w14:paraId="4DA37813">
      <w:pPr>
        <w:adjustRightInd w:val="0"/>
        <w:snapToGrid w:val="0"/>
        <w:spacing w:line="640" w:lineRule="exact"/>
        <w:ind w:firstLine="640" w:firstLineChars="200"/>
        <w:contextualSpacing/>
        <w:rPr>
          <w:rFonts w:hint="eastAsia" w:ascii="仿宋_GB2312" w:hAnsi="仿宋" w:eastAsia="仿宋_GB2312"/>
          <w:sz w:val="32"/>
          <w:szCs w:val="32"/>
        </w:rPr>
      </w:pPr>
      <w:r>
        <w:rPr>
          <w:rFonts w:hint="eastAsia" w:ascii="仿宋_GB2312" w:hAnsi="仿宋" w:eastAsia="仿宋_GB2312"/>
          <w:sz w:val="32"/>
          <w:szCs w:val="32"/>
        </w:rPr>
        <w:t>1、项目概况：根据财政部《财政部网络安全和信息化建设管理办法》、《预算管理一体化规范（2.0 版）》等相关要求，积极采取措施，强化技术保障，扎实开展全</w:t>
      </w:r>
      <w:r>
        <w:rPr>
          <w:rFonts w:hint="eastAsia" w:ascii="仿宋_GB2312" w:hAnsi="仿宋" w:eastAsia="仿宋_GB2312"/>
          <w:sz w:val="32"/>
          <w:szCs w:val="32"/>
          <w:lang w:eastAsia="zh-CN"/>
        </w:rPr>
        <w:t>县</w:t>
      </w:r>
      <w:r>
        <w:rPr>
          <w:rFonts w:hint="eastAsia" w:ascii="仿宋_GB2312" w:hAnsi="仿宋" w:eastAsia="仿宋_GB2312"/>
          <w:sz w:val="32"/>
          <w:szCs w:val="32"/>
        </w:rPr>
        <w:t>财政网络安全建设和管理工作，保障全</w:t>
      </w:r>
      <w:r>
        <w:rPr>
          <w:rFonts w:hint="eastAsia" w:ascii="仿宋_GB2312" w:hAnsi="仿宋" w:eastAsia="仿宋_GB2312"/>
          <w:sz w:val="32"/>
          <w:szCs w:val="32"/>
          <w:lang w:eastAsia="zh-CN"/>
        </w:rPr>
        <w:t>县</w:t>
      </w:r>
      <w:r>
        <w:rPr>
          <w:rFonts w:hint="eastAsia" w:ascii="仿宋_GB2312" w:hAnsi="仿宋" w:eastAsia="仿宋_GB2312"/>
          <w:sz w:val="32"/>
          <w:szCs w:val="32"/>
        </w:rPr>
        <w:t>财政系统网络和数据安全；推进预算管理一体化等各财政业务系统应用，着力提升财政管理信息化水平，为全</w:t>
      </w:r>
      <w:r>
        <w:rPr>
          <w:rFonts w:hint="eastAsia" w:ascii="仿宋_GB2312" w:hAnsi="仿宋" w:eastAsia="仿宋_GB2312"/>
          <w:sz w:val="32"/>
          <w:szCs w:val="32"/>
          <w:lang w:eastAsia="zh-CN"/>
        </w:rPr>
        <w:t>县</w:t>
      </w:r>
      <w:r>
        <w:rPr>
          <w:rFonts w:hint="eastAsia" w:ascii="仿宋_GB2312" w:hAnsi="仿宋" w:eastAsia="仿宋_GB2312"/>
          <w:sz w:val="32"/>
          <w:szCs w:val="32"/>
        </w:rPr>
        <w:t>各级财政部门、预算单位的财政收支业务和财政资金管理提供有力支撑；</w:t>
      </w:r>
    </w:p>
    <w:p w14:paraId="05CC3685">
      <w:pPr>
        <w:adjustRightInd w:val="0"/>
        <w:snapToGrid w:val="0"/>
        <w:spacing w:line="640" w:lineRule="exact"/>
        <w:ind w:firstLine="640" w:firstLineChars="200"/>
        <w:contextualSpacing/>
        <w:rPr>
          <w:rFonts w:hint="eastAsia" w:ascii="仿宋_GB2312" w:hAnsi="仿宋" w:eastAsia="仿宋_GB2312"/>
          <w:sz w:val="32"/>
          <w:szCs w:val="32"/>
        </w:rPr>
      </w:pPr>
      <w:r>
        <w:rPr>
          <w:rFonts w:hint="eastAsia" w:ascii="仿宋_GB2312" w:hAnsi="仿宋" w:eastAsia="仿宋_GB2312"/>
          <w:sz w:val="32"/>
          <w:szCs w:val="32"/>
        </w:rPr>
        <w:t>强化网站常态化监管，保障内外网站、财政视频会议系统、办公自动化系统安全稳定运行；做好财政网络安全设施设备运维及全</w:t>
      </w:r>
      <w:r>
        <w:rPr>
          <w:rFonts w:hint="eastAsia" w:ascii="仿宋_GB2312" w:hAnsi="仿宋" w:eastAsia="仿宋_GB2312"/>
          <w:sz w:val="32"/>
          <w:szCs w:val="32"/>
          <w:lang w:eastAsia="zh-CN"/>
        </w:rPr>
        <w:t>县</w:t>
      </w:r>
      <w:r>
        <w:rPr>
          <w:rFonts w:hint="eastAsia" w:ascii="仿宋_GB2312" w:hAnsi="仿宋" w:eastAsia="仿宋_GB2312"/>
          <w:sz w:val="32"/>
          <w:szCs w:val="32"/>
        </w:rPr>
        <w:t>财政专网骨干网线路、保障全</w:t>
      </w:r>
      <w:r>
        <w:rPr>
          <w:rFonts w:hint="eastAsia" w:ascii="仿宋_GB2312" w:hAnsi="仿宋" w:eastAsia="仿宋_GB2312"/>
          <w:sz w:val="32"/>
          <w:szCs w:val="32"/>
          <w:lang w:eastAsia="zh-CN"/>
        </w:rPr>
        <w:t>县</w:t>
      </w:r>
      <w:r>
        <w:rPr>
          <w:rFonts w:hint="eastAsia" w:ascii="仿宋_GB2312" w:hAnsi="仿宋" w:eastAsia="仿宋_GB2312"/>
          <w:sz w:val="32"/>
          <w:szCs w:val="32"/>
        </w:rPr>
        <w:t>财政网络和各业务系统安全、稳定运行。</w:t>
      </w:r>
    </w:p>
    <w:p w14:paraId="1180FFA8">
      <w:pPr>
        <w:adjustRightInd w:val="0"/>
        <w:snapToGrid w:val="0"/>
        <w:spacing w:line="640" w:lineRule="exact"/>
        <w:ind w:firstLine="640" w:firstLineChars="200"/>
        <w:contextualSpacing/>
        <w:rPr>
          <w:rFonts w:hint="eastAsia" w:ascii="仿宋_GB2312" w:hAnsi="仿宋" w:eastAsia="仿宋_GB2312"/>
          <w:sz w:val="32"/>
          <w:szCs w:val="32"/>
        </w:rPr>
      </w:pPr>
      <w:r>
        <w:rPr>
          <w:rFonts w:hint="eastAsia" w:ascii="仿宋_GB2312" w:hAnsi="仿宋" w:eastAsia="仿宋_GB2312"/>
          <w:sz w:val="32"/>
          <w:szCs w:val="32"/>
        </w:rPr>
        <w:t>2、立项依据：参照延续性项目历年合同，根据《中华人民共和国网络安全法》、《中华人民共和国数据安全法》、《网络安全等级保护条例》及财政部《网络安全和信息化建设管理办法》、《预算管理一体化规范（2.0 版）》、《预算管理一体化系统技术标准 V2.0》、《地方财政数据分类分级指南》以及省</w:t>
      </w:r>
      <w:r>
        <w:rPr>
          <w:rFonts w:hint="eastAsia" w:ascii="仿宋_GB2312" w:hAnsi="仿宋" w:eastAsia="仿宋_GB2312"/>
          <w:sz w:val="32"/>
          <w:szCs w:val="32"/>
          <w:lang w:eastAsia="zh-CN"/>
        </w:rPr>
        <w:t>市县</w:t>
      </w:r>
      <w:r>
        <w:rPr>
          <w:rFonts w:hint="eastAsia" w:ascii="仿宋_GB2312" w:hAnsi="仿宋" w:eastAsia="仿宋_GB2312"/>
          <w:sz w:val="32"/>
          <w:szCs w:val="32"/>
        </w:rPr>
        <w:t>上关于信息化项目建设有关依据。</w:t>
      </w:r>
    </w:p>
    <w:p w14:paraId="0E90D211">
      <w:pPr>
        <w:adjustRightInd w:val="0"/>
        <w:snapToGrid w:val="0"/>
        <w:spacing w:line="640" w:lineRule="exact"/>
        <w:ind w:firstLine="640" w:firstLineChars="200"/>
        <w:contextualSpacing/>
        <w:rPr>
          <w:rFonts w:hint="eastAsia" w:ascii="仿宋_GB2312" w:hAnsi="仿宋" w:eastAsia="仿宋_GB2312"/>
          <w:sz w:val="32"/>
          <w:szCs w:val="32"/>
          <w:lang w:eastAsia="zh-CN"/>
        </w:rPr>
      </w:pPr>
      <w:r>
        <w:rPr>
          <w:rFonts w:hint="eastAsia" w:ascii="仿宋_GB2312" w:hAnsi="仿宋" w:eastAsia="仿宋_GB2312"/>
          <w:sz w:val="32"/>
          <w:szCs w:val="32"/>
        </w:rPr>
        <w:t>3、实施主体：</w:t>
      </w:r>
      <w:r>
        <w:rPr>
          <w:rFonts w:hint="eastAsia" w:ascii="仿宋_GB2312" w:hAnsi="仿宋" w:eastAsia="仿宋_GB2312"/>
          <w:sz w:val="32"/>
          <w:szCs w:val="32"/>
          <w:lang w:eastAsia="zh-CN"/>
        </w:rPr>
        <w:t>华池县</w:t>
      </w:r>
      <w:r>
        <w:rPr>
          <w:rFonts w:hint="eastAsia" w:ascii="仿宋_GB2312" w:hAnsi="仿宋" w:eastAsia="仿宋_GB2312"/>
          <w:sz w:val="32"/>
          <w:szCs w:val="32"/>
        </w:rPr>
        <w:t>财政</w:t>
      </w:r>
      <w:r>
        <w:rPr>
          <w:rFonts w:hint="eastAsia" w:ascii="仿宋_GB2312" w:hAnsi="仿宋" w:eastAsia="仿宋_GB2312"/>
          <w:sz w:val="32"/>
          <w:szCs w:val="32"/>
          <w:lang w:eastAsia="zh-CN"/>
        </w:rPr>
        <w:t>局</w:t>
      </w:r>
    </w:p>
    <w:p w14:paraId="64248F49">
      <w:pPr>
        <w:adjustRightInd w:val="0"/>
        <w:snapToGrid w:val="0"/>
        <w:spacing w:line="640" w:lineRule="exact"/>
        <w:ind w:firstLine="640" w:firstLineChars="200"/>
        <w:contextualSpacing/>
        <w:rPr>
          <w:rFonts w:hint="eastAsia" w:ascii="仿宋_GB2312" w:hAnsi="仿宋" w:eastAsia="仿宋_GB2312"/>
          <w:sz w:val="32"/>
          <w:szCs w:val="32"/>
        </w:rPr>
      </w:pPr>
      <w:r>
        <w:rPr>
          <w:rFonts w:hint="eastAsia" w:ascii="仿宋_GB2312" w:hAnsi="仿宋" w:eastAsia="仿宋_GB2312"/>
          <w:sz w:val="32"/>
          <w:szCs w:val="32"/>
        </w:rPr>
        <w:t>4、实施周期：202</w:t>
      </w:r>
      <w:r>
        <w:rPr>
          <w:rFonts w:hint="eastAsia" w:ascii="仿宋_GB2312" w:hAnsi="仿宋" w:eastAsia="仿宋_GB2312"/>
          <w:sz w:val="32"/>
          <w:szCs w:val="32"/>
          <w:lang w:val="en-US" w:eastAsia="zh-CN"/>
        </w:rPr>
        <w:t>6</w:t>
      </w:r>
      <w:r>
        <w:rPr>
          <w:rFonts w:hint="eastAsia" w:ascii="仿宋_GB2312" w:hAnsi="仿宋" w:eastAsia="仿宋_GB2312"/>
          <w:sz w:val="32"/>
          <w:szCs w:val="32"/>
        </w:rPr>
        <w:t xml:space="preserve"> 年 1 月-202</w:t>
      </w:r>
      <w:r>
        <w:rPr>
          <w:rFonts w:hint="eastAsia" w:ascii="仿宋_GB2312" w:hAnsi="仿宋" w:eastAsia="仿宋_GB2312"/>
          <w:sz w:val="32"/>
          <w:szCs w:val="32"/>
          <w:lang w:val="en-US" w:eastAsia="zh-CN"/>
        </w:rPr>
        <w:t>6</w:t>
      </w:r>
      <w:r>
        <w:rPr>
          <w:rFonts w:hint="eastAsia" w:ascii="仿宋_GB2312" w:hAnsi="仿宋" w:eastAsia="仿宋_GB2312"/>
          <w:sz w:val="32"/>
          <w:szCs w:val="32"/>
        </w:rPr>
        <w:t xml:space="preserve"> 年 12 月</w:t>
      </w:r>
    </w:p>
    <w:p w14:paraId="0589DAAF">
      <w:pPr>
        <w:adjustRightInd w:val="0"/>
        <w:snapToGrid w:val="0"/>
        <w:spacing w:line="640" w:lineRule="exact"/>
        <w:ind w:firstLine="640" w:firstLineChars="200"/>
        <w:contextualSpacing/>
        <w:rPr>
          <w:rFonts w:hint="eastAsia" w:ascii="仿宋_GB2312" w:hAnsi="仿宋" w:eastAsia="仿宋_GB2312"/>
          <w:sz w:val="32"/>
          <w:szCs w:val="32"/>
        </w:rPr>
      </w:pPr>
      <w:r>
        <w:rPr>
          <w:rFonts w:hint="eastAsia" w:ascii="仿宋_GB2312" w:hAnsi="仿宋" w:eastAsia="仿宋_GB2312"/>
          <w:sz w:val="32"/>
          <w:szCs w:val="32"/>
        </w:rPr>
        <w:t>5、实施计划：根据202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年厅机关信息化项目实施计划及上年度合同完情况分步组织各项目内容实施，并按照 2025 年项目合同完成进度支付相应款项，确保财政网络安全和信息化项目稳定运行与及时上线。</w:t>
      </w:r>
    </w:p>
    <w:p w14:paraId="1B515335">
      <w:pPr>
        <w:adjustRightInd w:val="0"/>
        <w:snapToGrid w:val="0"/>
        <w:spacing w:line="640" w:lineRule="exact"/>
        <w:ind w:firstLine="640" w:firstLineChars="200"/>
        <w:contextualSpacing/>
        <w:rPr>
          <w:rFonts w:hint="eastAsia" w:ascii="仿宋_GB2312" w:hAnsi="仿宋" w:eastAsia="仿宋_GB2312"/>
          <w:sz w:val="32"/>
          <w:szCs w:val="32"/>
        </w:rPr>
      </w:pPr>
      <w:r>
        <w:rPr>
          <w:rFonts w:hint="eastAsia" w:ascii="仿宋_GB2312" w:hAnsi="仿宋" w:eastAsia="仿宋_GB2312"/>
          <w:sz w:val="32"/>
          <w:szCs w:val="32"/>
        </w:rPr>
        <w:t>6、年度预算安排：</w:t>
      </w:r>
      <w:r>
        <w:rPr>
          <w:rFonts w:hint="eastAsia" w:ascii="仿宋_GB2312" w:hAnsi="仿宋" w:eastAsia="仿宋_GB2312"/>
          <w:sz w:val="32"/>
          <w:szCs w:val="32"/>
          <w:lang w:val="en-US" w:eastAsia="zh-CN"/>
        </w:rPr>
        <w:t>100</w:t>
      </w:r>
      <w:r>
        <w:rPr>
          <w:rFonts w:hint="eastAsia" w:ascii="仿宋_GB2312" w:hAnsi="仿宋" w:eastAsia="仿宋_GB2312"/>
          <w:sz w:val="32"/>
          <w:szCs w:val="32"/>
        </w:rPr>
        <w:t>万元</w:t>
      </w:r>
    </w:p>
    <w:p w14:paraId="041EEE89">
      <w:pPr>
        <w:adjustRightInd w:val="0"/>
        <w:snapToGrid w:val="0"/>
        <w:spacing w:line="640" w:lineRule="exact"/>
        <w:ind w:firstLine="640" w:firstLineChars="200"/>
        <w:contextualSpacing/>
        <w:rPr>
          <w:rFonts w:hint="eastAsia" w:ascii="仿宋_GB2312" w:hAnsi="仿宋" w:eastAsia="仿宋_GB2312"/>
          <w:sz w:val="32"/>
          <w:szCs w:val="32"/>
        </w:rPr>
      </w:pPr>
      <w:r>
        <w:rPr>
          <w:rFonts w:hint="eastAsia" w:ascii="仿宋_GB2312" w:hAnsi="仿宋" w:eastAsia="仿宋_GB2312"/>
          <w:sz w:val="32"/>
          <w:szCs w:val="32"/>
        </w:rPr>
        <w:t>7、预期总体目标：通过实施信息化建设及运行维护项目，保障财政信息基础软硬件设施、财政网络和网站的稳定、安全运行，保障财政各业务系统运行</w:t>
      </w:r>
    </w:p>
    <w:p w14:paraId="51BD7EB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lang w:eastAsia="zh-CN"/>
        </w:rPr>
        <w:t>（</w:t>
      </w:r>
      <w:r>
        <w:rPr>
          <w:rFonts w:hint="eastAsia" w:ascii="楷体_GB2312" w:hAnsi="楷体" w:eastAsia="楷体_GB2312" w:cs="宋体"/>
          <w:b/>
          <w:bCs/>
          <w:kern w:val="0"/>
          <w:sz w:val="32"/>
          <w:szCs w:val="32"/>
        </w:rPr>
        <w:t>四）部门管理转移支付情况</w:t>
      </w:r>
    </w:p>
    <w:p w14:paraId="4AC88024">
      <w:pPr>
        <w:widowControl/>
        <w:adjustRightInd w:val="0"/>
        <w:snapToGrid w:val="0"/>
        <w:spacing w:line="640" w:lineRule="exact"/>
        <w:ind w:firstLine="640" w:firstLineChars="200"/>
        <w:contextualSpacing/>
        <w:jc w:val="left"/>
        <w:rPr>
          <w:rFonts w:hint="eastAsia" w:ascii="仿宋_GB2312" w:hAnsi="仿宋" w:eastAsia="仿宋_GB2312"/>
          <w:sz w:val="32"/>
          <w:szCs w:val="32"/>
          <w:lang w:eastAsia="zh-CN"/>
        </w:rPr>
      </w:pPr>
      <w:r>
        <w:rPr>
          <w:rFonts w:hint="eastAsia" w:ascii="仿宋_GB2312" w:hAnsi="仿宋" w:eastAsia="仿宋_GB2312"/>
          <w:sz w:val="32"/>
          <w:szCs w:val="32"/>
        </w:rPr>
        <w:t>未安排预算，部门/单位管理转移支付表为空表。</w:t>
      </w:r>
    </w:p>
    <w:p w14:paraId="57061121">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（五）国有资本经营预算支出情况</w:t>
      </w:r>
    </w:p>
    <w:p w14:paraId="53D76E9A">
      <w:pPr>
        <w:widowControl/>
        <w:adjustRightInd w:val="0"/>
        <w:snapToGrid w:val="0"/>
        <w:spacing w:line="640" w:lineRule="exact"/>
        <w:ind w:firstLine="640" w:firstLineChars="200"/>
        <w:contextualSpacing/>
        <w:jc w:val="left"/>
        <w:rPr>
          <w:rFonts w:ascii="仿宋_GB2312" w:hAnsi="楷体" w:eastAsia="仿宋_GB2312"/>
          <w:sz w:val="32"/>
          <w:szCs w:val="32"/>
        </w:rPr>
      </w:pPr>
      <w:r>
        <w:rPr>
          <w:rFonts w:hint="eastAsia" w:ascii="仿宋_GB2312" w:hAnsi="楷体" w:eastAsia="仿宋_GB2312"/>
          <w:sz w:val="32"/>
          <w:szCs w:val="32"/>
        </w:rPr>
        <w:t>未安排预算，国有资本经营预算支出情况表为空表。</w:t>
      </w:r>
    </w:p>
    <w:p w14:paraId="1ED9B13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十、预算绩效管理情况</w:t>
      </w:r>
    </w:p>
    <w:p w14:paraId="1C62EBE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5</w:t>
      </w:r>
      <w:r>
        <w:rPr>
          <w:rFonts w:hint="eastAsia" w:ascii="楷体_GB2312" w:hAnsi="楷体" w:eastAsia="楷体_GB2312" w:cs="宋体"/>
          <w:b/>
          <w:bCs/>
          <w:kern w:val="0"/>
          <w:sz w:val="32"/>
          <w:szCs w:val="32"/>
        </w:rPr>
        <w:t>年预算绩效管理工作情况。</w:t>
      </w:r>
    </w:p>
    <w:p w14:paraId="5B5CCF1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按照《中共中央 国务院关于全面实施预算绩效管理的意见》《中共甘肃省委 甘肃省人民政府关于全面实施预算绩效管理的实施意见》等相关要求，我们将绩效理念和方法融入预算编制、执行、决算和监督全过程认真开展各项工作。</w:t>
      </w:r>
    </w:p>
    <w:p w14:paraId="545CA32B">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1.绩效目标管理情况。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年度，按照“谁申请资金，谁设置目标”的原则，纳入部门预算管理的</w:t>
      </w:r>
      <w:r>
        <w:rPr>
          <w:rFonts w:hint="eastAsia" w:ascii="仿宋_GB2312" w:hAnsi="CIDFont+F6" w:eastAsia="仿宋_GB2312"/>
          <w:color w:val="000000"/>
          <w:sz w:val="32"/>
          <w:szCs w:val="32"/>
        </w:rPr>
        <w:t>部门/单位</w:t>
      </w:r>
      <w:r>
        <w:rPr>
          <w:rFonts w:hint="eastAsia" w:ascii="仿宋_GB2312" w:hAnsi="仿宋" w:eastAsia="仿宋_GB2312"/>
          <w:sz w:val="32"/>
          <w:szCs w:val="32"/>
        </w:rPr>
        <w:t xml:space="preserve">整体支出和项目绩效目标   个，按规定随年度预算一并公开项目 </w:t>
      </w:r>
      <w:r>
        <w:rPr>
          <w:rFonts w:hint="eastAsia" w:ascii="仿宋_GB2312" w:hAnsi="仿宋" w:eastAsia="仿宋_GB2312"/>
          <w:sz w:val="32"/>
          <w:szCs w:val="32"/>
          <w:lang w:val="en-US" w:eastAsia="zh-CN"/>
        </w:rPr>
        <w:t>3</w:t>
      </w:r>
      <w:r>
        <w:rPr>
          <w:rFonts w:hint="eastAsia" w:ascii="仿宋_GB2312" w:hAnsi="仿宋" w:eastAsia="仿宋_GB2312"/>
          <w:sz w:val="32"/>
          <w:szCs w:val="32"/>
        </w:rPr>
        <w:t>个，公开率为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5C9D740F">
      <w:pPr>
        <w:keepNext w:val="0"/>
        <w:keepLines w:val="0"/>
        <w:pageBreakBefore w:val="0"/>
        <w:widowControl/>
        <w:kinsoku/>
        <w:wordWrap/>
        <w:overflowPunct/>
        <w:topLinePunct w:val="0"/>
        <w:autoSpaceDE/>
        <w:autoSpaceDN/>
        <w:bidi w:val="0"/>
        <w:adjustRightInd w:val="0"/>
        <w:snapToGrid w:val="0"/>
        <w:spacing w:line="600" w:lineRule="exact"/>
        <w:ind w:firstLine="643" w:firstLineChars="200"/>
        <w:contextualSpacing/>
        <w:jc w:val="left"/>
        <w:textAlignment w:val="auto"/>
        <w:rPr>
          <w:rFonts w:ascii="仿宋_GB2312" w:hAnsi="仿宋" w:eastAsia="仿宋_GB2312"/>
          <w:sz w:val="32"/>
          <w:szCs w:val="32"/>
        </w:rPr>
      </w:pPr>
      <w:r>
        <w:rPr>
          <w:rFonts w:hint="eastAsia" w:ascii="仿宋_GB2312" w:hAnsi="仿宋" w:eastAsia="仿宋_GB2312"/>
          <w:b/>
          <w:sz w:val="32"/>
          <w:szCs w:val="32"/>
        </w:rPr>
        <w:t>2.绩效运行监控情况。</w:t>
      </w: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 xml:space="preserve">年7月，组织开展1-6月绩效运行监控项目  </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个，占本</w:t>
      </w:r>
      <w:r>
        <w:rPr>
          <w:rFonts w:hint="eastAsia" w:ascii="仿宋_GB2312" w:hAnsi="CIDFont+F6" w:eastAsia="仿宋_GB2312"/>
          <w:color w:val="000000"/>
          <w:sz w:val="32"/>
          <w:szCs w:val="32"/>
        </w:rPr>
        <w:t>部门/单位</w:t>
      </w:r>
      <w:r>
        <w:rPr>
          <w:rFonts w:hint="eastAsia" w:ascii="仿宋_GB2312" w:hAnsi="仿宋" w:eastAsia="仿宋_GB2312"/>
          <w:sz w:val="32"/>
          <w:szCs w:val="32"/>
        </w:rPr>
        <w:t xml:space="preserve">项目的 </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%。截至7月底，如期完成预算执行和绩效目标指标值的项目 </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个，完成率为  </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%。“双监控”发现存在的问题和主要原因是：</w:t>
      </w:r>
      <w:r>
        <w:rPr>
          <w:rFonts w:hint="eastAsia" w:ascii="仿宋_GB2312" w:hAnsi="仿宋" w:eastAsia="仿宋_GB2312"/>
          <w:sz w:val="32"/>
          <w:szCs w:val="32"/>
          <w:lang w:eastAsia="zh-CN"/>
        </w:rPr>
        <w:t>无</w:t>
      </w:r>
      <w:r>
        <w:rPr>
          <w:rFonts w:hint="eastAsia" w:ascii="仿宋_GB2312" w:hAnsi="仿宋" w:eastAsia="仿宋_GB2312"/>
          <w:sz w:val="32"/>
          <w:szCs w:val="32"/>
        </w:rPr>
        <w:t>。开展1-9月绩效运行监控项目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个，占本部门（单位）项目的</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%。截至10月底，如期完成预算执行和绩效目标指标值的项目 </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个，完成率为 </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%。“双监控”发现存在的问题和主要原因是：</w:t>
      </w:r>
      <w:r>
        <w:rPr>
          <w:rFonts w:hint="eastAsia" w:ascii="仿宋_GB2312" w:hAnsi="仿宋" w:eastAsia="仿宋_GB2312"/>
          <w:sz w:val="32"/>
          <w:szCs w:val="32"/>
          <w:lang w:eastAsia="zh-CN"/>
        </w:rPr>
        <w:t>无</w:t>
      </w:r>
      <w:r>
        <w:rPr>
          <w:rFonts w:hint="eastAsia" w:ascii="仿宋_GB2312" w:hAnsi="仿宋" w:eastAsia="仿宋_GB2312"/>
          <w:sz w:val="32"/>
          <w:szCs w:val="32"/>
        </w:rPr>
        <w:t>。绩效运行监控在部门内部通报整改情况：</w:t>
      </w:r>
      <w:r>
        <w:rPr>
          <w:rFonts w:hint="eastAsia" w:ascii="仿宋_GB2312" w:hAnsi="仿宋" w:eastAsia="仿宋_GB2312"/>
          <w:sz w:val="32"/>
          <w:szCs w:val="32"/>
          <w:lang w:eastAsia="zh-CN"/>
        </w:rPr>
        <w:t>无</w:t>
      </w:r>
      <w:r>
        <w:rPr>
          <w:rFonts w:hint="eastAsia" w:ascii="仿宋_GB2312" w:hAnsi="仿宋" w:eastAsia="仿宋_GB2312"/>
          <w:sz w:val="32"/>
          <w:szCs w:val="32"/>
        </w:rPr>
        <w:t>。</w:t>
      </w:r>
    </w:p>
    <w:p w14:paraId="2907FC18">
      <w:pPr>
        <w:widowControl/>
        <w:adjustRightInd w:val="0"/>
        <w:snapToGrid w:val="0"/>
        <w:spacing w:line="640" w:lineRule="exact"/>
        <w:ind w:firstLine="643" w:firstLineChars="200"/>
        <w:contextualSpacing/>
        <w:jc w:val="left"/>
        <w:rPr>
          <w:rFonts w:hint="eastAsia" w:ascii="仿宋_GB2312" w:hAnsi="仿宋" w:eastAsia="仿宋_GB2312"/>
          <w:sz w:val="32"/>
          <w:szCs w:val="32"/>
        </w:rPr>
      </w:pPr>
      <w:r>
        <w:rPr>
          <w:rFonts w:hint="eastAsia" w:ascii="仿宋_GB2312" w:hAnsi="仿宋" w:eastAsia="仿宋_GB2312"/>
          <w:b/>
          <w:sz w:val="32"/>
          <w:szCs w:val="32"/>
        </w:rPr>
        <w:t>3.绩效自评开展情况。</w:t>
      </w:r>
      <w:r>
        <w:rPr>
          <w:rFonts w:hint="eastAsia" w:ascii="仿宋_GB2312" w:hAnsi="仿宋" w:eastAsia="仿宋_GB2312"/>
          <w:sz w:val="32"/>
          <w:szCs w:val="32"/>
        </w:rPr>
        <w:t>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年度，组织开展绩效自评项目共</w:t>
      </w:r>
      <w:r>
        <w:rPr>
          <w:rFonts w:hint="eastAsia" w:ascii="仿宋_GB2312" w:hAnsi="仿宋" w:eastAsia="仿宋_GB2312"/>
          <w:sz w:val="32"/>
          <w:szCs w:val="32"/>
          <w:lang w:val="en-US" w:eastAsia="zh-CN"/>
        </w:rPr>
        <w:t>3</w:t>
      </w:r>
      <w:r>
        <w:rPr>
          <w:rFonts w:hint="eastAsia" w:ascii="仿宋_GB2312" w:hAnsi="仿宋" w:eastAsia="仿宋_GB2312"/>
          <w:sz w:val="32"/>
          <w:szCs w:val="32"/>
        </w:rPr>
        <w:t xml:space="preserve">   个，其中，部门（单位）整体支出 </w:t>
      </w:r>
      <w:r>
        <w:rPr>
          <w:rFonts w:hint="eastAsia" w:ascii="仿宋_GB2312" w:hAnsi="仿宋" w:eastAsia="仿宋_GB2312"/>
          <w:sz w:val="32"/>
          <w:szCs w:val="32"/>
          <w:lang w:val="en-US" w:eastAsia="zh-CN"/>
        </w:rPr>
        <w:t>1</w:t>
      </w:r>
      <w:r>
        <w:rPr>
          <w:rFonts w:hint="eastAsia" w:ascii="仿宋_GB2312" w:hAnsi="仿宋" w:eastAsia="仿宋_GB2312"/>
          <w:sz w:val="32"/>
          <w:szCs w:val="32"/>
        </w:rPr>
        <w:t xml:space="preserve"> 个，项目支出  </w:t>
      </w:r>
      <w:r>
        <w:rPr>
          <w:rFonts w:hint="eastAsia" w:ascii="仿宋_GB2312" w:hAnsi="仿宋" w:eastAsia="仿宋_GB2312"/>
          <w:sz w:val="32"/>
          <w:szCs w:val="32"/>
          <w:lang w:val="en-US" w:eastAsia="zh-CN"/>
        </w:rPr>
        <w:t>3</w:t>
      </w:r>
      <w:r>
        <w:rPr>
          <w:rFonts w:hint="eastAsia" w:ascii="仿宋_GB2312" w:hAnsi="仿宋" w:eastAsia="仿宋_GB2312"/>
          <w:sz w:val="32"/>
          <w:szCs w:val="32"/>
        </w:rPr>
        <w:t xml:space="preserve">个，转移支付项目 </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个，绩效自评覆盖率为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%。绩效自评结果随部门决算报送财政和随决算公开情况：</w:t>
      </w:r>
      <w:r>
        <w:rPr>
          <w:rFonts w:hint="eastAsia" w:ascii="仿宋_GB2312" w:hAnsi="仿宋" w:eastAsia="仿宋_GB2312"/>
          <w:sz w:val="32"/>
          <w:szCs w:val="32"/>
          <w:lang w:eastAsia="zh-CN"/>
        </w:rPr>
        <w:t>依法全部公开</w:t>
      </w:r>
      <w:r>
        <w:rPr>
          <w:rFonts w:hint="eastAsia" w:ascii="仿宋_GB2312" w:hAnsi="仿宋" w:eastAsia="仿宋_GB2312"/>
          <w:sz w:val="32"/>
          <w:szCs w:val="32"/>
        </w:rPr>
        <w:t>。</w:t>
      </w:r>
    </w:p>
    <w:p w14:paraId="1B5CB531">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4.绩效结果应用情况。</w:t>
      </w:r>
      <w:r>
        <w:rPr>
          <w:rFonts w:hint="eastAsia" w:ascii="仿宋_GB2312" w:hAnsi="仿宋" w:eastAsia="仿宋_GB2312"/>
          <w:sz w:val="32"/>
          <w:szCs w:val="32"/>
        </w:rPr>
        <w:t>根据</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 xml:space="preserve">年度绩效运行监控、绩效自评等情况，当年盘活财政资金  </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年度增加（减少）部门预算项目</w:t>
      </w:r>
      <w:r>
        <w:rPr>
          <w:rFonts w:hint="eastAsia" w:ascii="仿宋_GB2312" w:hAnsi="仿宋" w:eastAsia="仿宋_GB2312"/>
          <w:sz w:val="32"/>
          <w:szCs w:val="32"/>
          <w:lang w:val="en-US" w:eastAsia="zh-CN"/>
        </w:rPr>
        <w:t>3</w:t>
      </w:r>
      <w:r>
        <w:rPr>
          <w:rFonts w:hint="eastAsia" w:ascii="仿宋_GB2312" w:hAnsi="仿宋" w:eastAsia="仿宋_GB2312"/>
          <w:sz w:val="32"/>
          <w:szCs w:val="32"/>
        </w:rPr>
        <w:t xml:space="preserve">个，增长率 </w:t>
      </w:r>
      <w:r>
        <w:rPr>
          <w:rFonts w:hint="eastAsia" w:ascii="仿宋_GB2312" w:hAnsi="仿宋" w:eastAsia="仿宋_GB2312"/>
          <w:sz w:val="32"/>
          <w:szCs w:val="32"/>
          <w:lang w:val="en-US" w:eastAsia="zh-CN"/>
        </w:rPr>
        <w:t>167</w:t>
      </w:r>
      <w:r>
        <w:rPr>
          <w:rFonts w:hint="eastAsia" w:ascii="仿宋_GB2312" w:hAnsi="仿宋" w:eastAsia="仿宋_GB2312"/>
          <w:sz w:val="32"/>
          <w:szCs w:val="32"/>
        </w:rPr>
        <w:t>%。同时对政策和项目资金管理作出调整的</w:t>
      </w:r>
      <w:r>
        <w:rPr>
          <w:rFonts w:hint="eastAsia" w:ascii="仿宋_GB2312" w:hAnsi="仿宋" w:eastAsia="仿宋_GB2312"/>
          <w:sz w:val="32"/>
          <w:szCs w:val="32"/>
          <w:lang w:val="en-US" w:eastAsia="zh-CN"/>
        </w:rPr>
        <w:t>1</w:t>
      </w:r>
      <w:r>
        <w:rPr>
          <w:rFonts w:hint="eastAsia" w:ascii="仿宋_GB2312" w:hAnsi="仿宋" w:eastAsia="仿宋_GB2312"/>
          <w:sz w:val="32"/>
          <w:szCs w:val="32"/>
        </w:rPr>
        <w:t>个。</w:t>
      </w:r>
    </w:p>
    <w:p w14:paraId="7067FDF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6</w:t>
      </w:r>
      <w:r>
        <w:rPr>
          <w:rFonts w:hint="eastAsia" w:ascii="楷体_GB2312" w:hAnsi="楷体" w:eastAsia="楷体_GB2312" w:cs="宋体"/>
          <w:b/>
          <w:bCs/>
          <w:kern w:val="0"/>
          <w:sz w:val="32"/>
          <w:szCs w:val="32"/>
        </w:rPr>
        <w:t>年绩效目标编制情况</w:t>
      </w:r>
    </w:p>
    <w:p w14:paraId="5ED3C404">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 xml:space="preserve">年，纳入部门/单位预算绩效目标管理的项目 </w:t>
      </w:r>
      <w:r>
        <w:rPr>
          <w:rFonts w:hint="eastAsia" w:ascii="仿宋_GB2312" w:hAnsi="仿宋" w:eastAsia="仿宋_GB2312"/>
          <w:sz w:val="32"/>
          <w:szCs w:val="32"/>
          <w:lang w:val="en-US" w:eastAsia="zh-CN"/>
        </w:rPr>
        <w:t>3</w:t>
      </w:r>
      <w:r>
        <w:rPr>
          <w:rFonts w:hint="eastAsia" w:ascii="仿宋_GB2312" w:hAnsi="仿宋" w:eastAsia="仿宋_GB2312"/>
          <w:sz w:val="32"/>
          <w:szCs w:val="32"/>
        </w:rPr>
        <w:t>个。其中，部门整体支出绩效目标围绕部门管理、履职效果、能力建设三个维度，设置二级指标</w:t>
      </w:r>
      <w:r>
        <w:rPr>
          <w:rFonts w:hint="eastAsia" w:ascii="仿宋_GB2312" w:hAnsi="仿宋" w:eastAsia="仿宋_GB2312"/>
          <w:sz w:val="32"/>
          <w:szCs w:val="32"/>
          <w:lang w:val="en-US" w:eastAsia="zh-CN"/>
        </w:rPr>
        <w:t>6</w:t>
      </w:r>
      <w:r>
        <w:rPr>
          <w:rFonts w:hint="eastAsia" w:ascii="仿宋_GB2312" w:hAnsi="仿宋" w:eastAsia="仿宋_GB2312"/>
          <w:sz w:val="32"/>
          <w:szCs w:val="32"/>
        </w:rPr>
        <w:t xml:space="preserve">个、三级指标 </w:t>
      </w:r>
      <w:r>
        <w:rPr>
          <w:rFonts w:hint="eastAsia" w:ascii="仿宋_GB2312" w:hAnsi="仿宋" w:eastAsia="仿宋_GB2312"/>
          <w:sz w:val="32"/>
          <w:szCs w:val="32"/>
          <w:lang w:val="en-US" w:eastAsia="zh-CN"/>
        </w:rPr>
        <w:t>12</w:t>
      </w:r>
      <w:r>
        <w:rPr>
          <w:rFonts w:hint="eastAsia" w:ascii="仿宋_GB2312" w:hAnsi="仿宋" w:eastAsia="仿宋_GB2312"/>
          <w:sz w:val="32"/>
          <w:szCs w:val="32"/>
        </w:rPr>
        <w:t>个；项目支出绩效目标围绕成本指标、产出指标、效益指标、满意度指标四个维度，设置二级指标</w:t>
      </w:r>
      <w:r>
        <w:rPr>
          <w:rFonts w:hint="eastAsia" w:ascii="仿宋_GB2312" w:hAnsi="仿宋" w:eastAsia="仿宋_GB2312"/>
          <w:sz w:val="32"/>
          <w:szCs w:val="32"/>
          <w:lang w:val="en-US" w:eastAsia="zh-CN"/>
        </w:rPr>
        <w:t>6</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12</w:t>
      </w:r>
      <w:bookmarkStart w:id="0" w:name="_GoBack"/>
      <w:bookmarkEnd w:id="0"/>
      <w:r>
        <w:rPr>
          <w:rFonts w:hint="eastAsia" w:ascii="仿宋_GB2312" w:hAnsi="仿宋" w:eastAsia="仿宋_GB2312"/>
          <w:sz w:val="32"/>
          <w:szCs w:val="32"/>
        </w:rPr>
        <w:t>个。各项绩效目标内容指向明确、细化量化、合理可行，符合规定的格式要求。</w:t>
      </w:r>
    </w:p>
    <w:p w14:paraId="1B6BE29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14:paraId="476EBD1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14:paraId="4CC6C57A">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14:paraId="7908A71B">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14:paraId="4CE172D2">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14:paraId="6D5803A7">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14:paraId="696C919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rPr>
        <w:t>部门（单位）支出预算的组成部分，是各部门（单位）为完成其特定的行政任务或事业发展目标，在基本支出预算之外编制的年度项目支出计划。</w:t>
      </w:r>
    </w:p>
    <w:p w14:paraId="3E4D9AA1">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4CA7FF0F">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49B31ED0">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w:t>
      </w:r>
    </w:p>
    <w:p w14:paraId="460CD359">
      <w:pPr>
        <w:adjustRightInd w:val="0"/>
        <w:snapToGrid w:val="0"/>
        <w:spacing w:line="640" w:lineRule="exact"/>
        <w:ind w:firstLine="640" w:firstLineChars="200"/>
        <w:contextualSpacing/>
        <w:rPr>
          <w:rFonts w:hint="eastAsia" w:ascii="仿宋_GB2312" w:hAnsi="CIDFont+F6" w:eastAsia="仿宋_GB2312"/>
          <w:color w:val="000000"/>
          <w:sz w:val="32"/>
          <w:szCs w:val="32"/>
        </w:rPr>
      </w:pPr>
    </w:p>
    <w:p w14:paraId="2FC9AB6B">
      <w:pPr>
        <w:adjustRightInd w:val="0"/>
        <w:snapToGrid w:val="0"/>
        <w:spacing w:line="640" w:lineRule="exact"/>
        <w:ind w:firstLine="643" w:firstLineChars="200"/>
        <w:contextualSpacing/>
        <w:rPr>
          <w:rFonts w:hint="eastAsia" w:ascii="仿宋_GB2312" w:hAnsi="CIDFont+F4" w:eastAsia="仿宋_GB2312"/>
          <w:b/>
          <w:color w:val="000000"/>
          <w:sz w:val="32"/>
          <w:szCs w:val="32"/>
        </w:rPr>
      </w:pPr>
      <w:r>
        <w:rPr>
          <w:rFonts w:hint="eastAsia" w:ascii="仿宋_GB2312" w:hAnsi="CIDFont+F4" w:eastAsia="仿宋_GB2312"/>
          <w:b/>
          <w:color w:val="000000"/>
          <w:sz w:val="32"/>
          <w:szCs w:val="32"/>
        </w:rPr>
        <w:t>（请部门/单位对编制中涉及的专业名词进行补充解释）</w:t>
      </w:r>
    </w:p>
    <w:p w14:paraId="18C50624">
      <w:pPr>
        <w:adjustRightInd w:val="0"/>
        <w:snapToGrid w:val="0"/>
        <w:spacing w:line="640" w:lineRule="exact"/>
        <w:contextualSpacing/>
        <w:jc w:val="right"/>
        <w:rPr>
          <w:rFonts w:hint="eastAsia" w:ascii="仿宋_GB2312" w:hAnsi="CIDFont+F6" w:eastAsia="仿宋_GB2312"/>
          <w:color w:val="000000"/>
          <w:sz w:val="32"/>
          <w:szCs w:val="32"/>
        </w:rPr>
      </w:pPr>
    </w:p>
    <w:p w14:paraId="453FCEBD">
      <w:pPr>
        <w:adjustRightInd w:val="0"/>
        <w:snapToGrid w:val="0"/>
        <w:spacing w:line="640" w:lineRule="exact"/>
        <w:contextualSpacing/>
        <w:jc w:val="right"/>
        <w:rPr>
          <w:rFonts w:hint="eastAsia" w:ascii="仿宋_GB2312" w:hAnsi="CIDFont+F6" w:eastAsia="仿宋_GB2312"/>
          <w:color w:val="000000"/>
          <w:sz w:val="32"/>
          <w:szCs w:val="32"/>
        </w:rPr>
      </w:pPr>
    </w:p>
    <w:p w14:paraId="7BF108C1">
      <w:pPr>
        <w:adjustRightInd w:val="0"/>
        <w:snapToGrid w:val="0"/>
        <w:spacing w:line="640" w:lineRule="exact"/>
        <w:ind w:right="960"/>
        <w:contextualSpacing/>
        <w:jc w:val="right"/>
        <w:rPr>
          <w:rFonts w:hint="eastAsia" w:ascii="仿宋_GB2312" w:hAnsi="CIDFont+F6" w:eastAsia="仿宋_GB2312"/>
          <w:color w:val="000000"/>
          <w:sz w:val="32"/>
          <w:szCs w:val="32"/>
        </w:rPr>
      </w:pPr>
      <w:r>
        <w:rPr>
          <w:rFonts w:hint="eastAsia" w:ascii="仿宋_GB2312" w:hAnsi="CIDFont+F6" w:eastAsia="仿宋_GB2312"/>
          <w:color w:val="000000"/>
          <w:sz w:val="32"/>
          <w:szCs w:val="32"/>
        </w:rPr>
        <w:t>××部门/单位</w:t>
      </w:r>
    </w:p>
    <w:p w14:paraId="77E85168">
      <w:pPr>
        <w:adjustRightInd w:val="0"/>
        <w:snapToGrid w:val="0"/>
        <w:spacing w:line="640" w:lineRule="exact"/>
        <w:ind w:right="1120"/>
        <w:contextualSpacing/>
        <w:jc w:val="right"/>
        <w:rPr>
          <w:rFonts w:ascii="仿宋_GB2312" w:eastAsia="仿宋_GB2312"/>
          <w:sz w:val="32"/>
          <w:szCs w:val="32"/>
        </w:rPr>
      </w:pPr>
      <w:r>
        <w:rPr>
          <w:rFonts w:hint="eastAsia" w:ascii="仿宋_GB2312" w:hAnsi="CIDFont+F6" w:eastAsia="仿宋_GB2312"/>
          <w:color w:val="000000"/>
          <w:sz w:val="32"/>
          <w:szCs w:val="32"/>
        </w:rPr>
        <w:t>年  月  日</w:t>
      </w:r>
    </w:p>
    <w:p w14:paraId="104DAE91">
      <w:pPr>
        <w:adjustRightInd w:val="0"/>
        <w:snapToGrid w:val="0"/>
        <w:spacing w:line="640" w:lineRule="exact"/>
        <w:ind w:firstLine="640" w:firstLineChars="200"/>
        <w:contextualSpacing/>
        <w:rPr>
          <w:rFonts w:ascii="仿宋_GB2312" w:hAnsi="宋体" w:eastAsia="仿宋_GB2312" w:cs="宋体"/>
          <w:kern w:val="0"/>
          <w:sz w:val="32"/>
          <w:szCs w:val="32"/>
        </w:rPr>
      </w:pPr>
    </w:p>
    <w:p w14:paraId="0358EE45">
      <w:pPr>
        <w:adjustRightInd w:val="0"/>
        <w:snapToGrid w:val="0"/>
        <w:spacing w:line="640" w:lineRule="exact"/>
        <w:ind w:firstLine="640" w:firstLineChars="200"/>
        <w:contextualSpacing/>
        <w:rPr>
          <w:rFonts w:ascii="仿宋_GB2312" w:hAnsi="宋体" w:eastAsia="仿宋_GB2312" w:cs="宋体"/>
          <w:spacing w:val="-20"/>
          <w:kern w:val="0"/>
          <w:sz w:val="32"/>
          <w:szCs w:val="32"/>
        </w:rPr>
      </w:pPr>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1.××</w:t>
      </w:r>
      <w:r>
        <w:rPr>
          <w:rFonts w:hint="eastAsia" w:ascii="仿宋_GB2312" w:hAnsi="CIDFont+F6" w:eastAsia="仿宋_GB2312"/>
          <w:color w:val="000000"/>
          <w:sz w:val="32"/>
          <w:szCs w:val="32"/>
        </w:rPr>
        <w:t>部门/单位</w:t>
      </w:r>
      <w:r>
        <w:rPr>
          <w:rFonts w:hint="eastAsia" w:ascii="仿宋_GB2312" w:hAnsi="宋体" w:eastAsia="仿宋_GB2312" w:cs="宋体"/>
          <w:spacing w:val="-20"/>
          <w:kern w:val="0"/>
          <w:sz w:val="32"/>
          <w:szCs w:val="32"/>
        </w:rPr>
        <w:t xml:space="preserve">名称 </w:t>
      </w:r>
      <w:r>
        <w:rPr>
          <w:rFonts w:hint="eastAsia" w:ascii="仿宋_GB2312" w:hAnsi="宋体" w:eastAsia="仿宋_GB2312" w:cs="宋体"/>
          <w:spacing w:val="-20"/>
          <w:kern w:val="0"/>
          <w:sz w:val="32"/>
          <w:szCs w:val="32"/>
          <w:lang w:eastAsia="zh-CN"/>
        </w:rPr>
        <w:t>202</w:t>
      </w:r>
      <w:r>
        <w:rPr>
          <w:rFonts w:hint="eastAsia" w:ascii="仿宋_GB2312" w:hAnsi="宋体" w:eastAsia="仿宋_GB2312" w:cs="宋体"/>
          <w:spacing w:val="-20"/>
          <w:kern w:val="0"/>
          <w:sz w:val="32"/>
          <w:szCs w:val="32"/>
          <w:lang w:val="en-US" w:eastAsia="zh-CN"/>
        </w:rPr>
        <w:t>6</w:t>
      </w:r>
      <w:r>
        <w:rPr>
          <w:rFonts w:hint="eastAsia" w:ascii="仿宋_GB2312" w:hAnsi="宋体" w:eastAsia="仿宋_GB2312" w:cs="宋体"/>
          <w:spacing w:val="-20"/>
          <w:kern w:val="0"/>
          <w:sz w:val="32"/>
          <w:szCs w:val="32"/>
        </w:rPr>
        <w:t>年</w:t>
      </w:r>
      <w:r>
        <w:rPr>
          <w:rFonts w:hint="eastAsia" w:ascii="仿宋_GB2312" w:hAnsi="CIDFont+F6" w:eastAsia="仿宋_GB2312"/>
          <w:color w:val="000000"/>
          <w:sz w:val="32"/>
          <w:szCs w:val="32"/>
        </w:rPr>
        <w:t>部门/单位</w:t>
      </w:r>
      <w:r>
        <w:rPr>
          <w:rFonts w:hint="eastAsia" w:ascii="仿宋_GB2312" w:hAnsi="宋体" w:eastAsia="仿宋_GB2312" w:cs="宋体"/>
          <w:spacing w:val="-20"/>
          <w:kern w:val="0"/>
          <w:sz w:val="32"/>
          <w:szCs w:val="32"/>
        </w:rPr>
        <w:t>预算公开表</w:t>
      </w:r>
    </w:p>
    <w:p w14:paraId="4E90257E">
      <w:pPr>
        <w:adjustRightInd w:val="0"/>
        <w:snapToGrid w:val="0"/>
        <w:spacing w:line="640" w:lineRule="exact"/>
        <w:ind w:left="1796" w:leftChars="767" w:hanging="185" w:hangingChars="58"/>
        <w:contextualSpacing/>
        <w:rPr>
          <w:rFonts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CIDFont+F6" w:eastAsia="仿宋_GB2312"/>
          <w:color w:val="000000"/>
          <w:sz w:val="32"/>
          <w:szCs w:val="32"/>
        </w:rPr>
        <w:t>部门/单位</w:t>
      </w:r>
      <w:r>
        <w:rPr>
          <w:rFonts w:hint="eastAsia" w:ascii="仿宋_GB2312" w:hAnsi="宋体" w:eastAsia="仿宋_GB2312" w:cs="宋体"/>
          <w:kern w:val="0"/>
          <w:sz w:val="32"/>
          <w:szCs w:val="32"/>
        </w:rPr>
        <w:t xml:space="preserve">名称 </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CIDFont+F6" w:eastAsia="仿宋_GB2312"/>
          <w:color w:val="000000"/>
          <w:sz w:val="32"/>
          <w:szCs w:val="32"/>
        </w:rPr>
        <w:t>部门/单位</w:t>
      </w:r>
      <w:r>
        <w:rPr>
          <w:rFonts w:hint="eastAsia" w:ascii="仿宋_GB2312" w:hAnsi="宋体" w:eastAsia="仿宋_GB2312" w:cs="宋体"/>
          <w:kern w:val="0"/>
          <w:sz w:val="32"/>
          <w:szCs w:val="32"/>
        </w:rPr>
        <w:t>整体支出绩效目标及预算项目绩效目标表</w:t>
      </w:r>
    </w:p>
    <w:p w14:paraId="22DB4760">
      <w:pPr>
        <w:tabs>
          <w:tab w:val="left" w:pos="1272"/>
        </w:tabs>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DejaVu Sans">
    <w:altName w:val="Segoe Print"/>
    <w:panose1 w:val="020B0603030804020204"/>
    <w:charset w:val="00"/>
    <w:family w:val="auto"/>
    <w:pitch w:val="default"/>
    <w:sig w:usb0="00000000" w:usb1="00000000" w:usb2="0A246029" w:usb3="0400200C" w:csb0="600001FF" w:csb1="DFFF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方正楷体_GBK">
    <w:altName w:val="微软雅黑"/>
    <w:panose1 w:val="02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TimesNewRomanPS-BoldMT">
    <w:altName w:val="AMGDT"/>
    <w:panose1 w:val="00000000000000000000"/>
    <w:charset w:val="00"/>
    <w:family w:val="roman"/>
    <w:pitch w:val="default"/>
    <w:sig w:usb0="00000000" w:usb1="00000000" w:usb2="00000000" w:usb3="00000000" w:csb0="00000000" w:csb1="00000000"/>
  </w:font>
  <w:font w:name="CIDFont+F6">
    <w:altName w:val="AMGDT"/>
    <w:panose1 w:val="00000000000000000000"/>
    <w:charset w:val="00"/>
    <w:family w:val="roman"/>
    <w:pitch w:val="default"/>
    <w:sig w:usb0="00000000" w:usb1="00000000" w:usb2="00000000" w:usb3="00000000" w:csb0="00000000" w:csb1="00000000"/>
  </w:font>
  <w:font w:name="国标仿宋">
    <w:altName w:val="仿宋"/>
    <w:panose1 w:val="02000500000000000000"/>
    <w:charset w:val="86"/>
    <w:family w:val="auto"/>
    <w:pitch w:val="default"/>
    <w:sig w:usb0="00000000" w:usb1="00000000" w:usb2="00000016" w:usb3="00000000" w:csb0="00060007" w:csb1="00000000"/>
  </w:font>
  <w:font w:name="CIDFont+F4">
    <w:altName w:val="AMGD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MGDT">
    <w:panose1 w:val="02000400000000000000"/>
    <w:charset w:val="00"/>
    <w:family w:val="auto"/>
    <w:pitch w:val="default"/>
    <w:sig w:usb0="80000003"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BF69E">
    <w:pPr>
      <w:pStyle w:val="5"/>
      <w:jc w:val="center"/>
    </w:pPr>
  </w:p>
  <w:p w14:paraId="18AFAB9B">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854A">
    <w:pPr>
      <w:pStyle w:val="5"/>
      <w:jc w:val="center"/>
    </w:pPr>
    <w:r>
      <w:fldChar w:fldCharType="begin"/>
    </w:r>
    <w:r>
      <w:instrText xml:space="preserve">PAGE   \* MERGEFORMAT</w:instrText>
    </w:r>
    <w:r>
      <w:fldChar w:fldCharType="separate"/>
    </w:r>
    <w:r>
      <w:rPr>
        <w:lang w:val="zh-CN"/>
      </w:rPr>
      <w:t>27</w:t>
    </w:r>
    <w:r>
      <w:fldChar w:fldCharType="end"/>
    </w:r>
  </w:p>
  <w:p w14:paraId="7F222DAC">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2B64C24"/>
    <w:rsid w:val="02E03DF9"/>
    <w:rsid w:val="09CE4B65"/>
    <w:rsid w:val="0B980BE5"/>
    <w:rsid w:val="113741D2"/>
    <w:rsid w:val="11B8322E"/>
    <w:rsid w:val="15AE5958"/>
    <w:rsid w:val="167F7184"/>
    <w:rsid w:val="18330BA7"/>
    <w:rsid w:val="189D5A8C"/>
    <w:rsid w:val="1A584361"/>
    <w:rsid w:val="1B9B69A8"/>
    <w:rsid w:val="1D34261E"/>
    <w:rsid w:val="20CD5E3C"/>
    <w:rsid w:val="26B62FC3"/>
    <w:rsid w:val="29C410CB"/>
    <w:rsid w:val="2F02593F"/>
    <w:rsid w:val="2FAE0FC6"/>
    <w:rsid w:val="37491867"/>
    <w:rsid w:val="42A05423"/>
    <w:rsid w:val="4A94503B"/>
    <w:rsid w:val="4C433C79"/>
    <w:rsid w:val="4FFC5CA4"/>
    <w:rsid w:val="527E074E"/>
    <w:rsid w:val="52D660AA"/>
    <w:rsid w:val="56393C72"/>
    <w:rsid w:val="579503FF"/>
    <w:rsid w:val="594D78EF"/>
    <w:rsid w:val="60535296"/>
    <w:rsid w:val="648D6791"/>
    <w:rsid w:val="64E66034"/>
    <w:rsid w:val="656055FA"/>
    <w:rsid w:val="661C136B"/>
    <w:rsid w:val="6F5002D8"/>
    <w:rsid w:val="72FD2525"/>
    <w:rsid w:val="78106856"/>
    <w:rsid w:val="FF7FF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9">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autoRedefine/>
    <w:qFormat/>
    <w:uiPriority w:val="0"/>
    <w:pPr>
      <w:jc w:val="left"/>
    </w:pPr>
  </w:style>
  <w:style w:type="paragraph" w:styleId="4">
    <w:name w:val="Balloon Text"/>
    <w:basedOn w:val="1"/>
    <w:link w:val="15"/>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9"/>
    <w:autoRedefine/>
    <w:qFormat/>
    <w:uiPriority w:val="0"/>
    <w:rPr>
      <w:b/>
      <w:bCs/>
    </w:rPr>
  </w:style>
  <w:style w:type="character" w:styleId="10">
    <w:name w:val="line number"/>
    <w:autoRedefine/>
    <w:qFormat/>
    <w:uiPriority w:val="0"/>
  </w:style>
  <w:style w:type="character" w:styleId="11">
    <w:name w:val="annotation reference"/>
    <w:autoRedefine/>
    <w:qFormat/>
    <w:uiPriority w:val="0"/>
    <w:rPr>
      <w:sz w:val="21"/>
      <w:szCs w:val="21"/>
    </w:rPr>
  </w:style>
  <w:style w:type="character" w:customStyle="1" w:styleId="12">
    <w:name w:val="页脚 Char"/>
    <w:link w:val="5"/>
    <w:qFormat/>
    <w:uiPriority w:val="0"/>
    <w:rPr>
      <w:sz w:val="18"/>
      <w:szCs w:val="18"/>
    </w:rPr>
  </w:style>
  <w:style w:type="character" w:customStyle="1" w:styleId="13">
    <w:name w:val="页眉 Char"/>
    <w:link w:val="6"/>
    <w:autoRedefine/>
    <w:qFormat/>
    <w:uiPriority w:val="0"/>
    <w:rPr>
      <w:sz w:val="18"/>
      <w:szCs w:val="18"/>
    </w:rPr>
  </w:style>
  <w:style w:type="paragraph" w:styleId="14">
    <w:name w:val="List Paragraph"/>
    <w:basedOn w:val="1"/>
    <w:qFormat/>
    <w:uiPriority w:val="0"/>
    <w:pPr>
      <w:ind w:firstLine="420" w:firstLineChars="200"/>
    </w:pPr>
  </w:style>
  <w:style w:type="character" w:customStyle="1" w:styleId="15">
    <w:name w:val="批注框文本 Char"/>
    <w:link w:val="4"/>
    <w:qFormat/>
    <w:uiPriority w:val="0"/>
    <w:rPr>
      <w:kern w:val="2"/>
      <w:sz w:val="18"/>
      <w:szCs w:val="18"/>
    </w:rPr>
  </w:style>
  <w:style w:type="character" w:customStyle="1" w:styleId="16">
    <w:name w:val="标题 1 Char"/>
    <w:link w:val="2"/>
    <w:autoRedefine/>
    <w:qFormat/>
    <w:uiPriority w:val="0"/>
    <w:rPr>
      <w:rFonts w:ascii="Times New Roman" w:hAnsi="Times New Roman"/>
      <w:b/>
      <w:bCs/>
      <w:kern w:val="44"/>
      <w:sz w:val="44"/>
      <w:szCs w:val="44"/>
    </w:rPr>
  </w:style>
  <w:style w:type="paragraph" w:customStyle="1" w:styleId="17">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8">
    <w:name w:val="批注文字 Char"/>
    <w:link w:val="3"/>
    <w:qFormat/>
    <w:uiPriority w:val="0"/>
    <w:rPr>
      <w:kern w:val="2"/>
      <w:sz w:val="21"/>
      <w:szCs w:val="22"/>
    </w:rPr>
  </w:style>
  <w:style w:type="character" w:customStyle="1" w:styleId="19">
    <w:name w:val="批注主题 Char"/>
    <w:link w:val="7"/>
    <w:qFormat/>
    <w:uiPriority w:val="0"/>
    <w:rPr>
      <w:b/>
      <w:bCs/>
      <w:kern w:val="2"/>
      <w:sz w:val="21"/>
      <w:szCs w:val="22"/>
    </w:rPr>
  </w:style>
  <w:style w:type="character" w:customStyle="1" w:styleId="20">
    <w:name w:val="fontstyle01"/>
    <w:autoRedefine/>
    <w:qFormat/>
    <w:uiPriority w:val="0"/>
    <w:rPr>
      <w:rFonts w:hint="eastAsia" w:ascii="仿宋_GB2312" w:eastAsia="仿宋_GB2312"/>
      <w:color w:val="000000"/>
      <w:sz w:val="32"/>
      <w:szCs w:val="32"/>
    </w:rPr>
  </w:style>
  <w:style w:type="character" w:customStyle="1" w:styleId="21">
    <w:name w:val="fontstyle21"/>
    <w:autoRedefine/>
    <w:qFormat/>
    <w:uiPriority w:val="0"/>
    <w:rPr>
      <w:rFonts w:hint="default" w:ascii="TimesNewRomanPSMT" w:hAnsi="TimesNewRomanPSMT"/>
      <w:color w:val="000000"/>
      <w:sz w:val="32"/>
      <w:szCs w:val="32"/>
    </w:rPr>
  </w:style>
  <w:style w:type="character" w:customStyle="1" w:styleId="22">
    <w:name w:val="fontstyle11"/>
    <w:autoRedefine/>
    <w:qFormat/>
    <w:uiPriority w:val="0"/>
    <w:rPr>
      <w:rFonts w:hint="eastAsia" w:ascii="仿宋_GB2312" w:eastAsia="仿宋_GB2312"/>
      <w:color w:val="000000"/>
      <w:sz w:val="32"/>
      <w:szCs w:val="32"/>
    </w:rPr>
  </w:style>
  <w:style w:type="character" w:customStyle="1" w:styleId="23">
    <w:name w:val="fontstyle31"/>
    <w:autoRedefine/>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13</Pages>
  <Words>4807</Words>
  <Characters>5040</Characters>
  <Lines>68</Lines>
  <Paragraphs>19</Paragraphs>
  <TotalTime>1</TotalTime>
  <ScaleCrop>false</ScaleCrop>
  <LinksUpToDate>false</LinksUpToDate>
  <CharactersWithSpaces>5501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2024-01-30T17:03:00Z</dcterms:created>
  <dc:creator>home</dc:creator>
  <cp:lastModifiedBy>袖风染雨</cp:lastModifiedBy>
  <cp:lastPrinted>2022-02-15T15:45:00Z</cp:lastPrinted>
  <dcterms:modified xsi:type="dcterms:W3CDTF">2026-03-10T02:27:31Z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4746AA2B63644A919A7677ADD6665D0C</vt:lpwstr>
  </property>
  <property fmtid="{D5CDD505-2E9C-101B-9397-08002B2CF9AE}" pid="4" name="KSOTemplateDocerSaveRecord">
    <vt:lpwstr>eyJoZGlkIjoiODhjMWE4NDZkM2RjMDllYTc4NzI1ZjMzYWM4MDJhNGIiLCJ1c2VySWQiOiI4NTE5OTY0OTEifQ==</vt:lpwstr>
  </property>
</Properties>
</file>