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jc w:val="center"/>
        <w:textAlignment w:val="auto"/>
        <w:rPr>
          <w:rFonts w:hint="eastAsia" w:ascii="宋体" w:hAnsi="宋体" w:cs="宋体"/>
          <w:b/>
          <w:bCs/>
          <w:kern w:val="0"/>
          <w:sz w:val="44"/>
          <w:szCs w:val="44"/>
          <w:lang w:val="en-US" w:eastAsia="zh-CN"/>
        </w:rPr>
      </w:pPr>
    </w:p>
    <w:p>
      <w:pPr>
        <w:keepNext w:val="0"/>
        <w:keepLines w:val="0"/>
        <w:pageBreakBefore w:val="0"/>
        <w:widowControl w:val="0"/>
        <w:kinsoku/>
        <w:wordWrap/>
        <w:overflowPunct/>
        <w:topLinePunct w:val="0"/>
        <w:autoSpaceDE/>
        <w:autoSpaceDN/>
        <w:bidi w:val="0"/>
        <w:spacing w:line="660" w:lineRule="exact"/>
        <w:jc w:val="center"/>
        <w:textAlignment w:val="auto"/>
        <w:rPr>
          <w:rFonts w:hint="eastAsia" w:ascii="宋体" w:hAnsi="宋体" w:cs="宋体"/>
          <w:b/>
          <w:bCs/>
          <w:kern w:val="0"/>
          <w:sz w:val="44"/>
          <w:szCs w:val="44"/>
          <w:lang w:val="en-US" w:eastAsia="zh-CN"/>
        </w:rPr>
      </w:pPr>
      <w:r>
        <w:rPr>
          <w:rFonts w:hint="eastAsia" w:ascii="宋体" w:hAnsi="宋体" w:cs="宋体"/>
          <w:b/>
          <w:bCs/>
          <w:kern w:val="0"/>
          <w:sz w:val="44"/>
          <w:szCs w:val="44"/>
          <w:lang w:val="en-US" w:eastAsia="zh-CN"/>
        </w:rPr>
        <w:t>华池县农业农村局</w:t>
      </w:r>
    </w:p>
    <w:p>
      <w:pPr>
        <w:keepNext w:val="0"/>
        <w:keepLines w:val="0"/>
        <w:pageBreakBefore w:val="0"/>
        <w:widowControl w:val="0"/>
        <w:kinsoku/>
        <w:wordWrap/>
        <w:overflowPunct/>
        <w:topLinePunct w:val="0"/>
        <w:autoSpaceDE/>
        <w:autoSpaceDN/>
        <w:bidi w:val="0"/>
        <w:spacing w:line="660" w:lineRule="exact"/>
        <w:jc w:val="center"/>
        <w:textAlignment w:val="auto"/>
        <w:rPr>
          <w:rFonts w:hint="eastAsia" w:ascii="宋体" w:hAnsi="宋体" w:cs="宋体"/>
          <w:b/>
          <w:bCs/>
          <w:kern w:val="0"/>
          <w:sz w:val="44"/>
          <w:szCs w:val="44"/>
        </w:rPr>
      </w:pPr>
      <w:r>
        <w:rPr>
          <w:rFonts w:hint="eastAsia" w:ascii="宋体" w:hAnsi="宋体" w:cs="宋体"/>
          <w:b/>
          <w:bCs/>
          <w:kern w:val="0"/>
          <w:sz w:val="44"/>
          <w:szCs w:val="44"/>
        </w:rPr>
        <w:t>202</w:t>
      </w:r>
      <w:r>
        <w:rPr>
          <w:rFonts w:hint="eastAsia" w:ascii="宋体" w:hAnsi="宋体" w:cs="宋体"/>
          <w:b/>
          <w:bCs/>
          <w:kern w:val="0"/>
          <w:sz w:val="44"/>
          <w:szCs w:val="44"/>
          <w:lang w:val="en-US" w:eastAsia="zh-CN"/>
        </w:rPr>
        <w:t>5</w:t>
      </w:r>
      <w:r>
        <w:rPr>
          <w:rFonts w:hint="eastAsia" w:ascii="宋体" w:hAnsi="宋体" w:cs="宋体"/>
          <w:b/>
          <w:bCs/>
          <w:kern w:val="0"/>
          <w:sz w:val="44"/>
          <w:szCs w:val="44"/>
        </w:rPr>
        <w:t xml:space="preserve">年单位预算公开情况说明 </w:t>
      </w:r>
    </w:p>
    <w:p>
      <w:pPr>
        <w:keepNext w:val="0"/>
        <w:keepLines w:val="0"/>
        <w:pageBreakBefore w:val="0"/>
        <w:widowControl w:val="0"/>
        <w:kinsoku/>
        <w:wordWrap/>
        <w:overflowPunct/>
        <w:topLinePunct w:val="0"/>
        <w:autoSpaceDE/>
        <w:autoSpaceDN/>
        <w:bidi w:val="0"/>
        <w:spacing w:line="660" w:lineRule="exact"/>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ascii="宋体" w:hAnsi="宋体" w:cs="宋体"/>
          <w:b/>
          <w:bCs/>
          <w:kern w:val="0"/>
          <w:sz w:val="44"/>
          <w:szCs w:val="44"/>
        </w:rPr>
      </w:pPr>
      <w:r>
        <w:rPr>
          <w:rFonts w:hint="eastAsia" w:ascii="宋体" w:hAnsi="宋体" w:cs="宋体"/>
          <w:b/>
          <w:bCs/>
          <w:kern w:val="0"/>
          <w:sz w:val="44"/>
          <w:szCs w:val="44"/>
        </w:rPr>
        <w:t>目  录</w:t>
      </w:r>
    </w:p>
    <w:p>
      <w:pPr>
        <w:keepNext w:val="0"/>
        <w:keepLines w:val="0"/>
        <w:pageBreakBefore w:val="0"/>
        <w:widowControl w:val="0"/>
        <w:kinsoku/>
        <w:wordWrap/>
        <w:overflowPunct/>
        <w:topLinePunct w:val="0"/>
        <w:autoSpaceDE/>
        <w:autoSpaceDN/>
        <w:bidi w:val="0"/>
        <w:spacing w:line="660" w:lineRule="exact"/>
        <w:jc w:val="center"/>
        <w:textAlignment w:val="auto"/>
        <w:rPr>
          <w:rFonts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30" w:lineRule="exact"/>
        <w:jc w:val="center"/>
        <w:textAlignment w:val="auto"/>
        <w:rPr>
          <w:rFonts w:ascii="黑体" w:eastAsia="黑体"/>
          <w:color w:val="000000"/>
          <w:sz w:val="18"/>
          <w:szCs w:val="18"/>
        </w:rPr>
      </w:pPr>
    </w:p>
    <w:p>
      <w:pPr>
        <w:keepNext w:val="0"/>
        <w:keepLines w:val="0"/>
        <w:pageBreakBefore w:val="0"/>
        <w:widowControl w:val="0"/>
        <w:kinsoku/>
        <w:wordWrap/>
        <w:overflowPunct/>
        <w:topLinePunct w:val="0"/>
        <w:autoSpaceDE/>
        <w:autoSpaceDN/>
        <w:bidi w:val="0"/>
        <w:spacing w:line="560" w:lineRule="exact"/>
        <w:ind w:firstLine="602" w:firstLineChars="200"/>
        <w:jc w:val="left"/>
        <w:textAlignment w:val="auto"/>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pPr>
        <w:keepNext w:val="0"/>
        <w:keepLines w:val="0"/>
        <w:pageBreakBefore w:val="0"/>
        <w:widowControl w:val="0"/>
        <w:kinsoku/>
        <w:wordWrap/>
        <w:overflowPunct/>
        <w:topLinePunct w:val="0"/>
        <w:autoSpaceDE/>
        <w:autoSpaceDN/>
        <w:bidi w:val="0"/>
        <w:spacing w:line="560" w:lineRule="exact"/>
        <w:ind w:firstLine="602" w:firstLineChars="200"/>
        <w:jc w:val="left"/>
        <w:textAlignment w:val="auto"/>
        <w:rPr>
          <w:rFonts w:ascii="仿宋_GB2312" w:hAnsi="仿宋" w:eastAsia="仿宋_GB2312"/>
          <w:b/>
          <w:color w:val="000000"/>
          <w:sz w:val="30"/>
          <w:szCs w:val="30"/>
        </w:rPr>
      </w:pPr>
      <w:r>
        <w:rPr>
          <w:rFonts w:hint="eastAsia" w:ascii="仿宋_GB2312" w:hAnsi="仿宋" w:eastAsia="仿宋_GB2312"/>
          <w:b/>
          <w:color w:val="000000"/>
          <w:sz w:val="30"/>
          <w:szCs w:val="30"/>
        </w:rPr>
        <w:t>第二部分 202</w:t>
      </w:r>
      <w:r>
        <w:rPr>
          <w:rFonts w:hint="eastAsia" w:ascii="仿宋_GB2312" w:hAnsi="仿宋" w:eastAsia="仿宋_GB2312"/>
          <w:b/>
          <w:color w:val="000000"/>
          <w:sz w:val="30"/>
          <w:szCs w:val="30"/>
          <w:lang w:val="en-US" w:eastAsia="zh-CN"/>
        </w:rPr>
        <w:t>5</w:t>
      </w:r>
      <w:r>
        <w:rPr>
          <w:rFonts w:hint="eastAsia" w:ascii="仿宋_GB2312" w:hAnsi="仿宋" w:eastAsia="仿宋_GB2312"/>
          <w:b/>
          <w:color w:val="000000"/>
          <w:sz w:val="30"/>
          <w:szCs w:val="30"/>
        </w:rPr>
        <w:t>年部门/单位预算情况说明</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pPr>
        <w:keepNext w:val="0"/>
        <w:keepLines w:val="0"/>
        <w:pageBreakBefore w:val="0"/>
        <w:widowControl w:val="0"/>
        <w:kinsoku/>
        <w:wordWrap/>
        <w:overflowPunct/>
        <w:topLinePunct w:val="0"/>
        <w:autoSpaceDE/>
        <w:autoSpaceDN/>
        <w:bidi w:val="0"/>
        <w:spacing w:line="560" w:lineRule="exact"/>
        <w:ind w:firstLine="602" w:firstLineChars="200"/>
        <w:jc w:val="left"/>
        <w:textAlignment w:val="auto"/>
        <w:rPr>
          <w:rFonts w:ascii="仿宋_GB2312" w:hAnsi="仿宋" w:eastAsia="仿宋_GB2312"/>
          <w:b/>
          <w:color w:val="000000"/>
          <w:sz w:val="30"/>
          <w:szCs w:val="30"/>
        </w:rPr>
      </w:pPr>
      <w:r>
        <w:rPr>
          <w:rFonts w:hint="eastAsia" w:ascii="仿宋_GB2312" w:hAnsi="仿宋" w:eastAsia="仿宋_GB2312"/>
          <w:b/>
          <w:color w:val="000000"/>
          <w:sz w:val="30"/>
          <w:szCs w:val="30"/>
        </w:rPr>
        <w:t>第三部分 202</w:t>
      </w:r>
      <w:r>
        <w:rPr>
          <w:rFonts w:hint="eastAsia" w:ascii="仿宋_GB2312" w:hAnsi="仿宋" w:eastAsia="仿宋_GB2312"/>
          <w:b/>
          <w:color w:val="000000"/>
          <w:sz w:val="30"/>
          <w:szCs w:val="30"/>
          <w:lang w:val="en-US" w:eastAsia="zh-CN"/>
        </w:rPr>
        <w:t>5</w:t>
      </w:r>
      <w:r>
        <w:rPr>
          <w:rFonts w:hint="eastAsia" w:ascii="仿宋_GB2312" w:hAnsi="仿宋" w:eastAsia="仿宋_GB2312"/>
          <w:b/>
          <w:color w:val="000000"/>
          <w:sz w:val="30"/>
          <w:szCs w:val="30"/>
        </w:rPr>
        <w:t>年部门（单位）预算公开表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pPr>
        <w:keepNext w:val="0"/>
        <w:keepLines w:val="0"/>
        <w:pageBreakBefore w:val="0"/>
        <w:widowControl w:val="0"/>
        <w:kinsoku/>
        <w:wordWrap/>
        <w:overflowPunct/>
        <w:topLinePunct w:val="0"/>
        <w:autoSpaceDE/>
        <w:autoSpaceDN/>
        <w:bidi w:val="0"/>
        <w:spacing w:line="660" w:lineRule="exact"/>
        <w:jc w:val="center"/>
        <w:textAlignment w:val="auto"/>
        <w:rPr>
          <w:rFonts w:ascii="仿宋_GB2312" w:hAnsi="宋体" w:eastAsia="仿宋_GB2312" w:cs="宋体"/>
          <w:b/>
          <w:bCs/>
          <w:kern w:val="0"/>
          <w:sz w:val="44"/>
          <w:szCs w:val="44"/>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r>
        <w:rPr>
          <w:rFonts w:hint="eastAsia" w:ascii="仿宋_GB2312" w:hAnsi="黑体" w:eastAsia="仿宋_GB2312" w:cs="宋体"/>
          <w:b/>
          <w:kern w:val="0"/>
          <w:sz w:val="32"/>
          <w:szCs w:val="32"/>
        </w:rPr>
        <w:t>前</w:t>
      </w:r>
      <w:r>
        <w:rPr>
          <w:rFonts w:hint="eastAsia" w:ascii="仿宋_GB2312" w:hAnsi="黑体" w:eastAsia="仿宋_GB2312" w:cs="宋体"/>
          <w:b/>
          <w:kern w:val="0"/>
          <w:sz w:val="32"/>
          <w:szCs w:val="32"/>
          <w:lang w:val="en-US" w:eastAsia="zh-CN"/>
        </w:rPr>
        <w:t xml:space="preserve"> </w:t>
      </w:r>
      <w:r>
        <w:rPr>
          <w:rFonts w:hint="eastAsia" w:ascii="仿宋_GB2312" w:hAnsi="黑体" w:eastAsia="仿宋_GB2312" w:cs="宋体"/>
          <w:b/>
          <w:kern w:val="0"/>
          <w:sz w:val="32"/>
          <w:szCs w:val="32"/>
        </w:rPr>
        <w:t>言</w:t>
      </w:r>
    </w:p>
    <w:p>
      <w:pPr>
        <w:keepNext w:val="0"/>
        <w:keepLines w:val="0"/>
        <w:pageBreakBefore w:val="0"/>
        <w:widowControl w:val="0"/>
        <w:kinsoku/>
        <w:wordWrap/>
        <w:overflowPunct/>
        <w:topLinePunct w:val="0"/>
        <w:autoSpaceDE/>
        <w:autoSpaceDN/>
        <w:bidi w:val="0"/>
        <w:spacing w:line="600" w:lineRule="exact"/>
        <w:ind w:firstLine="643" w:firstLineChars="200"/>
        <w:jc w:val="center"/>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w:t>
      </w:r>
      <w:r>
        <w:rPr>
          <w:rFonts w:hint="eastAsia" w:ascii="仿宋_GB2312" w:hAnsi="仿宋" w:eastAsia="仿宋_GB2312" w:cs="宋体"/>
          <w:color w:val="000000" w:themeColor="text1"/>
          <w:kern w:val="0"/>
          <w:sz w:val="32"/>
          <w:szCs w:val="32"/>
          <w14:textFill>
            <w14:solidFill>
              <w14:schemeClr w14:val="tx1"/>
            </w14:solidFill>
          </w14:textFill>
        </w:rPr>
        <w:t>开的指导意见》和《中共甘肃省委办公厅 甘肃省人民政府办公厅关于进一步推进预算公开工作的实施方案》要求，现将2024年部门预算公开如下：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宋体"/>
          <w:color w:val="000000" w:themeColor="text1"/>
          <w:kern w:val="0"/>
          <w:sz w:val="32"/>
          <w:szCs w:val="32"/>
          <w:lang w:val="zh-CN"/>
          <w14:textFill>
            <w14:solidFill>
              <w14:schemeClr w14:val="tx1"/>
            </w14:solidFill>
          </w14:textFill>
        </w:rPr>
      </w:pPr>
      <w:r>
        <w:rPr>
          <w:rFonts w:hint="eastAsia" w:ascii="黑体" w:hAnsi="黑体" w:eastAsia="黑体" w:cs="宋体"/>
          <w:color w:val="000000" w:themeColor="text1"/>
          <w:kern w:val="0"/>
          <w:sz w:val="32"/>
          <w:szCs w:val="32"/>
          <w:lang w:val="zh-CN"/>
          <w14:textFill>
            <w14:solidFill>
              <w14:schemeClr w14:val="tx1"/>
            </w14:solidFill>
          </w14:textFill>
        </w:rPr>
        <w:t>一、部门职责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eastAsia="zh-CN"/>
          <w14:textFill>
            <w14:solidFill>
              <w14:schemeClr w14:val="tx1"/>
            </w14:solidFill>
          </w14:textFill>
        </w:rPr>
        <w:t>华池县农业农村局</w:t>
      </w:r>
      <w:r>
        <w:rPr>
          <w:rFonts w:hint="eastAsia" w:ascii="仿宋_GB2312" w:hAnsi="仿宋" w:eastAsia="仿宋_GB2312" w:cs="宋体"/>
          <w:color w:val="000000" w:themeColor="text1"/>
          <w:kern w:val="0"/>
          <w:sz w:val="32"/>
          <w:szCs w:val="32"/>
          <w:lang w:val="zh-CN"/>
          <w14:textFill>
            <w14:solidFill>
              <w14:schemeClr w14:val="tx1"/>
            </w14:solidFill>
          </w14:textFill>
        </w:rPr>
        <w:t>是</w:t>
      </w:r>
      <w:bookmarkStart w:id="1" w:name="_GoBack"/>
      <w:bookmarkStart w:id="0" w:name="OLE_LINK1"/>
      <w:r>
        <w:rPr>
          <w:rFonts w:hint="eastAsia" w:ascii="仿宋_GB2312" w:hAnsi="仿宋" w:eastAsia="仿宋_GB2312" w:cs="宋体"/>
          <w:color w:val="000000" w:themeColor="text1"/>
          <w:kern w:val="0"/>
          <w:sz w:val="32"/>
          <w:szCs w:val="32"/>
          <w:lang w:val="zh-CN"/>
          <w14:textFill>
            <w14:solidFill>
              <w14:schemeClr w14:val="tx1"/>
            </w14:solidFill>
          </w14:textFill>
        </w:rPr>
        <w:t>贯彻落实党中央、省委、市委、县委关于“三农”工作的方针政策和决策部署,在履行职责过程中坚持和加强党对“三农”工作的集中统一领导等工作的职能部门</w:t>
      </w:r>
      <w:bookmarkEnd w:id="1"/>
      <w:bookmarkEnd w:id="0"/>
      <w:r>
        <w:rPr>
          <w:rFonts w:hint="eastAsia" w:ascii="仿宋_GB2312" w:hAnsi="仿宋" w:eastAsia="仿宋_GB2312" w:cs="宋体"/>
          <w:color w:val="000000" w:themeColor="text1"/>
          <w:kern w:val="0"/>
          <w:sz w:val="32"/>
          <w:szCs w:val="32"/>
          <w:lang w:val="zh-CN"/>
          <w14:textFill>
            <w14:solidFill>
              <w14:schemeClr w14:val="tx1"/>
            </w14:solidFill>
          </w14:textFill>
        </w:rPr>
        <w:t>。主要职责是:</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一）贯彻执行党的农业农村方针政策及国家有关“三农”工作的法律法规。统筹研究和组织实施“三农”工作的发展战略、中长期规划、重大政策。组织起草农业农村有关地方性法规和县政府规章草案，指导农业综合行政执法，负责农业综合行政执法体系建设。参与涉农的财税、价格、收储、金融保险、进出口等政策制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（二）统筹推动发展全县农村社会事业、农村公共服务、农村文化、农村基础设施和乡村治理。牵头组织改善农村人居环境。指导农村精神文明和优秀农耕文化建设，指导农、牧、渔业行业安全生产工作。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三）提出深化全县农村经济体制改革和巩固完善农村基本经营制度的政策建议。负责农民承包地、农村宅基地改革和管理有关工作。负责农村集体产权制度改革，指导农村集体经济发展和集体资产管理工作。指导农民合作经济组织、农业社会服务体系、新型农业经营主体建设与发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四）负责全县脱贫攻坚富民产业培育，指导全县乡村特色产业、农产品加工业、休闲农业发展工作。提出促进大宗农产品流通的建议，培育、发展、保护农业品牌。发布农业农村经济信息。监测分析农业农村经济运行。承担农业统计和农业农村信息化有关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（五）负责全县种植业、畜牧业、渔业等农业各产业的监督管理。指导粮食等农产品生产，组织构建现代农业产业体系、生产体系、经营体系，指导农业标准化生产。</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（六）负责全县农、畜、水产品质量安全监督管理。组织开展农产品质量安全监测、追溯、风险评估。参与制定农产品质量安全地方标准并会同有关部门组织实施。指导乡（镇）农业检验检测体系建设。</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七)组织全县农业资源区划工作，负责农田水利基础建设和农业综合开发工作，指导农牧用地、渔业水域以及农业生物物种资源的保护与管理，负责水生野生动植物保护、耕地及永久基本农田质量保护工作。指导农产品产地环境管理和农业清洁生产。指导设施农业、生态循环农业、节本农业发展以及农村可再生能源综合开发利用、农业生物质产业发展。管理全县外来物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八）负责有关农业生产资料和农业投入品的监督管理。组织协调农业生产资料市场体系建设。拟订有关农业生产资料地方标准并监督实施。组织水产渔政、兽医医政、兽药药政药检工作;负责执业兽医和畜禽屠宰行业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九)负责农、牧、渔业防灾减灾、农作物重大病虫害防治工作。指导动植物防疫检疫体系建设，组织、监督县内动植物防疫检疫工作，依规监测、发布并组织扑灭疫情。指导农、牧、渔业紧急救灾和灾后生产恢复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十)负责全县农业投资管理。提出农业投融资体制机制改革建议，编制县级投资安排的农业投资项目建设规划，提出农业投资规模、方向和扶持农业农村发展财政项目的建议，按规定权限审批农业投资项目，负责农业投资项目资金安排和跟踪监督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十一)推动全县农业科技体制改革和农业科技创新体系建设。指导农、牧、渔业产业技术体系和推广体系建设，组织开展农业、畜牧、水产领域的高新技术和应用技术研究、科技成果转化和技术推广。负责农业转基因生物安全监督管理和农、牧、渔业新品种保护。</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十二)指导全县农业农村人才工作。拟订农业农村人才队伍建设规划并组织实施，指导农业教育和农业职业技能开发，指导新型职业农民培育、农业科技人才培养和农村实用人才培训工作。负责全县农业农村人才专业技术资格和从业资格管理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(十三)组织开展农业对外合作工作。组织开展农业贸易促进和对外交流合作。会同有关部门组织实施农业外授和援外项目。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eastAsia="zh-CN"/>
          <w14:textFill>
            <w14:solidFill>
              <w14:schemeClr w14:val="tx1"/>
            </w14:solidFill>
          </w14:textFill>
        </w:rPr>
        <w:t>（十四）</w:t>
      </w:r>
      <w:r>
        <w:rPr>
          <w:rFonts w:hint="eastAsia" w:ascii="仿宋_GB2312" w:hAnsi="仿宋" w:eastAsia="仿宋_GB2312" w:cs="宋体"/>
          <w:color w:val="000000" w:themeColor="text1"/>
          <w:kern w:val="0"/>
          <w:sz w:val="32"/>
          <w:szCs w:val="32"/>
          <w:lang w:val="zh-CN"/>
          <w14:textFill>
            <w14:solidFill>
              <w14:schemeClr w14:val="tx1"/>
            </w14:solidFill>
          </w14:textFill>
        </w:rPr>
        <w:t>扎实推进农业综合开发和美丽乡村建设，推动农业全面升级、农村全面进步、农民全面发展，加快实现农业农村现代化。</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eastAsia="zh-CN"/>
          <w14:textFill>
            <w14:solidFill>
              <w14:schemeClr w14:val="tx1"/>
            </w14:solidFill>
          </w14:textFill>
        </w:rPr>
        <w:t>（十五）</w:t>
      </w:r>
      <w:r>
        <w:rPr>
          <w:rFonts w:hint="eastAsia" w:ascii="仿宋_GB2312" w:hAnsi="仿宋" w:eastAsia="仿宋_GB2312" w:cs="宋体"/>
          <w:color w:val="000000" w:themeColor="text1"/>
          <w:kern w:val="0"/>
          <w:sz w:val="32"/>
          <w:szCs w:val="32"/>
          <w:lang w:val="zh-CN"/>
          <w14:textFill>
            <w14:solidFill>
              <w14:schemeClr w14:val="tx1"/>
            </w14:solidFill>
          </w14:textFill>
        </w:rPr>
        <w:t>整合强化农业综合行政执法队伍，持续加强农产品质量安全和农业投入品的监督管理，坚持最严谨的标准、最严格的监管、最严厉的处罚、最严肃的问责，严防、严管、严控质量安全风险，确保农、畜、水产品质量安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eastAsia="zh-CN"/>
          <w14:textFill>
            <w14:solidFill>
              <w14:schemeClr w14:val="tx1"/>
            </w14:solidFill>
          </w14:textFill>
        </w:rPr>
        <w:t>（十六）</w:t>
      </w:r>
      <w:r>
        <w:rPr>
          <w:rFonts w:hint="eastAsia" w:ascii="仿宋_GB2312" w:hAnsi="仿宋" w:eastAsia="仿宋_GB2312" w:cs="宋体"/>
          <w:color w:val="000000" w:themeColor="text1"/>
          <w:kern w:val="0"/>
          <w:sz w:val="32"/>
          <w:szCs w:val="32"/>
          <w:lang w:val="zh-CN"/>
          <w14:textFill>
            <w14:solidFill>
              <w14:schemeClr w14:val="tx1"/>
            </w14:solidFill>
          </w14:textFill>
        </w:rPr>
        <w:t>全面深化农业行政体制改革，落实“放管服”政策措施，最大限度简化农业行政审批（许可）办事流程。深入推进简政放权，加强对行业内交叉、重复以及性质相同、用途相近的农业投资项目的统筹整合，最大限度缩小项目审批范围，精简审批程序，加强事中事后监管，切实提升支农政策效果和资金使用效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(十</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七</w:t>
      </w:r>
      <w:r>
        <w:rPr>
          <w:rFonts w:hint="eastAsia" w:ascii="仿宋_GB2312" w:hAnsi="仿宋" w:eastAsia="仿宋_GB2312" w:cs="宋体"/>
          <w:color w:val="000000" w:themeColor="text1"/>
          <w:kern w:val="0"/>
          <w:sz w:val="32"/>
          <w:szCs w:val="32"/>
          <w:lang w:val="zh-CN"/>
          <w14:textFill>
            <w14:solidFill>
              <w14:schemeClr w14:val="tx1"/>
            </w14:solidFill>
          </w14:textFill>
        </w:rPr>
        <w:t>)完成县委、县政府、县委农村工作领导小组和上级业务部门交办的其他工作任务。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宋体"/>
          <w:color w:val="000000" w:themeColor="text1"/>
          <w:kern w:val="0"/>
          <w:sz w:val="32"/>
          <w:szCs w:val="32"/>
          <w:lang w:val="zh-CN"/>
          <w14:textFill>
            <w14:solidFill>
              <w14:schemeClr w14:val="tx1"/>
            </w14:solidFill>
          </w14:textFill>
        </w:rPr>
      </w:pPr>
      <w:r>
        <w:rPr>
          <w:rFonts w:hint="eastAsia" w:ascii="黑体" w:hAnsi="黑体" w:eastAsia="黑体" w:cs="宋体"/>
          <w:color w:val="000000" w:themeColor="text1"/>
          <w:kern w:val="0"/>
          <w:sz w:val="32"/>
          <w:szCs w:val="32"/>
          <w:lang w:val="zh-CN"/>
          <w14:textFill>
            <w14:solidFill>
              <w14:schemeClr w14:val="tx1"/>
            </w14:solidFill>
          </w14:textFill>
        </w:rPr>
        <w:t>二、机构设置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（1）机关内设机构</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。华池县农业农村局</w:t>
      </w:r>
      <w:r>
        <w:rPr>
          <w:rFonts w:hint="eastAsia" w:ascii="仿宋_GB2312" w:hAnsi="仿宋" w:eastAsia="仿宋_GB2312" w:cs="宋体"/>
          <w:color w:val="000000" w:themeColor="text1"/>
          <w:kern w:val="0"/>
          <w:sz w:val="32"/>
          <w:szCs w:val="32"/>
          <w:lang w:val="zh-CN"/>
          <w14:textFill>
            <w14:solidFill>
              <w14:schemeClr w14:val="tx1"/>
            </w14:solidFill>
          </w14:textFill>
        </w:rPr>
        <w:t>内设</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9</w:t>
      </w:r>
      <w:r>
        <w:rPr>
          <w:rFonts w:hint="eastAsia" w:ascii="仿宋_GB2312" w:hAnsi="仿宋" w:eastAsia="仿宋_GB2312" w:cs="宋体"/>
          <w:color w:val="000000" w:themeColor="text1"/>
          <w:kern w:val="0"/>
          <w:sz w:val="32"/>
          <w:szCs w:val="32"/>
          <w:lang w:val="zh-CN"/>
          <w14:textFill>
            <w14:solidFill>
              <w14:schemeClr w14:val="tx1"/>
            </w14:solidFill>
          </w14:textFill>
        </w:rPr>
        <w:t>个职能</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股室</w:t>
      </w:r>
      <w:r>
        <w:rPr>
          <w:rFonts w:hint="eastAsia" w:ascii="仿宋_GB2312" w:hAnsi="仿宋" w:eastAsia="仿宋_GB2312" w:cs="宋体"/>
          <w:color w:val="000000" w:themeColor="text1"/>
          <w:kern w:val="0"/>
          <w:sz w:val="32"/>
          <w:szCs w:val="32"/>
          <w:lang w:val="zh-CN"/>
          <w14:textFill>
            <w14:solidFill>
              <w14:schemeClr w14:val="tx1"/>
            </w14:solidFill>
          </w14:textFill>
        </w:rPr>
        <w:t>,包括:办公室、计划发展股、产业经营股、</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农田基建股</w:t>
      </w:r>
      <w:r>
        <w:rPr>
          <w:rFonts w:hint="eastAsia" w:ascii="仿宋_GB2312" w:hAnsi="仿宋" w:eastAsia="仿宋_GB2312" w:cs="宋体"/>
          <w:color w:val="000000" w:themeColor="text1"/>
          <w:kern w:val="0"/>
          <w:sz w:val="32"/>
          <w:szCs w:val="32"/>
          <w:lang w:val="zh-CN"/>
          <w14:textFill>
            <w14:solidFill>
              <w14:schemeClr w14:val="tx1"/>
            </w14:solidFill>
          </w14:textFill>
        </w:rPr>
        <w:t>、</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科技教育股、执法监管股、县委农办、畜牧兽医股、财务资产股</w:t>
      </w:r>
      <w:r>
        <w:rPr>
          <w:rFonts w:hint="eastAsia" w:ascii="仿宋_GB2312" w:hAnsi="仿宋" w:eastAsia="仿宋_GB2312" w:cs="宋体"/>
          <w:color w:val="000000" w:themeColor="text1"/>
          <w:kern w:val="0"/>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（2）</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人员情况。</w:t>
      </w:r>
      <w:r>
        <w:rPr>
          <w:rFonts w:hint="eastAsia" w:ascii="仿宋_GB2312" w:hAnsi="仿宋" w:eastAsia="仿宋_GB2312" w:cs="宋体"/>
          <w:color w:val="000000" w:themeColor="text1"/>
          <w:kern w:val="0"/>
          <w:sz w:val="32"/>
          <w:szCs w:val="32"/>
          <w:lang w:val="zh-CN"/>
          <w14:textFill>
            <w14:solidFill>
              <w14:schemeClr w14:val="tx1"/>
            </w14:solidFill>
          </w14:textFill>
        </w:rPr>
        <w:t>20</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25</w:t>
      </w:r>
      <w:r>
        <w:rPr>
          <w:rFonts w:hint="default" w:ascii="仿宋_GB2312" w:hAnsi="仿宋" w:eastAsia="仿宋_GB2312" w:cs="宋体"/>
          <w:color w:val="000000" w:themeColor="text1"/>
          <w:kern w:val="0"/>
          <w:sz w:val="32"/>
          <w:szCs w:val="32"/>
          <w:lang w:val="zh-CN"/>
          <w14:textFill>
            <w14:solidFill>
              <w14:schemeClr w14:val="tx1"/>
            </w14:solidFill>
          </w14:textFill>
        </w:rPr>
        <w:t>年度，我</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局</w:t>
      </w:r>
      <w:r>
        <w:rPr>
          <w:rFonts w:hint="default" w:ascii="仿宋_GB2312" w:hAnsi="仿宋" w:eastAsia="仿宋_GB2312" w:cs="宋体"/>
          <w:color w:val="000000" w:themeColor="text1"/>
          <w:kern w:val="0"/>
          <w:sz w:val="32"/>
          <w:szCs w:val="32"/>
          <w:lang w:val="zh-CN"/>
          <w14:textFill>
            <w14:solidFill>
              <w14:schemeClr w14:val="tx1"/>
            </w14:solidFill>
          </w14:textFill>
        </w:rPr>
        <w:t>共有</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编制</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20名，其中：</w:t>
      </w:r>
      <w:r>
        <w:rPr>
          <w:rFonts w:hint="default" w:ascii="仿宋_GB2312" w:hAnsi="仿宋" w:eastAsia="仿宋_GB2312" w:cs="宋体"/>
          <w:color w:val="000000" w:themeColor="text1"/>
          <w:kern w:val="0"/>
          <w:sz w:val="32"/>
          <w:szCs w:val="32"/>
          <w:lang w:val="zh-CN"/>
          <w14:textFill>
            <w14:solidFill>
              <w14:schemeClr w14:val="tx1"/>
            </w14:solidFill>
          </w14:textFill>
        </w:rPr>
        <w:t>行政编制</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11</w:t>
      </w:r>
      <w:r>
        <w:rPr>
          <w:rFonts w:hint="default" w:ascii="仿宋_GB2312" w:hAnsi="仿宋" w:eastAsia="仿宋_GB2312" w:cs="宋体"/>
          <w:color w:val="000000" w:themeColor="text1"/>
          <w:kern w:val="0"/>
          <w:sz w:val="32"/>
          <w:szCs w:val="32"/>
          <w:lang w:val="zh-CN"/>
          <w14:textFill>
            <w14:solidFill>
              <w14:schemeClr w14:val="tx1"/>
            </w14:solidFill>
          </w14:textFill>
        </w:rPr>
        <w:t>名，事业编制</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6</w:t>
      </w:r>
      <w:r>
        <w:rPr>
          <w:rFonts w:hint="default" w:ascii="仿宋_GB2312" w:hAnsi="仿宋" w:eastAsia="仿宋_GB2312" w:cs="宋体"/>
          <w:color w:val="000000" w:themeColor="text1"/>
          <w:kern w:val="0"/>
          <w:sz w:val="32"/>
          <w:szCs w:val="32"/>
          <w:lang w:val="zh-CN"/>
          <w14:textFill>
            <w14:solidFill>
              <w14:schemeClr w14:val="tx1"/>
            </w14:solidFill>
          </w14:textFill>
        </w:rPr>
        <w:t>名，后勤编制</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3</w:t>
      </w:r>
      <w:r>
        <w:rPr>
          <w:rFonts w:hint="default" w:ascii="仿宋_GB2312" w:hAnsi="仿宋" w:eastAsia="仿宋_GB2312" w:cs="宋体"/>
          <w:color w:val="000000" w:themeColor="text1"/>
          <w:kern w:val="0"/>
          <w:sz w:val="32"/>
          <w:szCs w:val="32"/>
          <w:lang w:val="zh-CN"/>
          <w14:textFill>
            <w14:solidFill>
              <w14:schemeClr w14:val="tx1"/>
            </w14:solidFill>
          </w14:textFill>
        </w:rPr>
        <w:t>名</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w:t>
      </w:r>
      <w:r>
        <w:rPr>
          <w:rFonts w:hint="eastAsia" w:ascii="仿宋_GB2312" w:hAnsi="仿宋" w:eastAsia="仿宋_GB2312" w:cs="宋体"/>
          <w:color w:val="000000" w:themeColor="text1"/>
          <w:kern w:val="0"/>
          <w:sz w:val="32"/>
          <w:szCs w:val="32"/>
          <w:lang w:val="zh-CN"/>
          <w14:textFill>
            <w14:solidFill>
              <w14:schemeClr w14:val="tx1"/>
            </w14:solidFill>
          </w14:textFill>
        </w:rPr>
        <w:t>财政供养总人数</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24</w:t>
      </w:r>
      <w:r>
        <w:rPr>
          <w:rFonts w:hint="eastAsia" w:ascii="仿宋_GB2312" w:hAnsi="仿宋" w:eastAsia="仿宋_GB2312" w:cs="宋体"/>
          <w:color w:val="000000" w:themeColor="text1"/>
          <w:kern w:val="0"/>
          <w:sz w:val="32"/>
          <w:szCs w:val="32"/>
          <w:lang w:val="zh-CN"/>
          <w14:textFill>
            <w14:solidFill>
              <w14:schemeClr w14:val="tx1"/>
            </w14:solidFill>
          </w14:textFill>
        </w:rPr>
        <w:t>人，其中</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w:t>
      </w:r>
      <w:r>
        <w:rPr>
          <w:rFonts w:hint="eastAsia" w:ascii="仿宋_GB2312" w:hAnsi="仿宋" w:eastAsia="仿宋_GB2312" w:cs="宋体"/>
          <w:color w:val="000000" w:themeColor="text1"/>
          <w:kern w:val="0"/>
          <w:sz w:val="32"/>
          <w:szCs w:val="32"/>
          <w:lang w:val="zh-CN"/>
          <w14:textFill>
            <w14:solidFill>
              <w14:schemeClr w14:val="tx1"/>
            </w14:solidFill>
          </w14:textFill>
        </w:rPr>
        <w:t>在职人员</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16</w:t>
      </w:r>
      <w:r>
        <w:rPr>
          <w:rFonts w:hint="eastAsia" w:ascii="仿宋_GB2312" w:hAnsi="仿宋" w:eastAsia="仿宋_GB2312" w:cs="宋体"/>
          <w:color w:val="000000" w:themeColor="text1"/>
          <w:kern w:val="0"/>
          <w:sz w:val="32"/>
          <w:szCs w:val="32"/>
          <w:lang w:val="zh-CN"/>
          <w14:textFill>
            <w14:solidFill>
              <w14:schemeClr w14:val="tx1"/>
            </w14:solidFill>
          </w14:textFill>
        </w:rPr>
        <w:t>人，</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遗属</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8</w:t>
      </w:r>
      <w:r>
        <w:rPr>
          <w:rFonts w:hint="eastAsia" w:ascii="仿宋_GB2312" w:hAnsi="仿宋" w:eastAsia="仿宋_GB2312" w:cs="宋体"/>
          <w:color w:val="000000" w:themeColor="text1"/>
          <w:kern w:val="0"/>
          <w:sz w:val="32"/>
          <w:szCs w:val="32"/>
          <w:lang w:val="zh-CN"/>
          <w14:textFill>
            <w14:solidFill>
              <w14:schemeClr w14:val="tx1"/>
            </w14:solidFill>
          </w14:textFill>
        </w:rPr>
        <w:t>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三、单位收支总体情况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按照预算管理有关规定，202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年部门（单位）收支包括机关预算和直属单位预算在内的汇总情况。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年部门收支总预算</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9401.28</w:t>
      </w:r>
      <w:r>
        <w:rPr>
          <w:rFonts w:hint="eastAsia" w:ascii="仿宋_GB2312" w:hAnsi="仿宋" w:eastAsia="仿宋_GB2312" w:cs="宋体"/>
          <w:color w:val="000000" w:themeColor="text1"/>
          <w:kern w:val="0"/>
          <w:sz w:val="32"/>
          <w:szCs w:val="32"/>
          <w14:textFill>
            <w14:solidFill>
              <w14:schemeClr w14:val="tx1"/>
            </w14:solidFill>
          </w14:textFill>
        </w:rPr>
        <w:t>万元。按照综合预算的原则，</w:t>
      </w:r>
      <w:r>
        <w:rPr>
          <w:rFonts w:hint="eastAsia" w:ascii="仿宋_GB2312" w:hAnsi="仿宋" w:eastAsia="仿宋_GB2312" w:cs="宋体"/>
          <w:color w:val="000000" w:themeColor="text1"/>
          <w:kern w:val="0"/>
          <w:sz w:val="32"/>
          <w:szCs w:val="32"/>
          <w:lang w:eastAsia="zh-CN"/>
          <w14:textFill>
            <w14:solidFill>
              <w14:schemeClr w14:val="tx1"/>
            </w14:solidFill>
          </w14:textFill>
        </w:rPr>
        <w:t>单位</w:t>
      </w:r>
      <w:r>
        <w:rPr>
          <w:rFonts w:hint="eastAsia" w:ascii="仿宋_GB2312" w:hAnsi="仿宋" w:eastAsia="仿宋_GB2312" w:cs="宋体"/>
          <w:color w:val="000000" w:themeColor="text1"/>
          <w:kern w:val="0"/>
          <w:sz w:val="32"/>
          <w:szCs w:val="32"/>
          <w14:textFill>
            <w14:solidFill>
              <w14:schemeClr w14:val="tx1"/>
            </w14:solidFill>
          </w14:textFill>
        </w:rPr>
        <w:t>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（一）收入预算</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年收入预算</w:t>
      </w:r>
      <w:r>
        <w:rPr>
          <w:rFonts w:hint="eastAsia" w:ascii="仿宋_GB2312" w:hAnsi="仿宋" w:eastAsia="仿宋_GB2312"/>
          <w:color w:val="000000" w:themeColor="text1"/>
          <w:sz w:val="32"/>
          <w:szCs w:val="32"/>
          <w:lang w:val="en-US" w:eastAsia="zh-CN"/>
          <w14:textFill>
            <w14:solidFill>
              <w14:schemeClr w14:val="tx1"/>
            </w14:solidFill>
          </w14:textFill>
        </w:rPr>
        <w:t>9401.28</w:t>
      </w:r>
      <w:r>
        <w:rPr>
          <w:rFonts w:hint="eastAsia" w:ascii="仿宋_GB2312" w:hAnsi="仿宋" w:eastAsia="仿宋_GB2312"/>
          <w:color w:val="000000" w:themeColor="text1"/>
          <w:sz w:val="32"/>
          <w:szCs w:val="32"/>
          <w14:textFill>
            <w14:solidFill>
              <w14:schemeClr w14:val="tx1"/>
            </w14:solidFill>
          </w14:textFill>
        </w:rPr>
        <w:t>万元（详见部门/单位预算公开表1,2）。包括：</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一般公共预算收入</w:t>
      </w:r>
      <w:r>
        <w:rPr>
          <w:rFonts w:hint="eastAsia" w:ascii="仿宋_GB2312" w:hAnsi="仿宋" w:eastAsia="仿宋_GB2312"/>
          <w:color w:val="000000" w:themeColor="text1"/>
          <w:sz w:val="32"/>
          <w:szCs w:val="32"/>
          <w:lang w:val="en-US" w:eastAsia="zh-CN"/>
          <w14:textFill>
            <w14:solidFill>
              <w14:schemeClr w14:val="tx1"/>
            </w14:solidFill>
          </w14:textFill>
        </w:rPr>
        <w:t>9401.28</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100</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政府性基金预算收入</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上年结转收入 </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其他收入</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（二）支出预算</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2024年支出预算</w:t>
      </w:r>
      <w:r>
        <w:rPr>
          <w:rFonts w:hint="eastAsia" w:ascii="仿宋_GB2312" w:hAnsi="仿宋" w:eastAsia="仿宋_GB2312"/>
          <w:color w:val="000000" w:themeColor="text1"/>
          <w:sz w:val="32"/>
          <w:szCs w:val="32"/>
          <w:lang w:val="en-US" w:eastAsia="zh-CN"/>
          <w14:textFill>
            <w14:solidFill>
              <w14:schemeClr w14:val="tx1"/>
            </w14:solidFill>
          </w14:textFill>
        </w:rPr>
        <w:t>9401.28</w:t>
      </w:r>
      <w:r>
        <w:rPr>
          <w:rFonts w:hint="eastAsia" w:ascii="仿宋_GB2312" w:hAnsi="仿宋" w:eastAsia="仿宋_GB2312"/>
          <w:color w:val="000000" w:themeColor="text1"/>
          <w:sz w:val="32"/>
          <w:szCs w:val="32"/>
          <w14:textFill>
            <w14:solidFill>
              <w14:schemeClr w14:val="tx1"/>
            </w14:solidFill>
          </w14:textFill>
        </w:rPr>
        <w:t>万元（详见部门/单位预算公开表3）。</w:t>
      </w:r>
      <w:r>
        <w:rPr>
          <w:rStyle w:val="20"/>
          <w:rFonts w:hint="default" w:hAnsi="仿宋"/>
          <w:color w:val="000000" w:themeColor="text1"/>
          <w14:textFill>
            <w14:solidFill>
              <w14:schemeClr w14:val="tx1"/>
            </w14:solidFill>
          </w14:textFill>
        </w:rPr>
        <w:t>其中：基本支出</w:t>
      </w:r>
      <w:r>
        <w:rPr>
          <w:rFonts w:hint="eastAsia" w:ascii="仿宋_GB2312" w:hAnsi="仿宋" w:eastAsia="仿宋_GB2312"/>
          <w:color w:val="000000" w:themeColor="text1"/>
          <w:sz w:val="32"/>
          <w:szCs w:val="32"/>
          <w:lang w:val="en-US" w:eastAsia="zh-CN"/>
          <w14:textFill>
            <w14:solidFill>
              <w14:schemeClr w14:val="tx1"/>
            </w14:solidFill>
          </w14:textFill>
        </w:rPr>
        <w:t>568.08</w:t>
      </w:r>
      <w:r>
        <w:rPr>
          <w:rStyle w:val="20"/>
          <w:rFonts w:hint="default" w:hAnsi="仿宋"/>
          <w:color w:val="000000" w:themeColor="text1"/>
          <w14:textFill>
            <w14:solidFill>
              <w14:schemeClr w14:val="tx1"/>
            </w14:solidFill>
          </w14:textFill>
        </w:rPr>
        <w:t>万元，占</w:t>
      </w:r>
      <w:r>
        <w:rPr>
          <w:rStyle w:val="20"/>
          <w:rFonts w:hint="eastAsia" w:hAnsi="仿宋" w:eastAsia="仿宋_GB2312"/>
          <w:color w:val="000000" w:themeColor="text1"/>
          <w:lang w:val="en-US" w:eastAsia="zh-CN"/>
          <w14:textFill>
            <w14:solidFill>
              <w14:schemeClr w14:val="tx1"/>
            </w14:solidFill>
          </w14:textFill>
        </w:rPr>
        <w:t>6.04</w:t>
      </w:r>
      <w:r>
        <w:rPr>
          <w:rStyle w:val="21"/>
          <w:rFonts w:hint="eastAsia" w:ascii="仿宋_GB2312" w:hAnsi="仿宋" w:eastAsia="仿宋_GB2312"/>
          <w:color w:val="000000" w:themeColor="text1"/>
          <w14:textFill>
            <w14:solidFill>
              <w14:schemeClr w14:val="tx1"/>
            </w14:solidFill>
          </w14:textFill>
        </w:rPr>
        <w:t>%</w:t>
      </w:r>
      <w:r>
        <w:rPr>
          <w:rStyle w:val="20"/>
          <w:rFonts w:hint="default" w:hAnsi="仿宋"/>
          <w:color w:val="000000" w:themeColor="text1"/>
          <w14:textFill>
            <w14:solidFill>
              <w14:schemeClr w14:val="tx1"/>
            </w14:solidFill>
          </w14:textFill>
        </w:rPr>
        <w:t>； 项目支出</w:t>
      </w:r>
      <w:r>
        <w:rPr>
          <w:rStyle w:val="20"/>
          <w:rFonts w:hint="eastAsia" w:hAnsi="仿宋" w:eastAsia="仿宋_GB2312"/>
          <w:color w:val="000000" w:themeColor="text1"/>
          <w:lang w:val="en-US" w:eastAsia="zh-CN"/>
          <w14:textFill>
            <w14:solidFill>
              <w14:schemeClr w14:val="tx1"/>
            </w14:solidFill>
          </w14:textFill>
        </w:rPr>
        <w:t>8833.2</w:t>
      </w:r>
      <w:r>
        <w:rPr>
          <w:rStyle w:val="20"/>
          <w:rFonts w:hint="default" w:hAnsi="仿宋"/>
          <w:color w:val="000000" w:themeColor="text1"/>
          <w14:textFill>
            <w14:solidFill>
              <w14:schemeClr w14:val="tx1"/>
            </w14:solidFill>
          </w14:textFill>
        </w:rPr>
        <w:t>万元，占</w:t>
      </w:r>
      <w:r>
        <w:rPr>
          <w:rStyle w:val="20"/>
          <w:rFonts w:hint="eastAsia" w:hAnsi="仿宋" w:eastAsia="仿宋_GB2312"/>
          <w:color w:val="000000" w:themeColor="text1"/>
          <w:lang w:val="en-US" w:eastAsia="zh-CN"/>
          <w14:textFill>
            <w14:solidFill>
              <w14:schemeClr w14:val="tx1"/>
            </w14:solidFill>
          </w14:textFill>
        </w:rPr>
        <w:t>93.82</w:t>
      </w:r>
      <w:r>
        <w:rPr>
          <w:rStyle w:val="21"/>
          <w:rFonts w:hint="eastAsia" w:ascii="仿宋_GB2312" w:hAnsi="仿宋" w:eastAsia="仿宋_GB2312"/>
          <w:color w:val="000000" w:themeColor="text1"/>
          <w14:textFill>
            <w14:solidFill>
              <w14:schemeClr w14:val="tx1"/>
            </w14:solidFill>
          </w14:textFill>
        </w:rPr>
        <w:t>%</w:t>
      </w:r>
      <w:r>
        <w:rPr>
          <w:rStyle w:val="20"/>
          <w:rFonts w:hint="default" w:hAnsi="仿宋"/>
          <w:color w:val="000000" w:themeColor="text1"/>
          <w14:textFill>
            <w14:solidFill>
              <w14:schemeClr w14:val="tx1"/>
            </w14:solidFill>
          </w14:textFill>
        </w:rPr>
        <w:t>； 上年结转</w:t>
      </w:r>
      <w:r>
        <w:rPr>
          <w:rStyle w:val="21"/>
          <w:rFonts w:hint="eastAsia" w:ascii="仿宋_GB2312" w:hAnsi="仿宋" w:eastAsia="仿宋_GB2312"/>
          <w:color w:val="000000" w:themeColor="text1"/>
          <w:lang w:val="en-US" w:eastAsia="zh-CN"/>
          <w14:textFill>
            <w14:solidFill>
              <w14:schemeClr w14:val="tx1"/>
            </w14:solidFill>
          </w14:textFill>
        </w:rPr>
        <w:t>0</w:t>
      </w:r>
      <w:r>
        <w:rPr>
          <w:rStyle w:val="20"/>
          <w:rFonts w:hint="default" w:hAnsi="仿宋"/>
          <w:color w:val="000000" w:themeColor="text1"/>
          <w14:textFill>
            <w14:solidFill>
              <w14:schemeClr w14:val="tx1"/>
            </w14:solidFill>
          </w14:textFill>
        </w:rPr>
        <w:t>万元，占</w:t>
      </w:r>
      <w:r>
        <w:rPr>
          <w:rStyle w:val="21"/>
          <w:rFonts w:hint="eastAsia" w:ascii="仿宋_GB2312" w:hAnsi="仿宋" w:eastAsia="仿宋_GB2312"/>
          <w:color w:val="000000" w:themeColor="text1"/>
          <w:lang w:val="en-US" w:eastAsia="zh-CN"/>
          <w14:textFill>
            <w14:solidFill>
              <w14:schemeClr w14:val="tx1"/>
            </w14:solidFill>
          </w14:textFill>
        </w:rPr>
        <w:t>0</w:t>
      </w:r>
      <w:r>
        <w:rPr>
          <w:rStyle w:val="21"/>
          <w:rFonts w:hint="eastAsia" w:ascii="仿宋_GB2312" w:hAnsi="仿宋" w:eastAsia="仿宋_GB2312"/>
          <w:color w:val="000000" w:themeColor="text1"/>
          <w14:textFill>
            <w14:solidFill>
              <w14:schemeClr w14:val="tx1"/>
            </w14:solidFill>
          </w14:textFill>
        </w:rPr>
        <w:t>%</w:t>
      </w:r>
      <w:r>
        <w:rPr>
          <w:rStyle w:val="20"/>
          <w:rFonts w:hint="default" w:hAnsi="仿宋"/>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四、一般公共预算情况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Style w:val="21"/>
          <w:rFonts w:hint="eastAsia" w:ascii="仿宋_GB2312" w:hAnsi="仿宋" w:eastAsia="仿宋_GB2312"/>
          <w:color w:val="000000" w:themeColor="text1"/>
          <w14:textFill>
            <w14:solidFill>
              <w14:schemeClr w14:val="tx1"/>
            </w14:solidFill>
          </w14:textFill>
        </w:rPr>
        <w:t>202</w:t>
      </w:r>
      <w:r>
        <w:rPr>
          <w:rStyle w:val="21"/>
          <w:rFonts w:hint="eastAsia" w:ascii="仿宋_GB2312" w:hAnsi="仿宋" w:eastAsia="仿宋_GB2312"/>
          <w:color w:val="000000" w:themeColor="text1"/>
          <w:lang w:val="en-US" w:eastAsia="zh-CN"/>
          <w14:textFill>
            <w14:solidFill>
              <w14:schemeClr w14:val="tx1"/>
            </w14:solidFill>
          </w14:textFill>
        </w:rPr>
        <w:t>5</w:t>
      </w:r>
      <w:r>
        <w:rPr>
          <w:rStyle w:val="20"/>
          <w:rFonts w:hint="default" w:hAnsi="仿宋"/>
          <w:color w:val="000000" w:themeColor="text1"/>
          <w14:textFill>
            <w14:solidFill>
              <w14:schemeClr w14:val="tx1"/>
            </w14:solidFill>
          </w14:textFill>
        </w:rPr>
        <w:t>年一般公共预算当年支出</w:t>
      </w:r>
      <w:r>
        <w:rPr>
          <w:rFonts w:hint="eastAsia" w:ascii="仿宋_GB2312" w:hAnsi="仿宋" w:eastAsia="仿宋_GB2312"/>
          <w:color w:val="000000" w:themeColor="text1"/>
          <w:sz w:val="32"/>
          <w:szCs w:val="32"/>
          <w:lang w:val="en-US" w:eastAsia="zh-CN"/>
          <w14:textFill>
            <w14:solidFill>
              <w14:schemeClr w14:val="tx1"/>
            </w14:solidFill>
          </w14:textFill>
        </w:rPr>
        <w:t>9401.28</w:t>
      </w:r>
      <w:r>
        <w:rPr>
          <w:rStyle w:val="20"/>
          <w:rFonts w:hint="default" w:hAnsi="仿宋"/>
          <w:color w:val="000000" w:themeColor="text1"/>
          <w14:textFill>
            <w14:solidFill>
              <w14:schemeClr w14:val="tx1"/>
            </w14:solidFill>
          </w14:textFill>
        </w:rPr>
        <w:t>万元，包括：</w:t>
      </w:r>
      <w:r>
        <w:rPr>
          <w:rStyle w:val="20"/>
          <w:rFonts w:hint="eastAsia" w:hAnsi="仿宋" w:eastAsia="仿宋_GB2312"/>
          <w:color w:val="000000" w:themeColor="text1"/>
          <w:lang w:eastAsia="zh-CN"/>
          <w14:textFill>
            <w14:solidFill>
              <w14:schemeClr w14:val="tx1"/>
            </w14:solidFill>
          </w14:textFill>
        </w:rPr>
        <w:t>农林水</w:t>
      </w:r>
      <w:r>
        <w:rPr>
          <w:rStyle w:val="20"/>
          <w:rFonts w:hint="default" w:hAnsi="仿宋"/>
          <w:color w:val="000000" w:themeColor="text1"/>
          <w14:textFill>
            <w14:solidFill>
              <w14:schemeClr w14:val="tx1"/>
            </w14:solidFill>
          </w14:textFill>
        </w:rPr>
        <w:t>支出</w:t>
      </w:r>
      <w:r>
        <w:rPr>
          <w:rStyle w:val="21"/>
          <w:rFonts w:hint="eastAsia" w:ascii="仿宋_GB2312" w:hAnsi="仿宋" w:eastAsia="仿宋_GB2312"/>
          <w:color w:val="000000" w:themeColor="text1"/>
          <w:lang w:val="en-US" w:eastAsia="zh-CN"/>
          <w14:textFill>
            <w14:solidFill>
              <w14:schemeClr w14:val="tx1"/>
            </w14:solidFill>
          </w14:textFill>
        </w:rPr>
        <w:t>9252.17</w:t>
      </w:r>
      <w:r>
        <w:rPr>
          <w:rStyle w:val="20"/>
          <w:rFonts w:hint="default" w:hAnsi="仿宋"/>
          <w:color w:val="000000" w:themeColor="text1"/>
          <w14:textFill>
            <w14:solidFill>
              <w14:schemeClr w14:val="tx1"/>
            </w14:solidFill>
          </w14:textFill>
        </w:rPr>
        <w:t>万元、</w:t>
      </w:r>
      <w:r>
        <w:rPr>
          <w:rStyle w:val="20"/>
          <w:rFonts w:hint="eastAsia" w:hAnsi="仿宋" w:eastAsia="仿宋_GB2312"/>
          <w:color w:val="000000" w:themeColor="text1"/>
          <w:lang w:eastAsia="zh-CN"/>
          <w14:textFill>
            <w14:solidFill>
              <w14:schemeClr w14:val="tx1"/>
            </w14:solidFill>
          </w14:textFill>
        </w:rPr>
        <w:t>卫生健康支</w:t>
      </w:r>
      <w:r>
        <w:rPr>
          <w:rStyle w:val="20"/>
          <w:rFonts w:hint="default" w:hAnsi="仿宋"/>
          <w:color w:val="000000" w:themeColor="text1"/>
          <w14:textFill>
            <w14:solidFill>
              <w14:schemeClr w14:val="tx1"/>
            </w14:solidFill>
          </w14:textFill>
        </w:rPr>
        <w:t>出</w:t>
      </w:r>
      <w:r>
        <w:rPr>
          <w:rStyle w:val="21"/>
          <w:rFonts w:hint="eastAsia" w:ascii="仿宋_GB2312" w:hAnsi="仿宋" w:eastAsia="仿宋_GB2312"/>
          <w:color w:val="000000" w:themeColor="text1"/>
          <w:lang w:val="en-US" w:eastAsia="zh-CN"/>
          <w14:textFill>
            <w14:solidFill>
              <w14:schemeClr w14:val="tx1"/>
            </w14:solidFill>
          </w14:textFill>
        </w:rPr>
        <w:t>26.15</w:t>
      </w:r>
      <w:r>
        <w:rPr>
          <w:rStyle w:val="20"/>
          <w:rFonts w:hint="default" w:hAnsi="仿宋"/>
          <w:color w:val="000000" w:themeColor="text1"/>
          <w14:textFill>
            <w14:solidFill>
              <w14:schemeClr w14:val="tx1"/>
            </w14:solidFill>
          </w14:textFill>
        </w:rPr>
        <w:t>万元、</w:t>
      </w:r>
      <w:r>
        <w:rPr>
          <w:rStyle w:val="20"/>
          <w:rFonts w:hint="eastAsia" w:hAnsi="仿宋" w:eastAsia="仿宋_GB2312"/>
          <w:color w:val="000000" w:themeColor="text1"/>
          <w:lang w:eastAsia="zh-CN"/>
          <w14:textFill>
            <w14:solidFill>
              <w14:schemeClr w14:val="tx1"/>
            </w14:solidFill>
          </w14:textFill>
        </w:rPr>
        <w:t>住房保障支出</w:t>
      </w:r>
      <w:r>
        <w:rPr>
          <w:rStyle w:val="20"/>
          <w:rFonts w:hint="eastAsia" w:hAnsi="仿宋" w:eastAsia="仿宋_GB2312"/>
          <w:color w:val="000000" w:themeColor="text1"/>
          <w:lang w:val="en-US" w:eastAsia="zh-CN"/>
          <w14:textFill>
            <w14:solidFill>
              <w14:schemeClr w14:val="tx1"/>
            </w14:solidFill>
          </w14:textFill>
        </w:rPr>
        <w:t>38.1</w:t>
      </w:r>
      <w:r>
        <w:rPr>
          <w:rStyle w:val="20"/>
          <w:rFonts w:hint="default" w:hAnsi="仿宋"/>
          <w:color w:val="000000" w:themeColor="text1"/>
          <w14:textFill>
            <w14:solidFill>
              <w14:schemeClr w14:val="tx1"/>
            </w14:solidFill>
          </w14:textFill>
        </w:rPr>
        <w:t>万元、科学技术支出</w:t>
      </w:r>
      <w:r>
        <w:rPr>
          <w:rStyle w:val="21"/>
          <w:rFonts w:hint="eastAsia" w:ascii="仿宋_GB2312" w:hAnsi="仿宋" w:eastAsia="仿宋_GB2312"/>
          <w:color w:val="000000" w:themeColor="text1"/>
          <w:lang w:val="en-US" w:eastAsia="zh-CN"/>
          <w14:textFill>
            <w14:solidFill>
              <w14:schemeClr w14:val="tx1"/>
            </w14:solidFill>
          </w14:textFill>
        </w:rPr>
        <w:t>0</w:t>
      </w:r>
      <w:r>
        <w:rPr>
          <w:rStyle w:val="20"/>
          <w:rFonts w:hint="default" w:hAnsi="仿宋"/>
          <w:color w:val="000000" w:themeColor="text1"/>
          <w14:textFill>
            <w14:solidFill>
              <w14:schemeClr w14:val="tx1"/>
            </w14:solidFill>
          </w14:textFill>
        </w:rPr>
        <w:t>万元、社会保障和就业支出</w:t>
      </w:r>
      <w:r>
        <w:rPr>
          <w:rStyle w:val="21"/>
          <w:rFonts w:hint="eastAsia" w:ascii="仿宋_GB2312" w:hAnsi="仿宋" w:eastAsia="仿宋_GB2312"/>
          <w:color w:val="000000" w:themeColor="text1"/>
          <w:lang w:val="en-US" w:eastAsia="zh-CN"/>
          <w14:textFill>
            <w14:solidFill>
              <w14:schemeClr w14:val="tx1"/>
            </w14:solidFill>
          </w14:textFill>
        </w:rPr>
        <w:t>84.86</w:t>
      </w:r>
      <w:r>
        <w:rPr>
          <w:rStyle w:val="20"/>
          <w:rFonts w:hint="default" w:hAnsi="仿宋"/>
          <w:color w:val="000000" w:themeColor="text1"/>
          <w14:textFill>
            <w14:solidFill>
              <w14:schemeClr w14:val="tx1"/>
            </w14:solidFill>
          </w14:textFill>
        </w:rPr>
        <w:t>万元、其他支出</w:t>
      </w:r>
      <w:r>
        <w:rPr>
          <w:rStyle w:val="21"/>
          <w:rFonts w:hint="eastAsia" w:ascii="仿宋_GB2312" w:hAnsi="仿宋" w:eastAsia="仿宋_GB2312"/>
          <w:color w:val="000000" w:themeColor="text1"/>
          <w:lang w:val="en-US" w:eastAsia="zh-CN"/>
          <w14:textFill>
            <w14:solidFill>
              <w14:schemeClr w14:val="tx1"/>
            </w14:solidFill>
          </w14:textFill>
        </w:rPr>
        <w:t>0</w:t>
      </w:r>
      <w:r>
        <w:rPr>
          <w:rStyle w:val="20"/>
          <w:rFonts w:hint="default" w:hAnsi="仿宋"/>
          <w:color w:val="000000" w:themeColor="text1"/>
          <w14:textFill>
            <w14:solidFill>
              <w14:schemeClr w14:val="tx1"/>
            </w14:solidFill>
          </w14:textFill>
        </w:rPr>
        <w:t>万元。</w:t>
      </w:r>
      <w:r>
        <w:rPr>
          <w:rFonts w:hint="eastAsia" w:ascii="仿宋_GB2312" w:hAnsi="仿宋" w:eastAsia="仿宋_GB2312"/>
          <w:color w:val="000000" w:themeColor="text1"/>
          <w:sz w:val="32"/>
          <w:szCs w:val="32"/>
          <w14:textFill>
            <w14:solidFill>
              <w14:schemeClr w14:val="tx1"/>
            </w14:solidFill>
          </w14:textFill>
        </w:rPr>
        <w:t>具体安排情况如下</w:t>
      </w:r>
      <w:r>
        <w:rPr>
          <w:rFonts w:hint="eastAsia" w:ascii="仿宋_GB2312" w:hAnsi="微软雅黑" w:eastAsia="仿宋_GB2312"/>
          <w:color w:val="000000" w:themeColor="text1"/>
          <w:sz w:val="32"/>
          <w:szCs w:val="32"/>
          <w14:textFill>
            <w14:solidFill>
              <w14:schemeClr w14:val="tx1"/>
            </w14:solidFill>
          </w14:textFill>
        </w:rPr>
        <w:t>（详见部门（单位）预算公开表4,5,6,7）</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（一）基本支出</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年基本支出</w:t>
      </w:r>
      <w:r>
        <w:rPr>
          <w:rFonts w:hint="eastAsia" w:ascii="仿宋_GB2312" w:hAnsi="仿宋" w:eastAsia="仿宋_GB2312"/>
          <w:color w:val="000000" w:themeColor="text1"/>
          <w:sz w:val="32"/>
          <w:szCs w:val="32"/>
          <w:lang w:val="en-US" w:eastAsia="zh-CN"/>
          <w14:textFill>
            <w14:solidFill>
              <w14:schemeClr w14:val="tx1"/>
            </w14:solidFill>
          </w14:textFill>
        </w:rPr>
        <w:t>568.08</w:t>
      </w:r>
      <w:r>
        <w:rPr>
          <w:rFonts w:hint="eastAsia" w:ascii="仿宋_GB2312" w:hAnsi="仿宋" w:eastAsia="仿宋_GB2312"/>
          <w:color w:val="000000" w:themeColor="text1"/>
          <w:sz w:val="32"/>
          <w:szCs w:val="32"/>
          <w14:textFill>
            <w14:solidFill>
              <w14:schemeClr w14:val="tx1"/>
            </w14:solidFill>
          </w14:textFill>
        </w:rPr>
        <w:t>万元，比202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年预算</w:t>
      </w:r>
      <w:r>
        <w:rPr>
          <w:rFonts w:hint="eastAsia" w:ascii="仿宋_GB2312" w:hAnsi="仿宋" w:eastAsia="仿宋_GB2312"/>
          <w:color w:val="000000" w:themeColor="text1"/>
          <w:sz w:val="32"/>
          <w:szCs w:val="32"/>
          <w:lang w:val="en-US" w:eastAsia="zh-CN"/>
          <w14:textFill>
            <w14:solidFill>
              <w14:schemeClr w14:val="tx1"/>
            </w14:solidFill>
          </w14:textFill>
        </w:rPr>
        <w:t>增加277.71</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themeColor="text1"/>
          <w:sz w:val="32"/>
          <w:szCs w:val="32"/>
          <w:lang w:eastAsia="zh-CN"/>
          <w14:textFill>
            <w14:solidFill>
              <w14:schemeClr w14:val="tx1"/>
            </w14:solidFill>
          </w14:textFill>
        </w:rPr>
        <w:t>增加</w:t>
      </w:r>
      <w:r>
        <w:rPr>
          <w:rFonts w:hint="eastAsia" w:ascii="仿宋_GB2312" w:hAnsi="仿宋" w:eastAsia="仿宋_GB2312"/>
          <w:color w:val="000000" w:themeColor="text1"/>
          <w:sz w:val="32"/>
          <w:szCs w:val="32"/>
          <w14:textFill>
            <w14:solidFill>
              <w14:schemeClr w14:val="tx1"/>
            </w14:solidFill>
          </w14:textFill>
        </w:rPr>
        <w:t>的主要原因是</w:t>
      </w:r>
      <w:r>
        <w:rPr>
          <w:rFonts w:hint="eastAsia" w:ascii="仿宋_GB2312" w:hAnsi="仿宋" w:eastAsia="仿宋_GB2312"/>
          <w:color w:val="000000" w:themeColor="text1"/>
          <w:sz w:val="32"/>
          <w:szCs w:val="32"/>
          <w:lang w:eastAsia="zh-CN"/>
          <w14:textFill>
            <w14:solidFill>
              <w14:schemeClr w14:val="tx1"/>
            </w14:solidFill>
          </w14:textFill>
        </w:rPr>
        <w:t>人员</w:t>
      </w:r>
      <w:r>
        <w:rPr>
          <w:rFonts w:hint="eastAsia" w:ascii="仿宋_GB2312" w:hAnsi="仿宋" w:eastAsia="仿宋_GB2312"/>
          <w:color w:val="000000" w:themeColor="text1"/>
          <w:sz w:val="32"/>
          <w:szCs w:val="32"/>
          <w:lang w:val="en-US" w:eastAsia="zh-CN"/>
          <w14:textFill>
            <w14:solidFill>
              <w14:schemeClr w14:val="tx1"/>
            </w14:solidFill>
          </w14:textFill>
        </w:rPr>
        <w:t>工资增加</w:t>
      </w:r>
      <w:r>
        <w:rPr>
          <w:rFonts w:hint="eastAsia" w:ascii="仿宋_GB2312" w:hAnsi="仿宋" w:eastAsia="仿宋_GB2312"/>
          <w:color w:val="000000" w:themeColor="text1"/>
          <w:sz w:val="32"/>
          <w:szCs w:val="32"/>
          <w:lang w:eastAsia="zh-CN"/>
          <w14:textFill>
            <w14:solidFill>
              <w14:schemeClr w14:val="tx1"/>
            </w14:solidFill>
          </w14:textFill>
        </w:rPr>
        <w:t>，预算</w:t>
      </w:r>
      <w:r>
        <w:rPr>
          <w:rFonts w:hint="eastAsia" w:ascii="仿宋_GB2312" w:hAnsi="仿宋" w:eastAsia="仿宋_GB2312"/>
          <w:color w:val="000000" w:themeColor="text1"/>
          <w:sz w:val="32"/>
          <w:szCs w:val="32"/>
          <w:lang w:val="en-US" w:eastAsia="zh-CN"/>
          <w14:textFill>
            <w14:solidFill>
              <w14:schemeClr w14:val="tx1"/>
            </w14:solidFill>
          </w14:textFill>
        </w:rPr>
        <w:t>增加</w:t>
      </w:r>
      <w:r>
        <w:rPr>
          <w:rFonts w:hint="eastAsia" w:ascii="仿宋_GB2312" w:hAnsi="仿宋"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其中：人员经费支出 </w:t>
      </w:r>
      <w:r>
        <w:rPr>
          <w:rFonts w:hint="eastAsia" w:ascii="仿宋_GB2312" w:hAnsi="仿宋" w:eastAsia="仿宋_GB2312"/>
          <w:color w:val="000000" w:themeColor="text1"/>
          <w:sz w:val="32"/>
          <w:szCs w:val="32"/>
          <w:lang w:val="en-US" w:eastAsia="zh-CN"/>
          <w14:textFill>
            <w14:solidFill>
              <w14:schemeClr w14:val="tx1"/>
            </w14:solidFill>
          </w14:textFill>
        </w:rPr>
        <w:t>532.48</w:t>
      </w:r>
      <w:r>
        <w:rPr>
          <w:rFonts w:hint="eastAsia" w:ascii="仿宋_GB2312" w:hAnsi="仿宋" w:eastAsia="仿宋_GB2312"/>
          <w:color w:val="000000" w:themeColor="text1"/>
          <w:sz w:val="32"/>
          <w:szCs w:val="32"/>
          <w14:textFill>
            <w14:solidFill>
              <w14:schemeClr w14:val="tx1"/>
            </w14:solidFill>
          </w14:textFill>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公用经费支出</w:t>
      </w:r>
      <w:r>
        <w:rPr>
          <w:rFonts w:hint="eastAsia" w:ascii="仿宋_GB2312" w:hAnsi="仿宋" w:eastAsia="仿宋_GB2312"/>
          <w:color w:val="000000" w:themeColor="text1"/>
          <w:sz w:val="32"/>
          <w:szCs w:val="32"/>
          <w:lang w:val="en-US" w:eastAsia="zh-CN"/>
          <w14:textFill>
            <w14:solidFill>
              <w14:schemeClr w14:val="tx1"/>
            </w14:solidFill>
          </w14:textFill>
        </w:rPr>
        <w:t>35.6</w:t>
      </w:r>
      <w:r>
        <w:rPr>
          <w:rFonts w:hint="eastAsia" w:ascii="仿宋_GB2312" w:hAnsi="仿宋" w:eastAsia="仿宋_GB2312"/>
          <w:color w:val="000000" w:themeColor="text1"/>
          <w:sz w:val="32"/>
          <w:szCs w:val="32"/>
          <w14:textFill>
            <w14:solidFill>
              <w14:schemeClr w14:val="tx1"/>
            </w14:solidFill>
          </w14:textFill>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（二）项目支出</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年一般公共预算财政拨款项目支出预算</w:t>
      </w:r>
      <w:r>
        <w:rPr>
          <w:rFonts w:hint="eastAsia" w:ascii="仿宋_GB2312" w:hAnsi="仿宋" w:eastAsia="仿宋_GB2312"/>
          <w:color w:val="000000" w:themeColor="text1"/>
          <w:sz w:val="32"/>
          <w:szCs w:val="32"/>
          <w:lang w:val="en-US" w:eastAsia="zh-CN"/>
          <w14:textFill>
            <w14:solidFill>
              <w14:schemeClr w14:val="tx1"/>
            </w14:solidFill>
          </w14:textFill>
        </w:rPr>
        <w:t>8833.2</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themeColor="text1"/>
          <w:sz w:val="32"/>
          <w:szCs w:val="32"/>
          <w:lang w:eastAsia="zh-CN"/>
          <w14:textFill>
            <w14:solidFill>
              <w14:schemeClr w14:val="tx1"/>
            </w14:solidFill>
          </w14:textFill>
        </w:rPr>
        <w:t>与</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年预算</w:t>
      </w:r>
      <w:r>
        <w:rPr>
          <w:rFonts w:hint="eastAsia" w:ascii="仿宋_GB2312" w:hAnsi="仿宋" w:eastAsia="仿宋_GB2312"/>
          <w:color w:val="000000" w:themeColor="text1"/>
          <w:sz w:val="32"/>
          <w:szCs w:val="32"/>
          <w:lang w:eastAsia="zh-CN"/>
          <w14:textFill>
            <w14:solidFill>
              <w14:schemeClr w14:val="tx1"/>
            </w14:solidFill>
          </w14:textFill>
        </w:rPr>
        <w:t>增加</w:t>
      </w:r>
      <w:r>
        <w:rPr>
          <w:rFonts w:hint="eastAsia" w:ascii="仿宋_GB2312" w:hAnsi="仿宋" w:eastAsia="仿宋_GB2312"/>
          <w:color w:val="000000" w:themeColor="text1"/>
          <w:sz w:val="32"/>
          <w:szCs w:val="32"/>
          <w:lang w:val="en-US" w:eastAsia="zh-CN"/>
          <w14:textFill>
            <w14:solidFill>
              <w14:schemeClr w14:val="tx1"/>
            </w14:solidFill>
          </w14:textFill>
        </w:rPr>
        <w:t>7712.2万</w:t>
      </w:r>
      <w:r>
        <w:rPr>
          <w:rFonts w:hint="eastAsia" w:ascii="仿宋_GB2312" w:hAnsi="仿宋" w:eastAsia="仿宋_GB2312"/>
          <w:color w:val="000000" w:themeColor="text1"/>
          <w:sz w:val="32"/>
          <w:szCs w:val="32"/>
          <w:lang w:eastAsia="zh-CN"/>
          <w14:textFill>
            <w14:solidFill>
              <w14:schemeClr w14:val="tx1"/>
            </w14:solidFill>
          </w14:textFill>
        </w:rPr>
        <w:t>，增加的原因是机构改革，乡村振兴局并入到农业农村局，增加了</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lang w:eastAsia="zh-CN"/>
          <w14:textFill>
            <w14:solidFill>
              <w14:schemeClr w14:val="tx1"/>
            </w14:solidFill>
          </w14:textFill>
        </w:rPr>
        <w:t>个项目。</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（三）支出功能分类说明</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TimesNewRomanPS-BoldMT" w:eastAsia="仿宋_GB2312"/>
          <w:bCs/>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社会保障和就业支出（类）行政事业单位养老支出（款）机关事业单位基本养老保险缴费支出（项）</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hAnsi="TimesNewRomanPSMT" w:eastAsia="仿宋_GB2312"/>
          <w:color w:val="000000" w:themeColor="text1"/>
          <w:sz w:val="32"/>
          <w:szCs w:val="32"/>
          <w:lang w:val="en-US" w:eastAsia="zh-CN"/>
          <w14:textFill>
            <w14:solidFill>
              <w14:schemeClr w14:val="tx1"/>
            </w14:solidFill>
          </w14:textFill>
        </w:rPr>
        <w:t>50.8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 xml:space="preserve">比 </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4</w:t>
      </w:r>
      <w:r>
        <w:rPr>
          <w:rFonts w:hint="eastAsia" w:ascii="仿宋_GB2312" w:hAnsi="TimesNewRomanPSMT"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年预算</w:t>
      </w:r>
      <w:r>
        <w:rPr>
          <w:rFonts w:hint="eastAsia" w:ascii="仿宋_GB2312" w:eastAsia="仿宋_GB2312"/>
          <w:color w:val="000000" w:themeColor="text1"/>
          <w:sz w:val="32"/>
          <w:szCs w:val="32"/>
          <w:lang w:val="en-US" w:eastAsia="zh-CN"/>
          <w14:textFill>
            <w14:solidFill>
              <w14:schemeClr w14:val="tx1"/>
            </w14:solidFill>
          </w14:textFill>
        </w:rPr>
        <w:t>增加26.26</w:t>
      </w:r>
      <w:r>
        <w:rPr>
          <w:rFonts w:hint="eastAsia" w:ascii="仿宋_GB2312" w:eastAsia="仿宋_GB2312"/>
          <w:color w:val="000000" w:themeColor="text1"/>
          <w:sz w:val="32"/>
          <w:szCs w:val="32"/>
          <w14:textFill>
            <w14:solidFill>
              <w14:schemeClr w14:val="tx1"/>
            </w14:solidFill>
          </w14:textFill>
        </w:rPr>
        <w:t>万元， 主要原因是</w:t>
      </w:r>
      <w:r>
        <w:rPr>
          <w:rFonts w:hint="eastAsia" w:ascii="仿宋_GB2312" w:eastAsia="仿宋_GB2312"/>
          <w:color w:val="000000" w:themeColor="text1"/>
          <w:sz w:val="32"/>
          <w:szCs w:val="32"/>
          <w:lang w:eastAsia="zh-CN"/>
          <w14:textFill>
            <w14:solidFill>
              <w14:schemeClr w14:val="tx1"/>
            </w14:solidFill>
          </w14:textFill>
        </w:rPr>
        <w:t>人员增加，社会保险基数</w:t>
      </w:r>
      <w:r>
        <w:rPr>
          <w:rFonts w:hint="eastAsia" w:ascii="仿宋_GB2312" w:eastAsia="仿宋_GB2312"/>
          <w:color w:val="000000" w:themeColor="text1"/>
          <w:sz w:val="32"/>
          <w:szCs w:val="32"/>
          <w:lang w:val="en-US" w:eastAsia="zh-CN"/>
          <w14:textFill>
            <w14:solidFill>
              <w14:schemeClr w14:val="tx1"/>
            </w14:solidFill>
          </w14:textFill>
        </w:rPr>
        <w:t>增加</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2.社会保障和就业支出（类）行政事业单位养老支出（款）机关事业单位职业年金缴费支出（项）</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hAnsi="TimesNewRomanPSMT" w:eastAsia="仿宋_GB2312"/>
          <w:color w:val="000000" w:themeColor="text1"/>
          <w:sz w:val="32"/>
          <w:szCs w:val="32"/>
          <w:lang w:val="en-US" w:eastAsia="zh-CN"/>
          <w14:textFill>
            <w14:solidFill>
              <w14:schemeClr w14:val="tx1"/>
            </w14:solidFill>
          </w14:textFill>
        </w:rPr>
        <w:t>25.4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比</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4</w:t>
      </w:r>
      <w:r>
        <w:rPr>
          <w:rFonts w:hint="eastAsia" w:ascii="仿宋_GB2312" w:hAnsi="TimesNewRomanPSMT"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年预算</w:t>
      </w:r>
      <w:r>
        <w:rPr>
          <w:rFonts w:hint="eastAsia" w:ascii="仿宋_GB2312" w:eastAsia="仿宋_GB2312"/>
          <w:color w:val="000000" w:themeColor="text1"/>
          <w:sz w:val="32"/>
          <w:szCs w:val="32"/>
          <w:lang w:val="en-US" w:eastAsia="zh-CN"/>
          <w14:textFill>
            <w14:solidFill>
              <w14:schemeClr w14:val="tx1"/>
            </w14:solidFill>
          </w14:textFill>
        </w:rPr>
        <w:t>增加12.7</w:t>
      </w:r>
      <w:r>
        <w:rPr>
          <w:rFonts w:hint="eastAsia" w:ascii="仿宋_GB2312" w:eastAsia="仿宋_GB2312"/>
          <w:color w:val="000000" w:themeColor="text1"/>
          <w:sz w:val="32"/>
          <w:szCs w:val="32"/>
          <w14:textFill>
            <w14:solidFill>
              <w14:schemeClr w14:val="tx1"/>
            </w14:solidFill>
          </w14:textFill>
        </w:rPr>
        <w:t>万元， 主要原因是</w:t>
      </w:r>
      <w:r>
        <w:rPr>
          <w:rFonts w:hint="eastAsia" w:ascii="仿宋_GB2312" w:eastAsia="仿宋_GB2312"/>
          <w:color w:val="000000" w:themeColor="text1"/>
          <w:sz w:val="32"/>
          <w:szCs w:val="32"/>
          <w:lang w:eastAsia="zh-CN"/>
          <w14:textFill>
            <w14:solidFill>
              <w14:schemeClr w14:val="tx1"/>
            </w14:solidFill>
          </w14:textFill>
        </w:rPr>
        <w:t>人员增加，社会保险基数</w:t>
      </w:r>
      <w:r>
        <w:rPr>
          <w:rFonts w:hint="eastAsia" w:ascii="仿宋_GB2312" w:eastAsia="仿宋_GB2312"/>
          <w:color w:val="000000" w:themeColor="text1"/>
          <w:sz w:val="32"/>
          <w:szCs w:val="32"/>
          <w:lang w:val="en-US" w:eastAsia="zh-CN"/>
          <w14:textFill>
            <w14:solidFill>
              <w14:schemeClr w14:val="tx1"/>
            </w14:solidFill>
          </w14:textFill>
        </w:rPr>
        <w:t>增加</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TimesNewRomanPS-BoldMT" w:eastAsia="仿宋_GB2312"/>
          <w:bCs/>
          <w:color w:val="000000" w:themeColor="text1"/>
          <w:sz w:val="32"/>
          <w:szCs w:val="32"/>
          <w:lang w:val="en-US" w:eastAsia="zh-CN"/>
          <w14:textFill>
            <w14:solidFill>
              <w14:schemeClr w14:val="tx1"/>
            </w14:solidFill>
          </w14:textFill>
        </w:rPr>
        <w:t>3</w:t>
      </w:r>
      <w:r>
        <w:rPr>
          <w:rFonts w:hint="eastAsia" w:ascii="仿宋_GB2312" w:hAnsi="TimesNewRomanPS-BoldMT" w:eastAsia="仿宋_GB2312"/>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社会保障和就业支出（类） 抚恤（款） 其他优抚支出（项）</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hAnsi="TimesNewRomanPSMT" w:eastAsia="仿宋_GB2312"/>
          <w:color w:val="000000" w:themeColor="text1"/>
          <w:sz w:val="32"/>
          <w:szCs w:val="32"/>
          <w:lang w:val="en-US" w:eastAsia="zh-CN"/>
          <w14:textFill>
            <w14:solidFill>
              <w14:schemeClr w14:val="tx1"/>
            </w14:solidFill>
          </w14:textFill>
        </w:rPr>
        <w:t>2.69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比</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年预算</w:t>
      </w:r>
      <w:r>
        <w:rPr>
          <w:rFonts w:hint="eastAsia" w:ascii="仿宋_GB2312" w:eastAsia="仿宋_GB2312"/>
          <w:color w:val="000000" w:themeColor="text1"/>
          <w:sz w:val="32"/>
          <w:szCs w:val="32"/>
          <w:lang w:eastAsia="zh-CN"/>
          <w14:textFill>
            <w14:solidFill>
              <w14:schemeClr w14:val="tx1"/>
            </w14:solidFill>
          </w14:textFill>
        </w:rPr>
        <w:t>增加</w:t>
      </w:r>
      <w:r>
        <w:rPr>
          <w:rFonts w:hint="eastAsia" w:ascii="仿宋_GB2312" w:eastAsia="仿宋_GB2312"/>
          <w:color w:val="000000" w:themeColor="text1"/>
          <w:sz w:val="32"/>
          <w:szCs w:val="32"/>
          <w:lang w:val="en-US" w:eastAsia="zh-CN"/>
          <w14:textFill>
            <w14:solidFill>
              <w14:schemeClr w14:val="tx1"/>
            </w14:solidFill>
          </w14:textFill>
        </w:rPr>
        <w:t>0.7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人数增加。</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.社会保障和就业支出（类） 其他社会保障和就业支出（款） 其他社会保障和就业支出（项）</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hAnsi="TimesNewRomanPSMT" w:eastAsia="仿宋_GB2312"/>
          <w:color w:val="000000" w:themeColor="text1"/>
          <w:sz w:val="32"/>
          <w:szCs w:val="32"/>
          <w:lang w:val="en-US" w:eastAsia="zh-CN"/>
          <w14:textFill>
            <w14:solidFill>
              <w14:schemeClr w14:val="tx1"/>
            </w14:solidFill>
          </w14:textFill>
        </w:rPr>
        <w:t>5.96</w:t>
      </w:r>
      <w:r>
        <w:rPr>
          <w:rFonts w:hint="eastAsia" w:ascii="仿宋_GB2312" w:eastAsia="仿宋_GB2312"/>
          <w:color w:val="000000" w:themeColor="text1"/>
          <w:sz w:val="32"/>
          <w:szCs w:val="32"/>
          <w14:textFill>
            <w14:solidFill>
              <w14:schemeClr w14:val="tx1"/>
            </w14:solidFill>
          </w14:textFill>
        </w:rPr>
        <w:t>万</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比</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年预算</w:t>
      </w:r>
      <w:r>
        <w:rPr>
          <w:rFonts w:hint="eastAsia" w:ascii="仿宋_GB2312" w:eastAsia="仿宋_GB2312"/>
          <w:color w:val="000000" w:themeColor="text1"/>
          <w:sz w:val="32"/>
          <w:szCs w:val="32"/>
          <w:lang w:eastAsia="zh-CN"/>
          <w14:textFill>
            <w14:solidFill>
              <w14:schemeClr w14:val="tx1"/>
            </w14:solidFill>
          </w14:textFill>
        </w:rPr>
        <w:t>增加</w:t>
      </w:r>
      <w:r>
        <w:rPr>
          <w:rFonts w:hint="eastAsia" w:ascii="仿宋_GB2312" w:eastAsia="仿宋_GB2312"/>
          <w:color w:val="000000" w:themeColor="text1"/>
          <w:sz w:val="32"/>
          <w:szCs w:val="32"/>
          <w:lang w:val="en-US" w:eastAsia="zh-CN"/>
          <w14:textFill>
            <w14:solidFill>
              <w14:schemeClr w14:val="tx1"/>
            </w14:solidFill>
          </w14:textFill>
        </w:rPr>
        <w:t>5.23</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人员增加。</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TimesNewRomanPS-BoldMT" w:eastAsia="仿宋_GB2312"/>
          <w:bCs/>
          <w:color w:val="000000" w:themeColor="text1"/>
          <w:sz w:val="32"/>
          <w:szCs w:val="32"/>
          <w:lang w:val="en-US" w:eastAsia="zh-CN"/>
          <w14:textFill>
            <w14:solidFill>
              <w14:schemeClr w14:val="tx1"/>
            </w14:solidFill>
          </w14:textFill>
        </w:rPr>
        <w:t>5</w:t>
      </w:r>
      <w:r>
        <w:rPr>
          <w:rFonts w:hint="eastAsia" w:ascii="仿宋_GB2312" w:hAnsi="TimesNewRomanPS-BoldMT" w:eastAsia="仿宋_GB2312"/>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卫生健康支出（类）行政事业单位医疗（款） 行政单位医疗（项）</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hAnsi="TimesNewRomanPSMT" w:eastAsia="仿宋_GB2312"/>
          <w:color w:val="000000" w:themeColor="text1"/>
          <w:sz w:val="32"/>
          <w:szCs w:val="32"/>
          <w:lang w:val="en-US" w:eastAsia="zh-CN"/>
          <w14:textFill>
            <w14:solidFill>
              <w14:schemeClr w14:val="tx1"/>
            </w14:solidFill>
          </w14:textFill>
        </w:rPr>
        <w:t>26.15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比</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年预算</w:t>
      </w:r>
      <w:r>
        <w:rPr>
          <w:rFonts w:hint="eastAsia" w:ascii="仿宋_GB2312" w:eastAsia="仿宋_GB2312"/>
          <w:color w:val="000000" w:themeColor="text1"/>
          <w:sz w:val="32"/>
          <w:szCs w:val="32"/>
          <w:lang w:eastAsia="zh-CN"/>
          <w14:textFill>
            <w14:solidFill>
              <w14:schemeClr w14:val="tx1"/>
            </w14:solidFill>
          </w14:textFill>
        </w:rPr>
        <w:t>增加</w:t>
      </w:r>
      <w:r>
        <w:rPr>
          <w:rFonts w:hint="eastAsia" w:ascii="仿宋_GB2312" w:eastAsia="仿宋_GB2312"/>
          <w:color w:val="000000" w:themeColor="text1"/>
          <w:sz w:val="32"/>
          <w:szCs w:val="32"/>
          <w:lang w:val="en-US" w:eastAsia="zh-CN"/>
          <w14:textFill>
            <w14:solidFill>
              <w14:schemeClr w14:val="tx1"/>
            </w14:solidFill>
          </w14:textFill>
        </w:rPr>
        <w:t>12.54</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人员增加。</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b w:val="0"/>
          <w:bCs w:val="0"/>
          <w:color w:val="000000" w:themeColor="text1"/>
          <w:sz w:val="32"/>
          <w:szCs w:val="32"/>
          <w:lang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6</w:t>
      </w:r>
      <w:r>
        <w:rPr>
          <w:rFonts w:hint="eastAsia" w:ascii="仿宋_GB2312" w:eastAsia="仿宋_GB2312"/>
          <w:b w:val="0"/>
          <w:bCs w:val="0"/>
          <w:color w:val="000000" w:themeColor="text1"/>
          <w:sz w:val="32"/>
          <w:szCs w:val="32"/>
          <w14:textFill>
            <w14:solidFill>
              <w14:schemeClr w14:val="tx1"/>
            </w14:solidFill>
          </w14:textFill>
        </w:rPr>
        <w:t>.农林水支出（ 类） 农业农村（ 款） 一般行政管理事务（ 项）</w:t>
      </w:r>
      <w:r>
        <w:rPr>
          <w:rFonts w:hint="eastAsia" w:ascii="仿宋_GB2312" w:hAnsi="TimesNewRomanPSMT" w:eastAsia="仿宋_GB2312"/>
          <w:b w:val="0"/>
          <w:bCs w:val="0"/>
          <w:color w:val="000000" w:themeColor="text1"/>
          <w:sz w:val="32"/>
          <w:szCs w:val="32"/>
          <w14:textFill>
            <w14:solidFill>
              <w14:schemeClr w14:val="tx1"/>
            </w14:solidFill>
          </w14:textFill>
        </w:rPr>
        <w:t>202</w:t>
      </w:r>
      <w:r>
        <w:rPr>
          <w:rFonts w:hint="eastAsia" w:ascii="仿宋_GB2312" w:hAnsi="TimesNewRomanPSMT" w:eastAsia="仿宋_GB2312"/>
          <w:b w:val="0"/>
          <w:bCs w:val="0"/>
          <w:color w:val="000000" w:themeColor="text1"/>
          <w:sz w:val="32"/>
          <w:szCs w:val="32"/>
          <w:lang w:val="en-US" w:eastAsia="zh-CN"/>
          <w14:textFill>
            <w14:solidFill>
              <w14:schemeClr w14:val="tx1"/>
            </w14:solidFill>
          </w14:textFill>
        </w:rPr>
        <w:t>5</w:t>
      </w:r>
      <w:r>
        <w:rPr>
          <w:rFonts w:hint="eastAsia" w:ascii="仿宋_GB2312" w:eastAsia="仿宋_GB2312"/>
          <w:b w:val="0"/>
          <w:bCs w:val="0"/>
          <w:color w:val="000000" w:themeColor="text1"/>
          <w:sz w:val="32"/>
          <w:szCs w:val="32"/>
          <w14:textFill>
            <w14:solidFill>
              <w14:schemeClr w14:val="tx1"/>
            </w14:solidFill>
          </w14:textFill>
        </w:rPr>
        <w:t>年预算数为</w:t>
      </w:r>
      <w:r>
        <w:rPr>
          <w:rFonts w:hint="eastAsia" w:ascii="仿宋_GB2312" w:hAnsi="TimesNewRomanPSMT" w:eastAsia="仿宋_GB2312"/>
          <w:b w:val="0"/>
          <w:bCs w:val="0"/>
          <w:color w:val="000000" w:themeColor="text1"/>
          <w:sz w:val="32"/>
          <w:szCs w:val="32"/>
          <w:lang w:val="en-US" w:eastAsia="zh-CN"/>
          <w14:textFill>
            <w14:solidFill>
              <w14:schemeClr w14:val="tx1"/>
            </w14:solidFill>
          </w14:textFill>
        </w:rPr>
        <w:t>9252.17</w:t>
      </w:r>
      <w:r>
        <w:rPr>
          <w:rFonts w:hint="eastAsia" w:ascii="仿宋_GB2312" w:eastAsia="仿宋_GB2312"/>
          <w:b w:val="0"/>
          <w:bCs w:val="0"/>
          <w:color w:val="000000" w:themeColor="text1"/>
          <w:sz w:val="32"/>
          <w:szCs w:val="32"/>
          <w14:textFill>
            <w14:solidFill>
              <w14:schemeClr w14:val="tx1"/>
            </w14:solidFill>
          </w14:textFill>
        </w:rPr>
        <w:t>万元</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 xml:space="preserve">比 </w:t>
      </w:r>
      <w:r>
        <w:rPr>
          <w:rFonts w:hint="eastAsia" w:ascii="仿宋_GB2312" w:hAnsi="TimesNewRomanPSMT" w:eastAsia="仿宋_GB2312"/>
          <w:b w:val="0"/>
          <w:bCs w:val="0"/>
          <w:color w:val="000000" w:themeColor="text1"/>
          <w:sz w:val="32"/>
          <w:szCs w:val="32"/>
          <w14:textFill>
            <w14:solidFill>
              <w14:schemeClr w14:val="tx1"/>
            </w14:solidFill>
          </w14:textFill>
        </w:rPr>
        <w:t>202</w:t>
      </w:r>
      <w:r>
        <w:rPr>
          <w:rFonts w:hint="eastAsia" w:ascii="仿宋_GB2312" w:hAnsi="TimesNewRomanPSMT" w:eastAsia="仿宋_GB2312"/>
          <w:b w:val="0"/>
          <w:bCs w:val="0"/>
          <w:color w:val="000000" w:themeColor="text1"/>
          <w:sz w:val="32"/>
          <w:szCs w:val="32"/>
          <w:lang w:val="en-US" w:eastAsia="zh-CN"/>
          <w14:textFill>
            <w14:solidFill>
              <w14:schemeClr w14:val="tx1"/>
            </w14:solidFill>
          </w14:textFill>
        </w:rPr>
        <w:t>4</w:t>
      </w:r>
      <w:r>
        <w:rPr>
          <w:rFonts w:hint="eastAsia" w:ascii="仿宋_GB2312" w:hAnsi="TimesNewRomanPSMT" w:eastAsia="仿宋_GB2312"/>
          <w:b w:val="0"/>
          <w:bCs w:val="0"/>
          <w:color w:val="000000" w:themeColor="text1"/>
          <w:sz w:val="32"/>
          <w:szCs w:val="32"/>
          <w14:textFill>
            <w14:solidFill>
              <w14:schemeClr w14:val="tx1"/>
            </w14:solidFill>
          </w14:textFill>
        </w:rPr>
        <w:t xml:space="preserve"> </w:t>
      </w:r>
      <w:r>
        <w:rPr>
          <w:rFonts w:hint="eastAsia" w:ascii="仿宋_GB2312" w:eastAsia="仿宋_GB2312"/>
          <w:b w:val="0"/>
          <w:bCs w:val="0"/>
          <w:color w:val="000000" w:themeColor="text1"/>
          <w:sz w:val="32"/>
          <w:szCs w:val="32"/>
          <w14:textFill>
            <w14:solidFill>
              <w14:schemeClr w14:val="tx1"/>
            </w14:solidFill>
          </w14:textFill>
        </w:rPr>
        <w:t>年预算</w:t>
      </w:r>
      <w:r>
        <w:rPr>
          <w:rFonts w:hint="eastAsia" w:ascii="仿宋_GB2312" w:eastAsia="仿宋_GB2312"/>
          <w:b w:val="0"/>
          <w:bCs w:val="0"/>
          <w:color w:val="000000" w:themeColor="text1"/>
          <w:sz w:val="32"/>
          <w:szCs w:val="32"/>
          <w:lang w:eastAsia="zh-CN"/>
          <w14:textFill>
            <w14:solidFill>
              <w14:schemeClr w14:val="tx1"/>
            </w14:solidFill>
          </w14:textFill>
        </w:rPr>
        <w:t>增加</w:t>
      </w:r>
      <w:r>
        <w:rPr>
          <w:rFonts w:hint="eastAsia" w:ascii="仿宋_GB2312" w:eastAsia="仿宋_GB2312"/>
          <w:b w:val="0"/>
          <w:bCs w:val="0"/>
          <w:color w:val="000000" w:themeColor="text1"/>
          <w:sz w:val="32"/>
          <w:szCs w:val="32"/>
          <w:lang w:val="en-US" w:eastAsia="zh-CN"/>
          <w14:textFill>
            <w14:solidFill>
              <w14:schemeClr w14:val="tx1"/>
            </w14:solidFill>
          </w14:textFill>
        </w:rPr>
        <w:t>7912.35</w:t>
      </w:r>
      <w:r>
        <w:rPr>
          <w:rFonts w:hint="eastAsia" w:ascii="仿宋_GB2312" w:eastAsia="仿宋_GB2312"/>
          <w:b w:val="0"/>
          <w:bCs w:val="0"/>
          <w:color w:val="000000" w:themeColor="text1"/>
          <w:sz w:val="32"/>
          <w:szCs w:val="32"/>
          <w14:textFill>
            <w14:solidFill>
              <w14:schemeClr w14:val="tx1"/>
            </w14:solidFill>
          </w14:textFill>
        </w:rPr>
        <w:t>万元， 主要原因是</w:t>
      </w:r>
      <w:r>
        <w:rPr>
          <w:rFonts w:hint="eastAsia" w:ascii="仿宋_GB2312" w:eastAsia="仿宋_GB2312"/>
          <w:b w:val="0"/>
          <w:bCs w:val="0"/>
          <w:color w:val="000000" w:themeColor="text1"/>
          <w:sz w:val="32"/>
          <w:szCs w:val="32"/>
          <w:lang w:eastAsia="zh-CN"/>
          <w14:textFill>
            <w14:solidFill>
              <w14:schemeClr w14:val="tx1"/>
            </w14:solidFill>
          </w14:textFill>
        </w:rPr>
        <w:t>项目和人员增加，相应预算增加。</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b w:val="0"/>
          <w:bCs w:val="0"/>
          <w:color w:val="000000" w:themeColor="text1"/>
          <w:sz w:val="32"/>
          <w:szCs w:val="32"/>
          <w:lang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7</w:t>
      </w:r>
      <w:r>
        <w:rPr>
          <w:rFonts w:hint="eastAsia" w:ascii="仿宋_GB2312" w:eastAsia="仿宋_GB2312"/>
          <w:b w:val="0"/>
          <w:bCs w:val="0"/>
          <w:color w:val="000000" w:themeColor="text1"/>
          <w:sz w:val="32"/>
          <w:szCs w:val="32"/>
          <w14:textFill>
            <w14:solidFill>
              <w14:schemeClr w14:val="tx1"/>
            </w14:solidFill>
          </w14:textFill>
        </w:rPr>
        <w:t>.住房保障支出（ 类） 住房改革支出（ 款） 住房公积金（ 项）</w:t>
      </w:r>
      <w:r>
        <w:rPr>
          <w:rFonts w:hint="eastAsia" w:ascii="仿宋_GB2312" w:hAnsi="TimesNewRomanPSMT" w:eastAsia="仿宋_GB2312"/>
          <w:b w:val="0"/>
          <w:bCs w:val="0"/>
          <w:color w:val="000000" w:themeColor="text1"/>
          <w:sz w:val="32"/>
          <w:szCs w:val="32"/>
          <w14:textFill>
            <w14:solidFill>
              <w14:schemeClr w14:val="tx1"/>
            </w14:solidFill>
          </w14:textFill>
        </w:rPr>
        <w:t>202</w:t>
      </w:r>
      <w:r>
        <w:rPr>
          <w:rFonts w:hint="eastAsia" w:ascii="仿宋_GB2312" w:hAnsi="TimesNewRomanPSMT" w:eastAsia="仿宋_GB2312"/>
          <w:b w:val="0"/>
          <w:bCs w:val="0"/>
          <w:color w:val="000000" w:themeColor="text1"/>
          <w:sz w:val="32"/>
          <w:szCs w:val="32"/>
          <w:lang w:val="en-US" w:eastAsia="zh-CN"/>
          <w14:textFill>
            <w14:solidFill>
              <w14:schemeClr w14:val="tx1"/>
            </w14:solidFill>
          </w14:textFill>
        </w:rPr>
        <w:t>5</w:t>
      </w:r>
      <w:r>
        <w:rPr>
          <w:rFonts w:hint="eastAsia" w:ascii="仿宋_GB2312" w:hAnsi="TimesNewRomanPSMT" w:eastAsia="仿宋_GB2312"/>
          <w:b w:val="0"/>
          <w:bCs w:val="0"/>
          <w:color w:val="000000" w:themeColor="text1"/>
          <w:sz w:val="32"/>
          <w:szCs w:val="32"/>
          <w14:textFill>
            <w14:solidFill>
              <w14:schemeClr w14:val="tx1"/>
            </w14:solidFill>
          </w14:textFill>
        </w:rPr>
        <w:t xml:space="preserve"> </w:t>
      </w:r>
      <w:r>
        <w:rPr>
          <w:rFonts w:hint="eastAsia" w:ascii="仿宋_GB2312" w:eastAsia="仿宋_GB2312"/>
          <w:b w:val="0"/>
          <w:bCs w:val="0"/>
          <w:color w:val="000000" w:themeColor="text1"/>
          <w:sz w:val="32"/>
          <w:szCs w:val="32"/>
          <w14:textFill>
            <w14:solidFill>
              <w14:schemeClr w14:val="tx1"/>
            </w14:solidFill>
          </w14:textFill>
        </w:rPr>
        <w:t>年预算数为</w:t>
      </w:r>
      <w:r>
        <w:rPr>
          <w:rFonts w:hint="eastAsia" w:ascii="仿宋_GB2312" w:hAnsi="TimesNewRomanPSMT" w:eastAsia="仿宋_GB2312"/>
          <w:b w:val="0"/>
          <w:bCs w:val="0"/>
          <w:color w:val="000000" w:themeColor="text1"/>
          <w:sz w:val="32"/>
          <w:szCs w:val="32"/>
          <w:lang w:val="en-US" w:eastAsia="zh-CN"/>
          <w14:textFill>
            <w14:solidFill>
              <w14:schemeClr w14:val="tx1"/>
            </w14:solidFill>
          </w14:textFill>
        </w:rPr>
        <w:t>38.1</w:t>
      </w:r>
      <w:r>
        <w:rPr>
          <w:rFonts w:hint="eastAsia" w:ascii="仿宋_GB2312" w:eastAsia="仿宋_GB2312"/>
          <w:b w:val="0"/>
          <w:bCs w:val="0"/>
          <w:color w:val="000000" w:themeColor="text1"/>
          <w:sz w:val="32"/>
          <w:szCs w:val="32"/>
          <w14:textFill>
            <w14:solidFill>
              <w14:schemeClr w14:val="tx1"/>
            </w14:solidFill>
          </w14:textFill>
        </w:rPr>
        <w:t>万元</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 xml:space="preserve">比 </w:t>
      </w:r>
      <w:r>
        <w:rPr>
          <w:rFonts w:hint="eastAsia" w:ascii="仿宋_GB2312" w:hAnsi="TimesNewRomanPSMT" w:eastAsia="仿宋_GB2312"/>
          <w:b w:val="0"/>
          <w:bCs w:val="0"/>
          <w:color w:val="000000" w:themeColor="text1"/>
          <w:sz w:val="32"/>
          <w:szCs w:val="32"/>
          <w14:textFill>
            <w14:solidFill>
              <w14:schemeClr w14:val="tx1"/>
            </w14:solidFill>
          </w14:textFill>
        </w:rPr>
        <w:t>202</w:t>
      </w:r>
      <w:r>
        <w:rPr>
          <w:rFonts w:hint="eastAsia" w:ascii="仿宋_GB2312" w:hAnsi="TimesNewRomanPSMT" w:eastAsia="仿宋_GB2312"/>
          <w:b w:val="0"/>
          <w:bCs w:val="0"/>
          <w:color w:val="000000" w:themeColor="text1"/>
          <w:sz w:val="32"/>
          <w:szCs w:val="32"/>
          <w:lang w:val="en-US" w:eastAsia="zh-CN"/>
          <w14:textFill>
            <w14:solidFill>
              <w14:schemeClr w14:val="tx1"/>
            </w14:solidFill>
          </w14:textFill>
        </w:rPr>
        <w:t>4</w:t>
      </w:r>
      <w:r>
        <w:rPr>
          <w:rFonts w:hint="eastAsia" w:ascii="仿宋_GB2312" w:eastAsia="仿宋_GB2312"/>
          <w:b w:val="0"/>
          <w:bCs w:val="0"/>
          <w:color w:val="000000" w:themeColor="text1"/>
          <w:sz w:val="32"/>
          <w:szCs w:val="32"/>
          <w14:textFill>
            <w14:solidFill>
              <w14:schemeClr w14:val="tx1"/>
            </w14:solidFill>
          </w14:textFill>
        </w:rPr>
        <w:t>年预算</w:t>
      </w:r>
      <w:r>
        <w:rPr>
          <w:rFonts w:hint="eastAsia" w:ascii="仿宋_GB2312" w:eastAsia="仿宋_GB2312"/>
          <w:b w:val="0"/>
          <w:bCs w:val="0"/>
          <w:color w:val="000000" w:themeColor="text1"/>
          <w:sz w:val="32"/>
          <w:szCs w:val="32"/>
          <w:lang w:eastAsia="zh-CN"/>
          <w14:textFill>
            <w14:solidFill>
              <w14:schemeClr w14:val="tx1"/>
            </w14:solidFill>
          </w14:textFill>
        </w:rPr>
        <w:t>增加</w:t>
      </w:r>
      <w:r>
        <w:rPr>
          <w:rFonts w:hint="eastAsia" w:ascii="仿宋_GB2312" w:eastAsia="仿宋_GB2312"/>
          <w:b w:val="0"/>
          <w:bCs w:val="0"/>
          <w:color w:val="000000" w:themeColor="text1"/>
          <w:sz w:val="32"/>
          <w:szCs w:val="32"/>
          <w:lang w:val="en-US" w:eastAsia="zh-CN"/>
          <w14:textFill>
            <w14:solidFill>
              <w14:schemeClr w14:val="tx1"/>
            </w14:solidFill>
          </w14:textFill>
        </w:rPr>
        <w:t>19.7</w:t>
      </w:r>
      <w:r>
        <w:rPr>
          <w:rFonts w:hint="eastAsia" w:ascii="仿宋_GB2312" w:eastAsia="仿宋_GB2312"/>
          <w:b w:val="0"/>
          <w:bCs w:val="0"/>
          <w:color w:val="000000" w:themeColor="text1"/>
          <w:sz w:val="32"/>
          <w:szCs w:val="32"/>
          <w14:textFill>
            <w14:solidFill>
              <w14:schemeClr w14:val="tx1"/>
            </w14:solidFill>
          </w14:textFill>
        </w:rPr>
        <w:t>万元， 主要原因是</w:t>
      </w:r>
      <w:r>
        <w:rPr>
          <w:rFonts w:hint="eastAsia" w:ascii="仿宋_GB2312" w:eastAsia="仿宋_GB2312"/>
          <w:b w:val="0"/>
          <w:bCs w:val="0"/>
          <w:color w:val="000000" w:themeColor="text1"/>
          <w:sz w:val="32"/>
          <w:szCs w:val="32"/>
          <w:lang w:eastAsia="zh-CN"/>
          <w14:textFill>
            <w14:solidFill>
              <w14:schemeClr w14:val="tx1"/>
            </w14:solidFill>
          </w14:textFill>
        </w:rPr>
        <w:t>工资增加</w:t>
      </w:r>
      <w:r>
        <w:rPr>
          <w:rFonts w:hint="eastAsia" w:ascii="仿宋_GB2312" w:eastAsia="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2025年度</w:t>
      </w:r>
      <w:r>
        <w:rPr>
          <w:rFonts w:hint="eastAsia" w:ascii="仿宋_GB2312" w:hAnsi="仿宋" w:eastAsia="仿宋_GB2312"/>
          <w:sz w:val="32"/>
          <w:szCs w:val="32"/>
          <w:lang w:eastAsia="zh-CN"/>
        </w:rPr>
        <w:t>安排公务接待费用</w:t>
      </w:r>
      <w:r>
        <w:rPr>
          <w:rFonts w:hint="eastAsia" w:ascii="仿宋_GB2312" w:hAnsi="仿宋" w:eastAsia="仿宋_GB2312"/>
          <w:sz w:val="32"/>
          <w:szCs w:val="32"/>
          <w:lang w:val="en-US" w:eastAsia="zh-CN"/>
        </w:rPr>
        <w:t>3000元</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2024年度保持不变。</w:t>
      </w:r>
    </w:p>
    <w:p>
      <w:pPr>
        <w:keepNext w:val="0"/>
        <w:keepLines w:val="0"/>
        <w:pageBreakBefore w:val="0"/>
        <w:widowControl w:val="0"/>
        <w:numPr>
          <w:ilvl w:val="0"/>
          <w:numId w:val="1"/>
        </w:numPr>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培训费预算情况说明</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2025年度</w:t>
      </w:r>
      <w:r>
        <w:rPr>
          <w:rFonts w:hint="eastAsia" w:ascii="仿宋_GB2312" w:hAnsi="仿宋" w:eastAsia="仿宋_GB2312"/>
          <w:sz w:val="32"/>
          <w:szCs w:val="32"/>
          <w:lang w:eastAsia="zh-CN"/>
        </w:rPr>
        <w:t>未安排培训费</w:t>
      </w:r>
      <w:r>
        <w:rPr>
          <w:rFonts w:hint="eastAsia" w:ascii="仿宋_GB2312" w:hAnsi="仿宋" w:eastAsia="仿宋_GB2312"/>
          <w:sz w:val="32"/>
          <w:szCs w:val="32"/>
        </w:rPr>
        <w:t>预算</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pPr>
        <w:keepNext w:val="0"/>
        <w:keepLines w:val="0"/>
        <w:pageBreakBefore w:val="0"/>
        <w:widowControl w:val="0"/>
        <w:kinsoku/>
        <w:wordWrap/>
        <w:overflowPunct/>
        <w:topLinePunct w:val="0"/>
        <w:autoSpaceDE/>
        <w:autoSpaceDN/>
        <w:bidi w:val="0"/>
        <w:adjustRightInd w:val="0"/>
        <w:snapToGrid w:val="0"/>
        <w:spacing w:line="640" w:lineRule="exact"/>
        <w:ind w:firstLine="960" w:firstLineChars="300"/>
        <w:contextualSpacing/>
        <w:jc w:val="left"/>
        <w:textAlignment w:val="auto"/>
        <w:rPr>
          <w:rFonts w:ascii="仿宋_GB2312" w:hAnsi="仿宋" w:eastAsia="仿宋_GB2312"/>
          <w:sz w:val="32"/>
          <w:szCs w:val="32"/>
        </w:rPr>
      </w:pPr>
      <w:r>
        <w:rPr>
          <w:rFonts w:hint="eastAsia" w:ascii="仿宋_GB2312" w:hAnsi="仿宋" w:eastAsia="仿宋_GB2312"/>
          <w:sz w:val="32"/>
          <w:szCs w:val="32"/>
          <w:lang w:val="en-US" w:eastAsia="zh-CN"/>
        </w:rPr>
        <w:t>2024年度</w:t>
      </w:r>
      <w:r>
        <w:rPr>
          <w:rFonts w:hint="eastAsia" w:ascii="仿宋_GB2312" w:hAnsi="仿宋" w:eastAsia="仿宋_GB2312"/>
          <w:sz w:val="32"/>
          <w:szCs w:val="32"/>
          <w:lang w:eastAsia="zh-CN"/>
        </w:rPr>
        <w:t>未安排会议费</w:t>
      </w:r>
      <w:r>
        <w:rPr>
          <w:rFonts w:hint="eastAsia" w:ascii="仿宋_GB2312" w:hAnsi="仿宋" w:eastAsia="仿宋_GB2312"/>
          <w:sz w:val="32"/>
          <w:szCs w:val="32"/>
        </w:rPr>
        <w:t>预算</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机关运行经费</w:t>
      </w:r>
      <w:r>
        <w:rPr>
          <w:rFonts w:hint="eastAsia" w:ascii="仿宋_GB2312" w:hAnsi="仿宋" w:eastAsia="仿宋_GB2312"/>
          <w:color w:val="000000" w:themeColor="text1"/>
          <w:sz w:val="32"/>
          <w:szCs w:val="32"/>
          <w:lang w:val="en-US" w:eastAsia="zh-CN"/>
          <w14:textFill>
            <w14:solidFill>
              <w14:schemeClr w14:val="tx1"/>
            </w14:solidFill>
          </w14:textFill>
        </w:rPr>
        <w:t>35.6</w:t>
      </w:r>
      <w:r>
        <w:rPr>
          <w:rFonts w:hint="eastAsia" w:ascii="仿宋_GB2312" w:hAnsi="仿宋" w:eastAsia="仿宋_GB2312"/>
          <w:color w:val="000000" w:themeColor="text1"/>
          <w:sz w:val="32"/>
          <w:szCs w:val="32"/>
          <w14:textFill>
            <w14:solidFill>
              <w14:schemeClr w14:val="tx1"/>
            </w14:solidFill>
          </w14:textFill>
        </w:rPr>
        <w:t>万元，较202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年预算</w:t>
      </w:r>
      <w:r>
        <w:rPr>
          <w:rFonts w:hint="eastAsia" w:ascii="仿宋_GB2312" w:hAnsi="仿宋" w:eastAsia="仿宋_GB2312"/>
          <w:color w:val="000000" w:themeColor="text1"/>
          <w:sz w:val="32"/>
          <w:szCs w:val="32"/>
          <w:lang w:eastAsia="zh-CN"/>
          <w14:textFill>
            <w14:solidFill>
              <w14:schemeClr w14:val="tx1"/>
            </w14:solidFill>
          </w14:textFill>
        </w:rPr>
        <w:t>增加</w:t>
      </w:r>
      <w:r>
        <w:rPr>
          <w:rFonts w:hint="eastAsia" w:ascii="仿宋_GB2312" w:hAnsi="仿宋" w:eastAsia="仿宋_GB2312"/>
          <w:color w:val="000000" w:themeColor="text1"/>
          <w:sz w:val="32"/>
          <w:szCs w:val="32"/>
          <w:lang w:val="en-US" w:eastAsia="zh-CN"/>
          <w14:textFill>
            <w14:solidFill>
              <w14:schemeClr w14:val="tx1"/>
            </w14:solidFill>
          </w14:textFill>
        </w:rPr>
        <w:t>0.6</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themeColor="text1"/>
          <w:sz w:val="32"/>
          <w:szCs w:val="32"/>
          <w:lang w:eastAsia="zh-CN"/>
          <w14:textFill>
            <w14:solidFill>
              <w14:schemeClr w14:val="tx1"/>
            </w14:solidFill>
          </w14:textFill>
        </w:rPr>
        <w:t>增加</w:t>
      </w:r>
      <w:r>
        <w:rPr>
          <w:rFonts w:hint="eastAsia" w:ascii="仿宋_GB2312" w:hAnsi="仿宋" w:eastAsia="仿宋_GB2312"/>
          <w:color w:val="000000" w:themeColor="text1"/>
          <w:sz w:val="32"/>
          <w:szCs w:val="32"/>
          <w14:textFill>
            <w14:solidFill>
              <w14:schemeClr w14:val="tx1"/>
            </w14:solidFill>
          </w14:textFill>
        </w:rPr>
        <w:t>的主要原因是</w:t>
      </w:r>
      <w:r>
        <w:rPr>
          <w:rFonts w:hint="eastAsia" w:ascii="仿宋_GB2312" w:hAnsi="仿宋" w:eastAsia="仿宋_GB2312"/>
          <w:color w:val="000000" w:themeColor="text1"/>
          <w:sz w:val="32"/>
          <w:szCs w:val="32"/>
          <w:lang w:eastAsia="zh-CN"/>
          <w14:textFill>
            <w14:solidFill>
              <w14:schemeClr w14:val="tx1"/>
            </w14:solidFill>
          </w14:textFill>
        </w:rPr>
        <w:t>工资增加，运行经费增加</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七、政府采购安排情况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eastAsia="zh-CN"/>
          <w14:textFill>
            <w14:solidFill>
              <w14:schemeClr w14:val="tx1"/>
            </w14:solidFill>
          </w14:textFill>
        </w:rPr>
        <w:t>单位</w:t>
      </w:r>
      <w:r>
        <w:rPr>
          <w:rFonts w:hint="eastAsia" w:ascii="仿宋_GB2312" w:hAnsi="仿宋" w:eastAsia="仿宋_GB2312"/>
          <w:color w:val="000000" w:themeColor="text1"/>
          <w:sz w:val="32"/>
          <w:szCs w:val="32"/>
          <w14:textFill>
            <w14:solidFill>
              <w14:schemeClr w14:val="tx1"/>
            </w14:solidFill>
          </w14:textFill>
        </w:rPr>
        <w:t>政府采购预算总额</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万元，其中：政府采购货物预算</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万元，政府采购工程预算</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万元，政府采购服务预算</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八、国有资产占用情况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上年末固定资产金额为</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万元。其中：办公用房</w:t>
      </w:r>
      <w:r>
        <w:rPr>
          <w:rFonts w:hint="eastAsia" w:ascii="仿宋_GB2312" w:hAnsi="仿宋" w:eastAsia="仿宋_GB2312"/>
          <w:color w:val="000000" w:themeColor="text1"/>
          <w:sz w:val="32"/>
          <w:szCs w:val="32"/>
          <w:lang w:val="en-US" w:eastAsia="zh-CN"/>
          <w14:textFill>
            <w14:solidFill>
              <w14:schemeClr w14:val="tx1"/>
            </w14:solidFill>
          </w14:textFill>
        </w:rPr>
        <w:t>928.08</w:t>
      </w:r>
      <w:r>
        <w:rPr>
          <w:rFonts w:hint="eastAsia" w:ascii="仿宋_GB2312" w:hAnsi="仿宋" w:eastAsia="仿宋_GB2312"/>
          <w:color w:val="000000" w:themeColor="text1"/>
          <w:sz w:val="32"/>
          <w:szCs w:val="32"/>
          <w14:textFill>
            <w14:solidFill>
              <w14:schemeClr w14:val="tx1"/>
            </w14:solidFill>
          </w14:textFill>
        </w:rPr>
        <w:t>平方米</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预算部门（单位）共有公务用车</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 xml:space="preserve"> 辆，价值</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万元。单价20万元以上的设备价值</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 xml:space="preserve">万元。2024年拟采购固定资产约 </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九、其他重要事项情况说明</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（一）政府性基金预算支出情况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eastAsia="zh-CN"/>
          <w14:textFill>
            <w14:solidFill>
              <w14:schemeClr w14:val="tx1"/>
            </w14:solidFill>
          </w14:textFill>
        </w:rPr>
        <w:t>我单位</w:t>
      </w:r>
      <w:r>
        <w:rPr>
          <w:rFonts w:hint="eastAsia" w:ascii="仿宋_GB2312" w:hAnsi="仿宋" w:eastAsia="仿宋_GB2312"/>
          <w:color w:val="000000" w:themeColor="text1"/>
          <w:sz w:val="32"/>
          <w:szCs w:val="32"/>
          <w14:textFill>
            <w14:solidFill>
              <w14:schemeClr w14:val="tx1"/>
            </w14:solidFill>
          </w14:textFill>
        </w:rPr>
        <w:t>政府性基金预算拨款支出未安排预算，政府性基金预算支出情况表为空表</w:t>
      </w:r>
      <w:r>
        <w:rPr>
          <w:rFonts w:hint="eastAsia" w:ascii="仿宋_GB2312" w:hAnsi="仿宋"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（二）非税收入情况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我</w:t>
      </w:r>
      <w:r>
        <w:rPr>
          <w:rFonts w:hint="eastAsia" w:ascii="仿宋_GB2312" w:hAnsi="仿宋" w:eastAsia="仿宋_GB2312"/>
          <w:color w:val="000000" w:themeColor="text1"/>
          <w:sz w:val="32"/>
          <w:szCs w:val="32"/>
          <w14:textFill>
            <w14:solidFill>
              <w14:schemeClr w14:val="tx1"/>
            </w14:solidFill>
          </w14:textFill>
        </w:rPr>
        <w:t>单位202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ascii="仿宋_GB2312" w:hAnsi="仿宋" w:eastAsia="仿宋_GB2312"/>
          <w:color w:val="000000" w:themeColor="text1"/>
          <w:sz w:val="32"/>
          <w:szCs w:val="32"/>
          <w14:textFill>
            <w14:solidFill>
              <w14:schemeClr w14:val="tx1"/>
            </w14:solidFill>
          </w14:textFill>
        </w:rPr>
        <w:t>无非税收入</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640" w:lineRule="exact"/>
        <w:ind w:left="0" w:leftChars="0" w:firstLine="643" w:firstLineChars="200"/>
        <w:contextualSpacing/>
        <w:textAlignment w:val="auto"/>
        <w:rPr>
          <w:rFonts w:hint="eastAsia"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重点项目情况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楷体_GB2312" w:hAnsi="楷体" w:eastAsia="楷体_GB2312" w:cs="宋体"/>
          <w:b/>
          <w:bCs/>
          <w:color w:val="000000" w:themeColor="text1"/>
          <w:kern w:val="0"/>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我</w:t>
      </w:r>
      <w:r>
        <w:rPr>
          <w:rFonts w:hint="eastAsia" w:ascii="仿宋_GB2312" w:hAnsi="仿宋" w:eastAsia="仿宋_GB2312"/>
          <w:color w:val="000000" w:themeColor="text1"/>
          <w:sz w:val="32"/>
          <w:szCs w:val="32"/>
          <w14:textFill>
            <w14:solidFill>
              <w14:schemeClr w14:val="tx1"/>
            </w14:solidFill>
          </w14:textFill>
        </w:rPr>
        <w:t>单位202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ascii="仿宋_GB2312" w:hAnsi="仿宋" w:eastAsia="仿宋_GB2312"/>
          <w:color w:val="000000" w:themeColor="text1"/>
          <w:sz w:val="32"/>
          <w:szCs w:val="32"/>
          <w14:textFill>
            <w14:solidFill>
              <w14:schemeClr w14:val="tx1"/>
            </w14:solidFill>
          </w14:textFill>
        </w:rPr>
        <w:t>无</w:t>
      </w:r>
      <w:r>
        <w:rPr>
          <w:rFonts w:hint="eastAsia" w:ascii="仿宋_GB2312" w:hAnsi="仿宋" w:eastAsia="仿宋_GB2312"/>
          <w:color w:val="000000" w:themeColor="text1"/>
          <w:sz w:val="32"/>
          <w:szCs w:val="32"/>
          <w:lang w:val="en-US" w:eastAsia="zh-CN"/>
          <w14:textFill>
            <w14:solidFill>
              <w14:schemeClr w14:val="tx1"/>
            </w14:solidFill>
          </w14:textFill>
        </w:rPr>
        <w:t>项目</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（四）部门管理转移支付情况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eastAsia="zh-CN"/>
          <w14:textFill>
            <w14:solidFill>
              <w14:schemeClr w14:val="tx1"/>
            </w14:solidFill>
          </w14:textFill>
        </w:rPr>
        <w:t>我单位</w:t>
      </w:r>
      <w:r>
        <w:rPr>
          <w:rFonts w:hint="eastAsia" w:ascii="仿宋_GB2312" w:hAnsi="仿宋" w:eastAsia="仿宋_GB2312"/>
          <w:color w:val="000000" w:themeColor="text1"/>
          <w:sz w:val="32"/>
          <w:szCs w:val="32"/>
          <w14:textFill>
            <w14:solidFill>
              <w14:schemeClr w14:val="tx1"/>
            </w14:solidFill>
          </w14:textFill>
        </w:rPr>
        <w:t>未安排预算，单位管理转移支付表为空表。</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（五）国有资本经营预算支出情况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楷体" w:eastAsia="仿宋_GB2312"/>
          <w:sz w:val="32"/>
          <w:szCs w:val="32"/>
        </w:rPr>
      </w:pPr>
      <w:r>
        <w:rPr>
          <w:rFonts w:hint="eastAsia" w:ascii="仿宋_GB2312" w:hAnsi="仿宋" w:eastAsia="仿宋_GB2312"/>
          <w:sz w:val="32"/>
          <w:szCs w:val="32"/>
        </w:rPr>
        <w:t>2024年</w:t>
      </w:r>
      <w:r>
        <w:rPr>
          <w:rFonts w:hint="eastAsia" w:ascii="仿宋_GB2312" w:hAnsi="仿宋" w:eastAsia="仿宋_GB2312"/>
          <w:sz w:val="32"/>
          <w:szCs w:val="32"/>
          <w:lang w:eastAsia="zh-CN"/>
        </w:rPr>
        <w:t>我单位</w:t>
      </w:r>
      <w:r>
        <w:rPr>
          <w:rFonts w:hint="eastAsia" w:ascii="仿宋_GB2312" w:hAnsi="楷体" w:eastAsia="仿宋_GB2312"/>
          <w:sz w:val="32"/>
          <w:szCs w:val="32"/>
        </w:rPr>
        <w:t>未安排预算，国有资本经营预算支出情况表为空表。</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十、预算绩效管理情况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（一）202</w:t>
      </w:r>
      <w:r>
        <w:rPr>
          <w:rFonts w:hint="eastAsia" w:ascii="楷体_GB2312" w:hAnsi="楷体" w:eastAsia="楷体_GB2312" w:cs="宋体"/>
          <w:b/>
          <w:bCs/>
          <w:kern w:val="0"/>
          <w:sz w:val="32"/>
          <w:szCs w:val="32"/>
          <w:lang w:val="en-US" w:eastAsia="zh-CN"/>
        </w:rPr>
        <w:t>4</w:t>
      </w:r>
      <w:r>
        <w:rPr>
          <w:rFonts w:hint="eastAsia" w:ascii="楷体_GB2312" w:hAnsi="楷体" w:eastAsia="楷体_GB2312" w:cs="宋体"/>
          <w:b/>
          <w:bCs/>
          <w:kern w:val="0"/>
          <w:sz w:val="32"/>
          <w:szCs w:val="32"/>
        </w:rPr>
        <w:t>年预算绩效管理工作情况。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按照《中共中央国务院关于全面实施预算绩效管理的意见》《中共甘肃省委 甘肃省人民政府关于全面实施预算绩效管理的实施意见》等相关要求，我们将绩效理念和方法融入预算编制、执行、决算和监督全过程认真开展各项工作。</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jc w:val="left"/>
        <w:textAlignment w:val="auto"/>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年度，按照“谁申请资金，谁设置目标”的原则，纳入部门预算管理</w:t>
      </w:r>
      <w:r>
        <w:rPr>
          <w:rFonts w:hint="eastAsia" w:ascii="仿宋_GB2312" w:hAnsi="CIDFont+F6" w:eastAsia="仿宋_GB2312"/>
          <w:color w:val="000000"/>
          <w:sz w:val="32"/>
          <w:szCs w:val="32"/>
        </w:rPr>
        <w:t>单位</w:t>
      </w:r>
      <w:r>
        <w:rPr>
          <w:rFonts w:hint="eastAsia" w:ascii="仿宋_GB2312" w:hAnsi="仿宋" w:eastAsia="仿宋_GB2312"/>
          <w:sz w:val="32"/>
          <w:szCs w:val="32"/>
        </w:rPr>
        <w:t>整体支出和项目绩效目标</w:t>
      </w:r>
      <w:r>
        <w:rPr>
          <w:rFonts w:hint="eastAsia" w:ascii="仿宋_GB2312" w:hAnsi="仿宋" w:eastAsia="仿宋_GB2312"/>
          <w:sz w:val="32"/>
          <w:szCs w:val="32"/>
          <w:lang w:val="en-US" w:eastAsia="zh-CN"/>
        </w:rPr>
        <w:t>1</w:t>
      </w:r>
      <w:r>
        <w:rPr>
          <w:rFonts w:hint="eastAsia" w:ascii="仿宋_GB2312" w:hAnsi="仿宋" w:eastAsia="仿宋_GB2312"/>
          <w:sz w:val="32"/>
          <w:szCs w:val="32"/>
        </w:rPr>
        <w:t>个，按规定随年度预算一并公开项目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jc w:val="left"/>
        <w:textAlignment w:val="auto"/>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个，占本</w:t>
      </w:r>
      <w:r>
        <w:rPr>
          <w:rFonts w:hint="eastAsia" w:ascii="仿宋_GB2312" w:hAnsi="CIDFont+F6" w:eastAsia="仿宋_GB2312"/>
          <w:color w:val="000000"/>
          <w:sz w:val="32"/>
          <w:szCs w:val="32"/>
        </w:rPr>
        <w:t>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%。截至7月底，如期完成预算执行和绩效目标指标值的项目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eastAsia="zh-CN"/>
        </w:rPr>
        <w:t>资金未兑付</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eastAsia="zh-CN"/>
        </w:rPr>
        <w:t>资金未及时兑付</w:t>
      </w:r>
      <w:r>
        <w:rPr>
          <w:rFonts w:hint="eastAsia" w:ascii="仿宋_GB2312" w:hAnsi="仿宋" w:eastAsia="仿宋_GB2312"/>
          <w:sz w:val="32"/>
          <w:szCs w:val="32"/>
        </w:rPr>
        <w:t>。绩效运行监控在部门内部通报整改情况：</w:t>
      </w:r>
      <w:r>
        <w:rPr>
          <w:rFonts w:hint="eastAsia" w:ascii="仿宋_GB2312" w:hAnsi="仿宋" w:eastAsia="仿宋_GB2312"/>
          <w:sz w:val="32"/>
          <w:szCs w:val="32"/>
          <w:lang w:eastAsia="zh-CN"/>
        </w:rPr>
        <w:t>及时协商财政兑付资金</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jc w:val="left"/>
        <w:textAlignment w:val="auto"/>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个，其中，部门（单位）整体支出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8</w:t>
      </w:r>
      <w:r>
        <w:rPr>
          <w:rFonts w:hint="eastAsia" w:ascii="仿宋_GB2312" w:hAnsi="仿宋" w:eastAsia="仿宋_GB2312"/>
          <w:sz w:val="32"/>
          <w:szCs w:val="32"/>
        </w:rPr>
        <w:t>个，转移支付项目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个，绩效自评覆盖率为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%。绩效自评结果随部门决算报送财政和随决算公开情况：</w:t>
      </w:r>
      <w:r>
        <w:rPr>
          <w:rFonts w:hint="eastAsia" w:ascii="仿宋_GB2312" w:hAnsi="仿宋" w:eastAsia="仿宋_GB2312"/>
          <w:sz w:val="32"/>
          <w:szCs w:val="32"/>
          <w:lang w:eastAsia="zh-CN"/>
        </w:rPr>
        <w:t>及时公开</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jc w:val="left"/>
        <w:textAlignment w:val="auto"/>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年度绩效运行监控、绩效自评等情况</w:t>
      </w:r>
      <w:r>
        <w:rPr>
          <w:rFonts w:hint="eastAsia" w:ascii="仿宋_GB2312" w:hAnsi="仿宋" w:eastAsia="仿宋_GB2312"/>
          <w:sz w:val="32"/>
          <w:szCs w:val="32"/>
          <w:lang w:eastAsia="zh-CN"/>
        </w:rPr>
        <w:t>，</w:t>
      </w:r>
      <w:r>
        <w:rPr>
          <w:rFonts w:hint="eastAsia" w:ascii="仿宋_GB2312" w:hAnsi="仿宋" w:eastAsia="仿宋_GB2312"/>
          <w:sz w:val="32"/>
          <w:szCs w:val="32"/>
        </w:rPr>
        <w:t xml:space="preserve">当年盘活财政资金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万元，2024年度增加（减少）部门预算项目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个，增长率/压减率</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%。同时对政策和项目资金管理作出调整的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（二）202</w:t>
      </w:r>
      <w:r>
        <w:rPr>
          <w:rFonts w:hint="eastAsia" w:ascii="楷体_GB2312" w:hAnsi="楷体" w:eastAsia="楷体_GB2312" w:cs="宋体"/>
          <w:b/>
          <w:bCs/>
          <w:kern w:val="0"/>
          <w:sz w:val="32"/>
          <w:szCs w:val="32"/>
          <w:lang w:val="en-US" w:eastAsia="zh-CN"/>
        </w:rPr>
        <w:t>5</w:t>
      </w:r>
      <w:r>
        <w:rPr>
          <w:rFonts w:hint="eastAsia" w:ascii="楷体_GB2312" w:hAnsi="楷体" w:eastAsia="楷体_GB2312" w:cs="宋体"/>
          <w:b/>
          <w:bCs/>
          <w:kern w:val="0"/>
          <w:sz w:val="32"/>
          <w:szCs w:val="32"/>
        </w:rPr>
        <w:t>年绩效目标编制情况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2024年，纳入</w:t>
      </w:r>
      <w:r>
        <w:rPr>
          <w:rFonts w:hint="eastAsia" w:ascii="仿宋_GB2312" w:hAnsi="仿宋" w:eastAsia="仿宋_GB2312"/>
          <w:sz w:val="32"/>
          <w:szCs w:val="32"/>
          <w:lang w:eastAsia="zh-CN"/>
        </w:rPr>
        <w:t>我</w:t>
      </w:r>
      <w:r>
        <w:rPr>
          <w:rFonts w:hint="eastAsia" w:ascii="仿宋_GB2312" w:hAnsi="仿宋" w:eastAsia="仿宋_GB2312"/>
          <w:sz w:val="32"/>
          <w:szCs w:val="32"/>
        </w:rPr>
        <w:t>单位预算绩效目标管理的</w:t>
      </w:r>
      <w:r>
        <w:rPr>
          <w:rFonts w:hint="eastAsia" w:ascii="仿宋_GB2312" w:hAnsi="仿宋" w:eastAsia="仿宋_GB2312"/>
          <w:sz w:val="32"/>
          <w:szCs w:val="32"/>
          <w:lang w:eastAsia="zh-CN"/>
        </w:rPr>
        <w:t>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29</w:t>
      </w:r>
      <w:r>
        <w:rPr>
          <w:rFonts w:hint="eastAsia" w:ascii="仿宋_GB2312" w:hAnsi="仿宋" w:eastAsia="仿宋_GB2312"/>
          <w:sz w:val="32"/>
          <w:szCs w:val="32"/>
        </w:rPr>
        <w:t>个；项目支出绩效目标</w:t>
      </w:r>
      <w:r>
        <w:rPr>
          <w:rFonts w:hint="eastAsia" w:ascii="仿宋_GB2312" w:hAnsi="仿宋" w:eastAsia="仿宋_GB2312"/>
          <w:sz w:val="32"/>
          <w:szCs w:val="32"/>
          <w:lang w:eastAsia="zh-CN"/>
        </w:rPr>
        <w:t>按照项目分类，主要</w:t>
      </w:r>
      <w:r>
        <w:rPr>
          <w:rFonts w:hint="eastAsia" w:ascii="仿宋_GB2312" w:hAnsi="仿宋" w:eastAsia="仿宋_GB2312"/>
          <w:sz w:val="32"/>
          <w:szCs w:val="32"/>
        </w:rPr>
        <w:t>围绕成本指标、产出指标、效益指标、满意度指标四个维度，设置二级指标</w:t>
      </w:r>
      <w:r>
        <w:rPr>
          <w:rFonts w:hint="eastAsia" w:ascii="仿宋_GB2312" w:hAnsi="仿宋" w:eastAsia="仿宋_GB2312"/>
          <w:sz w:val="32"/>
          <w:szCs w:val="32"/>
          <w:lang w:val="en-US" w:eastAsia="zh-CN"/>
        </w:rPr>
        <w:t>和</w:t>
      </w:r>
      <w:r>
        <w:rPr>
          <w:rFonts w:hint="eastAsia" w:ascii="仿宋_GB2312" w:hAnsi="仿宋" w:eastAsia="仿宋_GB2312"/>
          <w:sz w:val="32"/>
          <w:szCs w:val="32"/>
        </w:rPr>
        <w:t>三级指标。各项绩效目标内容指向明确、细化量化、合理可行，符合规定的格式要求。</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val="0"/>
        <w:snapToGrid w:val="0"/>
        <w:spacing w:line="640" w:lineRule="exact"/>
        <w:contextualSpacing/>
        <w:jc w:val="right"/>
        <w:textAlignment w:val="auto"/>
        <w:rPr>
          <w:rFonts w:hint="eastAsia" w:ascii="仿宋_GB2312" w:hAnsi="CIDFont+F6" w:eastAsia="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contextualSpacing/>
        <w:jc w:val="right"/>
        <w:textAlignment w:val="auto"/>
        <w:rPr>
          <w:rFonts w:hint="eastAsia" w:ascii="仿宋_GB2312" w:hAnsi="CIDFont+F6" w:eastAsia="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right="1120"/>
        <w:contextualSpacing/>
        <w:jc w:val="right"/>
        <w:textAlignment w:val="auto"/>
        <w:rPr>
          <w:rFonts w:hint="eastAsia" w:ascii="仿宋_GB2312" w:hAnsi="CIDFont+F6" w:eastAsia="仿宋_GB2312"/>
          <w:color w:val="000000"/>
          <w:sz w:val="32"/>
          <w:szCs w:val="32"/>
          <w:lang w:eastAsia="zh-CN"/>
        </w:rPr>
      </w:pPr>
      <w:r>
        <w:rPr>
          <w:rFonts w:hint="eastAsia" w:ascii="仿宋_GB2312" w:hAnsi="CIDFont+F6" w:eastAsia="仿宋_GB2312"/>
          <w:color w:val="000000"/>
          <w:sz w:val="32"/>
          <w:szCs w:val="32"/>
          <w:lang w:eastAsia="zh-CN"/>
        </w:rPr>
        <w:t>华池县农业农村局</w:t>
      </w:r>
    </w:p>
    <w:p>
      <w:pPr>
        <w:keepNext w:val="0"/>
        <w:keepLines w:val="0"/>
        <w:pageBreakBefore w:val="0"/>
        <w:widowControl w:val="0"/>
        <w:kinsoku/>
        <w:wordWrap/>
        <w:overflowPunct/>
        <w:topLinePunct w:val="0"/>
        <w:autoSpaceDE/>
        <w:autoSpaceDN/>
        <w:bidi w:val="0"/>
        <w:adjustRightInd w:val="0"/>
        <w:snapToGrid w:val="0"/>
        <w:spacing w:line="640" w:lineRule="exact"/>
        <w:ind w:right="1120"/>
        <w:contextualSpacing/>
        <w:jc w:val="right"/>
        <w:textAlignment w:val="auto"/>
        <w:rPr>
          <w:rFonts w:ascii="仿宋_GB2312" w:eastAsia="仿宋_GB2312"/>
          <w:sz w:val="32"/>
          <w:szCs w:val="32"/>
        </w:rPr>
      </w:pPr>
      <w:r>
        <w:rPr>
          <w:rFonts w:hint="eastAsia" w:ascii="仿宋_GB2312" w:hAnsi="CIDFont+F6" w:eastAsia="仿宋_GB2312"/>
          <w:color w:val="000000"/>
          <w:sz w:val="32"/>
          <w:szCs w:val="32"/>
          <w:lang w:val="en-US" w:eastAsia="zh-CN"/>
        </w:rPr>
        <w:t>2024</w:t>
      </w:r>
      <w:r>
        <w:rPr>
          <w:rFonts w:hint="eastAsia" w:ascii="仿宋_GB2312" w:hAnsi="CIDFont+F6" w:eastAsia="仿宋_GB2312"/>
          <w:color w:val="000000"/>
          <w:sz w:val="32"/>
          <w:szCs w:val="32"/>
        </w:rPr>
        <w:t xml:space="preserve">年 </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 xml:space="preserve"> 月</w:t>
      </w:r>
      <w:r>
        <w:rPr>
          <w:rFonts w:hint="eastAsia" w:ascii="仿宋_GB2312" w:hAnsi="CIDFont+F6" w:eastAsia="仿宋_GB2312"/>
          <w:color w:val="000000"/>
          <w:sz w:val="32"/>
          <w:szCs w:val="32"/>
          <w:lang w:val="en-US" w:eastAsia="zh-CN"/>
        </w:rPr>
        <w:t>10</w:t>
      </w:r>
      <w:r>
        <w:rPr>
          <w:rFonts w:hint="eastAsia" w:ascii="仿宋_GB2312" w:hAnsi="CIDFont+F6" w:eastAsia="仿宋_GB2312"/>
          <w:color w:val="000000"/>
          <w:sz w:val="32"/>
          <w:szCs w:val="32"/>
        </w:rPr>
        <w:t xml:space="preserve"> 日</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spacing w:val="-20"/>
          <w:kern w:val="0"/>
          <w:sz w:val="32"/>
          <w:szCs w:val="32"/>
          <w:lang w:eastAsia="zh-CN"/>
        </w:rPr>
        <w:t>华池农业农村局</w:t>
      </w:r>
      <w:r>
        <w:rPr>
          <w:rFonts w:hint="eastAsia" w:ascii="仿宋_GB2312" w:hAnsi="宋体" w:eastAsia="仿宋_GB2312" w:cs="宋体"/>
          <w:spacing w:val="-20"/>
          <w:kern w:val="0"/>
          <w:sz w:val="32"/>
          <w:szCs w:val="32"/>
        </w:rPr>
        <w:t>202</w:t>
      </w:r>
      <w:r>
        <w:rPr>
          <w:rFonts w:hint="eastAsia" w:ascii="仿宋_GB2312" w:hAnsi="宋体" w:eastAsia="仿宋_GB2312" w:cs="宋体"/>
          <w:spacing w:val="-20"/>
          <w:kern w:val="0"/>
          <w:sz w:val="32"/>
          <w:szCs w:val="32"/>
          <w:lang w:val="en-US" w:eastAsia="zh-CN"/>
        </w:rPr>
        <w:t>5</w:t>
      </w:r>
      <w:r>
        <w:rPr>
          <w:rFonts w:hint="eastAsia" w:ascii="仿宋_GB2312" w:hAnsi="宋体" w:eastAsia="仿宋_GB2312" w:cs="宋体"/>
          <w:spacing w:val="-20"/>
          <w:kern w:val="0"/>
          <w:sz w:val="32"/>
          <w:szCs w:val="32"/>
        </w:rPr>
        <w:t>年预算公开表</w:t>
      </w:r>
    </w:p>
    <w:p>
      <w:pPr>
        <w:keepNext w:val="0"/>
        <w:keepLines w:val="0"/>
        <w:pageBreakBefore w:val="0"/>
        <w:widowControl w:val="0"/>
        <w:kinsoku/>
        <w:wordWrap/>
        <w:overflowPunct/>
        <w:topLinePunct w:val="0"/>
        <w:autoSpaceDE/>
        <w:autoSpaceDN/>
        <w:bidi w:val="0"/>
        <w:adjustRightInd w:val="0"/>
        <w:snapToGrid w:val="0"/>
        <w:spacing w:line="640" w:lineRule="exact"/>
        <w:ind w:left="1796" w:leftChars="767" w:hanging="185" w:hangingChars="58"/>
        <w:contextualSpacing/>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eastAsia="zh-CN"/>
        </w:rPr>
        <w:t>华池农业农村局</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部门</w:t>
      </w:r>
      <w:r>
        <w:rPr>
          <w:rFonts w:hint="eastAsia" w:ascii="仿宋_GB2312" w:hAnsi="宋体" w:eastAsia="仿宋_GB2312" w:cs="宋体"/>
          <w:kern w:val="0"/>
          <w:sz w:val="32"/>
          <w:szCs w:val="32"/>
        </w:rPr>
        <w:t>整体支出绩效目标及预算项目绩效目标表</w:t>
      </w:r>
    </w:p>
    <w:p>
      <w:pPr>
        <w:keepNext w:val="0"/>
        <w:keepLines w:val="0"/>
        <w:pageBreakBefore w:val="0"/>
        <w:widowControl w:val="0"/>
        <w:tabs>
          <w:tab w:val="left" w:pos="1272"/>
        </w:tabs>
        <w:kinsoku/>
        <w:wordWrap/>
        <w:overflowPunct/>
        <w:topLinePunct w:val="0"/>
        <w:autoSpaceDE/>
        <w:autoSpaceDN/>
        <w:bidi w:val="0"/>
        <w:textAlignment w:val="auto"/>
      </w:pPr>
    </w:p>
    <w:p>
      <w:pPr>
        <w:tabs>
          <w:tab w:val="left" w:pos="1272"/>
        </w:tabs>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27</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D48DD2"/>
    <w:multiLevelType w:val="singleLevel"/>
    <w:tmpl w:val="E7D48DD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113741D2"/>
    <w:rsid w:val="18330BA7"/>
    <w:rsid w:val="1D34261E"/>
    <w:rsid w:val="42A05423"/>
    <w:rsid w:val="4C433C79"/>
    <w:rsid w:val="4CB47BB0"/>
    <w:rsid w:val="527E074E"/>
    <w:rsid w:val="56393C72"/>
    <w:rsid w:val="579503FF"/>
    <w:rsid w:val="57F029A2"/>
    <w:rsid w:val="60535296"/>
    <w:rsid w:val="72FD2525"/>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qFormat/>
    <w:uiPriority w:val="0"/>
    <w:rPr>
      <w:b/>
      <w:bCs/>
    </w:rPr>
  </w:style>
  <w:style w:type="character" w:styleId="10">
    <w:name w:val="line number"/>
    <w:qFormat/>
    <w:uiPriority w:val="0"/>
  </w:style>
  <w:style w:type="character" w:styleId="11">
    <w:name w:val="annotation referenc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qFormat/>
    <w:uiPriority w:val="0"/>
    <w:rPr>
      <w:rFonts w:ascii="Times New Roman" w:hAnsi="Times New Roman"/>
      <w:b/>
      <w:bCs/>
      <w:kern w:val="44"/>
      <w:sz w:val="44"/>
      <w:szCs w:val="44"/>
    </w:rPr>
  </w:style>
  <w:style w:type="paragraph" w:customStyle="1" w:styleId="1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qFormat/>
    <w:uiPriority w:val="0"/>
    <w:rPr>
      <w:rFonts w:hint="eastAsia" w:ascii="仿宋_GB2312" w:eastAsia="仿宋_GB2312"/>
      <w:color w:val="000000"/>
      <w:sz w:val="32"/>
      <w:szCs w:val="32"/>
    </w:rPr>
  </w:style>
  <w:style w:type="character" w:customStyle="1" w:styleId="21">
    <w:name w:val="fontstyle21"/>
    <w:qFormat/>
    <w:uiPriority w:val="0"/>
    <w:rPr>
      <w:rFonts w:hint="default" w:ascii="TimesNewRomanPSMT" w:hAnsi="TimesNewRomanPSMT"/>
      <w:color w:val="000000"/>
      <w:sz w:val="32"/>
      <w:szCs w:val="32"/>
    </w:rPr>
  </w:style>
  <w:style w:type="character" w:customStyle="1" w:styleId="22">
    <w:name w:val="fontstyle11"/>
    <w:qFormat/>
    <w:uiPriority w:val="0"/>
    <w:rPr>
      <w:rFonts w:hint="eastAsia" w:ascii="仿宋_GB2312" w:eastAsia="仿宋_GB2312"/>
      <w:color w:val="000000"/>
      <w:sz w:val="32"/>
      <w:szCs w:val="32"/>
    </w:rPr>
  </w:style>
  <w:style w:type="character" w:customStyle="1" w:styleId="23">
    <w:name w:val="fontstyle31"/>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beijing</Company>
  <Pages>14</Pages>
  <Words>4809</Words>
  <Characters>5046</Characters>
  <Lines>68</Lines>
  <Paragraphs>19</Paragraphs>
  <TotalTime>38</TotalTime>
  <ScaleCrop>false</ScaleCrop>
  <LinksUpToDate>false</LinksUpToDate>
  <CharactersWithSpaces>5516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Administrator</cp:lastModifiedBy>
  <cp:lastPrinted>2022-02-15T07:45:00Z</cp:lastPrinted>
  <dcterms:modified xsi:type="dcterms:W3CDTF">2025-02-24T08:06:47Z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4746AA2B63644A919A7677ADD6665D0C</vt:lpwstr>
  </property>
  <property fmtid="{D5CDD505-2E9C-101B-9397-08002B2CF9AE}" pid="4" name="KSOTemplateDocerSaveRecord">
    <vt:lpwstr>eyJoZGlkIjoiNDVhYWM2MGU3ZDRjZDA3MjA3NmIwM2M4YmY0YzlkMjgiLCJ1c2VySWQiOiIzNDEyNzAxNDkifQ==</vt:lpwstr>
  </property>
</Properties>
</file>