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70BE9BE">
      <w:pPr>
        <w:spacing w:line="660" w:lineRule="exact"/>
        <w:jc w:val="center"/>
        <w:rPr>
          <w:rFonts w:hint="default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华池县应急管理局</w:t>
      </w:r>
    </w:p>
    <w:p w14:paraId="05AE67C0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部门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09B2CEE9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一、单位职责</w:t>
      </w:r>
    </w:p>
    <w:p w14:paraId="62BA02A1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按照《华池县应急管理局职能配置、内设机构和人员编制规定》，县应急管理局主要承担安全生产综合监督管理和非煤矿山、危险化学品、烟花爆竹、工矿商贸行业安全生产监督管理职责，负责消防、应急管理工作和自然灾害救治综合工作。同时，承担“四部两委”（森林草原防灭火指挥部、防汛抗旱指挥部、抗震救灾指挥部、地质灾害应急指挥部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防灾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减灾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救灾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委员会、安全生产委员会）及各办公室工作职责。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76DB884D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县应急管理局为县政府组成部门，局机关内设办公室、综合协调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股、防灾减灾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救灾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股、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水火防治股、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非煤股、危化股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执法一股、执法二股8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个股室，现有干部职工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人（其中，班子成员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名，其他科级干部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名，一般干部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名，工勤人员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名）。</w:t>
      </w:r>
    </w:p>
    <w:p w14:paraId="1A18BC42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）直属事业单位</w:t>
      </w:r>
    </w:p>
    <w:p w14:paraId="4C787B0B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华池县抗旱防汛指挥部办公室，核定事业编制3名，主要职责是组织协调水旱灾害应急救援工作，协调指导全县实施防御洪水抗御旱灾调度和应急水量调度工作，组织指导洪涝灾害救援工作。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华池县防震减灾中心，核定事业编制2名，主要职责是宣传贯彻国家、省防震减灾有关法律法规，落实全县防震减灾工作任务，会同有关部门开展灾情监测预测，配合行政主管部门做好防震减灾应急预案制定、灾情评估、灾害程度划分等工作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590.91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单位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年收入预算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590.91</w:t>
      </w:r>
      <w:r>
        <w:rPr>
          <w:rFonts w:hint="eastAsia" w:ascii="仿宋_GB2312" w:hAnsi="仿宋" w:eastAsia="仿宋_GB2312"/>
          <w:sz w:val="32"/>
          <w:szCs w:val="32"/>
        </w:rPr>
        <w:t xml:space="preserve"> 万元（详见单位预算公开表1,2）。包括：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一般公共预算收入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590.91</w:t>
      </w:r>
      <w:r>
        <w:rPr>
          <w:rFonts w:hint="eastAsia" w:ascii="仿宋_GB2312" w:hAnsi="仿宋" w:eastAsia="仿宋_GB2312"/>
          <w:sz w:val="32"/>
          <w:szCs w:val="32"/>
        </w:rPr>
        <w:t xml:space="preserve"> 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6DC3895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政府性基金预算收入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ABC9C5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上年结转收入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其他收入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1620B186">
      <w:pPr>
        <w:numPr>
          <w:ilvl w:val="0"/>
          <w:numId w:val="1"/>
        </w:num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支出预算</w:t>
      </w:r>
    </w:p>
    <w:p w14:paraId="356FC486">
      <w:pPr>
        <w:numPr>
          <w:numId w:val="0"/>
        </w:numPr>
        <w:adjustRightInd w:val="0"/>
        <w:snapToGrid w:val="0"/>
        <w:spacing w:line="640" w:lineRule="exact"/>
        <w:ind w:firstLine="960" w:firstLineChars="3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年支出预算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590.91</w:t>
      </w:r>
      <w:r>
        <w:rPr>
          <w:rFonts w:hint="eastAsia" w:ascii="仿宋_GB2312" w:hAnsi="仿宋" w:eastAsia="仿宋_GB2312"/>
          <w:sz w:val="32"/>
          <w:szCs w:val="32"/>
        </w:rPr>
        <w:t xml:space="preserve"> 万元（详见单位预算公开表3）。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1"/>
          <w:rFonts w:hint="eastAsia" w:ascii="仿宋_GB2312" w:hAnsi="仿宋" w:eastAsia="仿宋_GB2312"/>
          <w:lang w:val="en-US" w:eastAsia="zh-CN"/>
        </w:rPr>
        <w:t>454.41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 xml:space="preserve">万元， 占 </w:t>
      </w:r>
      <w:r>
        <w:rPr>
          <w:rStyle w:val="21"/>
          <w:rFonts w:hint="eastAsia" w:ascii="仿宋_GB2312" w:hAnsi="仿宋" w:eastAsia="仿宋_GB2312"/>
          <w:lang w:val="en-US" w:eastAsia="zh-CN"/>
        </w:rPr>
        <w:t>76.9</w:t>
      </w:r>
      <w:r>
        <w:rPr>
          <w:rStyle w:val="21"/>
          <w:rFonts w:hint="eastAsia" w:ascii="仿宋_GB2312" w:hAnsi="仿宋" w:eastAsia="仿宋_GB2312"/>
        </w:rPr>
        <w:t xml:space="preserve"> %</w:t>
      </w:r>
      <w:r>
        <w:rPr>
          <w:rStyle w:val="20"/>
          <w:rFonts w:hint="default" w:hAnsi="仿宋"/>
        </w:rPr>
        <w:t xml:space="preserve">； 项目支出 </w:t>
      </w:r>
      <w:r>
        <w:rPr>
          <w:rStyle w:val="21"/>
          <w:rFonts w:hint="eastAsia" w:ascii="仿宋_GB2312" w:hAnsi="仿宋" w:eastAsia="仿宋_GB2312"/>
          <w:lang w:val="en-US" w:eastAsia="zh-CN"/>
        </w:rPr>
        <w:t>136.5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1"/>
          <w:rFonts w:hint="eastAsia" w:ascii="仿宋_GB2312" w:hAnsi="仿宋" w:eastAsia="仿宋_GB2312"/>
          <w:lang w:val="en-US" w:eastAsia="zh-CN"/>
        </w:rPr>
        <w:t>23.1</w:t>
      </w:r>
      <w:r>
        <w:rPr>
          <w:rStyle w:val="21"/>
          <w:rFonts w:hint="eastAsia" w:ascii="仿宋_GB2312" w:hAnsi="仿宋" w:eastAsia="仿宋_GB2312"/>
        </w:rPr>
        <w:t xml:space="preserve"> %</w:t>
      </w:r>
      <w:r>
        <w:rPr>
          <w:rStyle w:val="20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年一般公共预算当年支出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1"/>
          <w:rFonts w:hint="eastAsia" w:ascii="仿宋_GB2312" w:hAnsi="仿宋" w:eastAsia="仿宋_GB2312"/>
          <w:lang w:val="en-US" w:eastAsia="zh-CN"/>
        </w:rPr>
        <w:t>590.91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万元，包括：一般公共服务支出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1"/>
          <w:rFonts w:hint="eastAsia" w:ascii="仿宋_GB2312" w:hAnsi="仿宋" w:eastAsia="仿宋_GB2312"/>
          <w:lang w:val="en-US" w:eastAsia="zh-CN"/>
        </w:rPr>
        <w:t>337.39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万元、</w:t>
      </w:r>
      <w:r>
        <w:rPr>
          <w:rStyle w:val="20"/>
          <w:rFonts w:hint="default" w:hAnsi="仿宋"/>
          <w:color w:val="000000" w:themeColor="text1"/>
          <w14:textFill>
            <w14:solidFill>
              <w14:schemeClr w14:val="tx1"/>
            </w14:solidFill>
          </w14:textFill>
        </w:rPr>
        <w:t>社会保障和就业支出</w:t>
      </w:r>
      <w:r>
        <w:rPr>
          <w:rStyle w:val="21"/>
          <w:rFonts w:hint="eastAsia" w:ascii="仿宋_GB2312" w:hAnsi="仿宋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66</w:t>
      </w:r>
      <w:r>
        <w:rPr>
          <w:rStyle w:val="20"/>
          <w:rFonts w:hint="default" w:hAnsi="仿宋"/>
          <w:color w:val="000000" w:themeColor="text1"/>
          <w14:textFill>
            <w14:solidFill>
              <w14:schemeClr w14:val="tx1"/>
            </w14:solidFill>
          </w14:textFill>
        </w:rPr>
        <w:t>万元、</w:t>
      </w:r>
      <w:r>
        <w:rPr>
          <w:rStyle w:val="20"/>
          <w:rFonts w:hint="eastAsia" w:hAnsi="仿宋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卫生健康支出20.41万元、农林水支出16.5万元、住房保障支出30.61万元、灾害防治及应急管理支出120万元</w:t>
      </w:r>
      <w:r>
        <w:rPr>
          <w:rStyle w:val="20"/>
          <w:rFonts w:hint="default" w:hAnsi="仿宋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具体安排情况如下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年基本支出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454.41</w:t>
      </w:r>
      <w:r>
        <w:rPr>
          <w:rFonts w:hint="eastAsia" w:ascii="仿宋_GB2312" w:hAnsi="仿宋" w:eastAsia="仿宋_GB2312"/>
          <w:sz w:val="32"/>
          <w:szCs w:val="32"/>
        </w:rPr>
        <w:t xml:space="preserve"> 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 xml:space="preserve">年预算减少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8.87</w:t>
      </w:r>
      <w:r>
        <w:rPr>
          <w:rFonts w:hint="eastAsia" w:ascii="仿宋_GB2312" w:hAnsi="仿宋" w:eastAsia="仿宋_GB2312"/>
          <w:sz w:val="32"/>
          <w:szCs w:val="32"/>
        </w:rPr>
        <w:t xml:space="preserve"> 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1.91</w:t>
      </w:r>
      <w:r>
        <w:rPr>
          <w:rFonts w:hint="eastAsia" w:ascii="仿宋_GB2312" w:hAnsi="仿宋" w:eastAsia="仿宋_GB2312"/>
          <w:sz w:val="32"/>
          <w:szCs w:val="32"/>
        </w:rPr>
        <w:t xml:space="preserve"> %，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基本持平。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其中：人员经费支出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413.71</w:t>
      </w:r>
      <w:r>
        <w:rPr>
          <w:rFonts w:hint="eastAsia" w:ascii="仿宋_GB2312" w:hAnsi="仿宋" w:eastAsia="仿宋_GB2312"/>
          <w:sz w:val="32"/>
          <w:szCs w:val="32"/>
        </w:rPr>
        <w:t xml:space="preserve"> 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公用经费支出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40.7</w:t>
      </w:r>
      <w:r>
        <w:rPr>
          <w:rFonts w:hint="eastAsia" w:ascii="仿宋_GB2312" w:hAnsi="仿宋" w:eastAsia="仿宋_GB2312"/>
          <w:sz w:val="32"/>
          <w:szCs w:val="32"/>
        </w:rPr>
        <w:t xml:space="preserve"> 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3597376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年一般公共预算财政拨款项目支出预算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136.5</w:t>
      </w:r>
      <w:r>
        <w:rPr>
          <w:rFonts w:hint="eastAsia" w:ascii="仿宋_GB2312" w:hAnsi="仿宋" w:eastAsia="仿宋_GB2312"/>
          <w:sz w:val="32"/>
          <w:szCs w:val="32"/>
        </w:rPr>
        <w:t xml:space="preserve"> 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 xml:space="preserve">年预算减少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62.44</w:t>
      </w:r>
      <w:r>
        <w:rPr>
          <w:rFonts w:hint="eastAsia" w:ascii="仿宋_GB2312" w:hAnsi="仿宋" w:eastAsia="仿宋_GB2312"/>
          <w:sz w:val="32"/>
          <w:szCs w:val="32"/>
        </w:rPr>
        <w:t xml:space="preserve"> 万元，减少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31.39</w:t>
      </w:r>
      <w:r>
        <w:rPr>
          <w:rFonts w:hint="eastAsia" w:ascii="仿宋_GB2312" w:hAnsi="仿宋" w:eastAsia="仿宋_GB2312"/>
          <w:sz w:val="32"/>
          <w:szCs w:val="32"/>
        </w:rPr>
        <w:t xml:space="preserve">  %，减少的主要原因是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2025年取消了县乡级</w:t>
      </w:r>
      <w:r>
        <w:rPr>
          <w:rFonts w:hint="eastAsia" w:ascii="仿宋_GB2312" w:hAnsi="仿宋" w:eastAsia="仿宋_GB2312"/>
          <w:sz w:val="32"/>
          <w:szCs w:val="32"/>
        </w:rPr>
        <w:t>安全监管人员津贴及村级安全监管人员补助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。</w:t>
      </w:r>
    </w:p>
    <w:p w14:paraId="4AB38E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特定类项目共6个，分别是安全生产预防与应急专项、聘请安全生产中介机构查隐患、草原森林防火、政策性农房保险县级配套、自然灾害救助、县乡村三级应急指挥调度视频会议系统网费。</w:t>
      </w:r>
    </w:p>
    <w:p w14:paraId="36ECDBB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个，主要是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安监人员意外伤害保险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2F0500F3">
      <w:pPr>
        <w:adjustRightInd w:val="0"/>
        <w:snapToGrid w:val="0"/>
        <w:spacing w:line="640" w:lineRule="exact"/>
        <w:ind w:firstLine="640" w:firstLineChars="200"/>
        <w:contextualSpacing/>
        <w:rPr>
          <w:rFonts w:hint="default" w:ascii="仿宋_GB2312" w:hAnsi="仿宋" w:eastAsia="仿宋_GB2312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6.2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与2024年持平。</w:t>
      </w:r>
    </w:p>
    <w:p w14:paraId="74F3A29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0.2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与2024年持平。</w:t>
      </w:r>
    </w:p>
    <w:p w14:paraId="0BED573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万元（其中：公务用车购置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万元，公务用车运行维护费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万元），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与2024年持平。</w:t>
      </w:r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5734B58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.培训费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0.5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与2024年持平。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0C1AA7BE">
      <w:pPr>
        <w:widowControl/>
        <w:spacing w:line="6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.会议费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0.5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与2024年持平。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62.42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与2024年基本持平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D9232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单位政府采购预算总额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162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162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1EF30A2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原值</w:t>
      </w:r>
      <w:r>
        <w:rPr>
          <w:rFonts w:hint="eastAsia" w:ascii="仿宋_GB2312" w:hAnsi="仿宋" w:eastAsia="仿宋_GB2312"/>
          <w:sz w:val="32"/>
          <w:szCs w:val="32"/>
        </w:rPr>
        <w:t>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321.03</w:t>
      </w:r>
      <w:r>
        <w:rPr>
          <w:rFonts w:hint="eastAsia" w:ascii="仿宋_GB2312" w:hAnsi="仿宋" w:eastAsia="仿宋_GB2312"/>
          <w:sz w:val="32"/>
          <w:szCs w:val="32"/>
        </w:rPr>
        <w:t>万元。单位共有公务用车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32.24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121.84</w:t>
      </w:r>
      <w:r>
        <w:rPr>
          <w:rFonts w:hint="eastAsia" w:ascii="仿宋_GB2312" w:hAnsi="仿宋" w:eastAsia="仿宋_GB2312"/>
          <w:sz w:val="32"/>
          <w:szCs w:val="32"/>
        </w:rPr>
        <w:t>万元。202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162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306543F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年无使用政府性基金预算拨款安排支出。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4B174BF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县应急管理局非税收入为应急管理罚没收入，直接缴入国库。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1D7384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项目名称：聘请安全生产中介机构查隐患</w:t>
      </w:r>
    </w:p>
    <w:p w14:paraId="4AD05E2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1、项目概况：我局与中介机构签订服务协议，每年对全县重点危险化学品生产、经营企业、县境内非煤矿山油田服务企业进行安全隐患排查技术服务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0F7F247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2、立项依据：华池县人民政府常务十八届第2期会议纪要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68C883E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3、实施主体：全县重点危险化学品生产、经营企业、县境内非煤矿山油田服务企业</w:t>
      </w:r>
    </w:p>
    <w:p w14:paraId="5F73428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4、实施周期：202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年3月--202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月</w:t>
      </w:r>
    </w:p>
    <w:p w14:paraId="695BD55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5、实</w:t>
      </w:r>
      <w:r>
        <w:rPr>
          <w:rFonts w:hint="eastAsia" w:ascii="仿宋_GB2312" w:hAnsi="仿宋" w:eastAsia="仿宋_GB2312"/>
          <w:sz w:val="32"/>
          <w:szCs w:val="32"/>
        </w:rPr>
        <w:t>施计划：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通过询价形式确定性价比高的中介机构，计划</w:t>
      </w:r>
      <w:r>
        <w:rPr>
          <w:rFonts w:hint="eastAsia" w:ascii="仿宋_GB2312" w:hAnsi="仿宋" w:eastAsia="仿宋_GB2312"/>
          <w:sz w:val="32"/>
          <w:szCs w:val="32"/>
        </w:rPr>
        <w:t>组织专家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一年至少2次</w:t>
      </w:r>
      <w:r>
        <w:rPr>
          <w:rFonts w:hint="eastAsia" w:ascii="仿宋_GB2312" w:hAnsi="仿宋" w:eastAsia="仿宋_GB2312"/>
          <w:sz w:val="32"/>
          <w:szCs w:val="32"/>
        </w:rPr>
        <w:t>对全县矿山、危险化学品企业开展隐患排查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569933B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6、年度预算安排：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10万元。</w:t>
      </w:r>
    </w:p>
    <w:p w14:paraId="2A13888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7、预期总体目标：通过安全生产中介机构专家对我县企业的隐患排查，预防和减少企业各类生产安全事故的发生。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1FAF52A0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年预算无部门管理转移支付，相关表格为空表。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 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楷体" w:eastAsia="仿宋_GB2312"/>
          <w:sz w:val="32"/>
          <w:szCs w:val="32"/>
        </w:rPr>
        <w:t xml:space="preserve"> 年未安排国有资本经营预算支出，国有资本经营预算支出情况表为空表。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0C99A393">
      <w:pPr>
        <w:widowControl/>
        <w:numPr>
          <w:ilvl w:val="0"/>
          <w:numId w:val="0"/>
        </w:numPr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</w:rPr>
        <w:t>本单位严格按照县财政要求，将所有项目全部纳入绩效目标管理，执行过程按款项支出进度进行了监控并上报财政绩效管理部门，年终圆满完成了年初制定的绩效目标，绩效目标执行良好。202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13E32F5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</w:p>
    <w:p w14:paraId="632A82F0">
      <w:pPr>
        <w:widowControl/>
        <w:numPr>
          <w:ilvl w:val="0"/>
          <w:numId w:val="0"/>
        </w:numPr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 xml:space="preserve">个，完成率为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无发现</w:t>
      </w:r>
      <w:r>
        <w:rPr>
          <w:rFonts w:hint="eastAsia" w:ascii="仿宋_GB2312" w:hAnsi="仿宋" w:eastAsia="仿宋_GB2312"/>
          <w:sz w:val="32"/>
          <w:szCs w:val="32"/>
        </w:rPr>
        <w:t>“双监控”存在的问题。开展1-9月绩效运行监控项目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个，占本单位项目的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%。截至10月底，如期完成预算执行和绩效目标指标值的项目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 xml:space="preserve">个，完成率为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无发现</w:t>
      </w:r>
      <w:r>
        <w:rPr>
          <w:rFonts w:hint="eastAsia" w:ascii="仿宋_GB2312" w:hAnsi="仿宋" w:eastAsia="仿宋_GB2312"/>
          <w:sz w:val="32"/>
          <w:szCs w:val="32"/>
        </w:rPr>
        <w:t>“双监控”存在的问题。</w:t>
      </w:r>
    </w:p>
    <w:p w14:paraId="034CF0D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组织开展绩效自评项目共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个，其中，单位整体支出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个，项目支出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个，绩效自评覆盖率为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%。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年，纳入单位预算绩效目标管理的项目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 xml:space="preserve"> 个。其中，部门整体支出绩效目标围绕部门管理、履职效果、能力建设三个维度，设置二级指标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 xml:space="preserve"> 个、三级指标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" w:eastAsia="仿宋_GB2312"/>
          <w:sz w:val="32"/>
          <w:szCs w:val="32"/>
        </w:rPr>
        <w:t xml:space="preserve"> 个；项目支出绩效目标围绕成本指标、产出指标、效益指标、满意度指标四个维度，设置二级指标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 xml:space="preserve"> 个、三级指标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 xml:space="preserve"> 个。各项绩效目标内容指向明确、细化量化、合理可行，符合规定的格式要求。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  <w:bookmarkStart w:id="0" w:name="_GoBack"/>
      <w:bookmarkEnd w:id="0"/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BF108C1">
      <w:pPr>
        <w:adjustRightInd w:val="0"/>
        <w:snapToGrid w:val="0"/>
        <w:spacing w:line="640" w:lineRule="exact"/>
        <w:ind w:right="960"/>
        <w:contextualSpacing/>
        <w:jc w:val="center"/>
        <w:rPr>
          <w:rFonts w:hint="default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      华池县应急管理局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 月 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 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华池县应急管理局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华池县应急管理局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B59D33"/>
    <w:multiLevelType w:val="singleLevel"/>
    <w:tmpl w:val="26B59D3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101E3D8B"/>
    <w:rsid w:val="113741D2"/>
    <w:rsid w:val="18330BA7"/>
    <w:rsid w:val="1A3C417C"/>
    <w:rsid w:val="1ADF238C"/>
    <w:rsid w:val="1B0D4C89"/>
    <w:rsid w:val="1D34261E"/>
    <w:rsid w:val="29AB2F16"/>
    <w:rsid w:val="3D716477"/>
    <w:rsid w:val="3E9B10C2"/>
    <w:rsid w:val="42A05423"/>
    <w:rsid w:val="49C47A3F"/>
    <w:rsid w:val="4B3E5F47"/>
    <w:rsid w:val="4C433C79"/>
    <w:rsid w:val="527E074E"/>
    <w:rsid w:val="56393C72"/>
    <w:rsid w:val="579503FF"/>
    <w:rsid w:val="60535296"/>
    <w:rsid w:val="72FD2525"/>
    <w:rsid w:val="78106856"/>
    <w:rsid w:val="7CB27161"/>
    <w:rsid w:val="7D42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12</Pages>
  <Words>4799</Words>
  <Characters>5036</Characters>
  <Lines>68</Lines>
  <Paragraphs>19</Paragraphs>
  <TotalTime>3</TotalTime>
  <ScaleCrop>false</ScaleCrop>
  <LinksUpToDate>false</LinksUpToDate>
  <CharactersWithSpaces>5506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Suriy</cp:lastModifiedBy>
  <cp:lastPrinted>2022-02-15T07:45:00Z</cp:lastPrinted>
  <dcterms:modified xsi:type="dcterms:W3CDTF">2026-02-12T12:24:56Z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BB35F4916498468CA368B5378448AD2E_13</vt:lpwstr>
  </property>
  <property fmtid="{D5CDD505-2E9C-101B-9397-08002B2CF9AE}" pid="4" name="KSOTemplateDocerSaveRecord">
    <vt:lpwstr>eyJoZGlkIjoiZjYyMzNhODFhOTBkNGUwMDczNjZhOGI1ZmZmNDIwZTgiLCJ1c2VySWQiOiI0NzQzMzYwNTgifQ==</vt:lpwstr>
  </property>
</Properties>
</file>