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农业技术推广中心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年预算公开情况说明 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隶属县农业农村局下属事业单位，华池县农业技术推广中心</w:t>
      </w:r>
      <w:r>
        <w:rPr>
          <w:rFonts w:hint="eastAsia" w:ascii="仿宋_GB2312" w:hAnsi="Times New Roman" w:eastAsia="仿宋_GB2312"/>
          <w:sz w:val="32"/>
          <w:szCs w:val="32"/>
        </w:rPr>
        <w:t>负责全县农业技术推广，农作物新品种引进试验示范，农业科技培训和技术服务、建设等工作。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机构设置情况</w:t>
      </w:r>
    </w:p>
    <w:p>
      <w:pPr>
        <w:numPr>
          <w:numId w:val="0"/>
        </w:num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华池县农业技术推广中心属财政全额拨款的事业单位，共有事业编制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人。年末实有财政供养人员</w:t>
      </w:r>
      <w:r>
        <w:rPr>
          <w:rFonts w:ascii="仿宋_GB2312" w:eastAsia="仿宋_GB2312"/>
          <w:sz w:val="32"/>
          <w:szCs w:val="32"/>
        </w:rPr>
        <w:t>56</w:t>
      </w:r>
      <w:r>
        <w:rPr>
          <w:rFonts w:hint="eastAsia" w:ascii="仿宋_GB2312" w:eastAsia="仿宋_GB2312"/>
          <w:sz w:val="32"/>
          <w:szCs w:val="32"/>
        </w:rPr>
        <w:t>人，其中：在职</w:t>
      </w:r>
      <w:r>
        <w:rPr>
          <w:rFonts w:ascii="仿宋_GB2312" w:eastAsia="仿宋_GB2312"/>
          <w:sz w:val="32"/>
          <w:szCs w:val="32"/>
        </w:rPr>
        <w:t>32</w:t>
      </w:r>
      <w:r>
        <w:rPr>
          <w:rFonts w:hint="eastAsia" w:ascii="仿宋_GB2312" w:eastAsia="仿宋_GB2312"/>
          <w:sz w:val="32"/>
          <w:szCs w:val="32"/>
        </w:rPr>
        <w:t>人，退休人员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人（已全部移交社保），遗属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人。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573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农技中心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年收入预算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573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一般公共预算收入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573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573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573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100</w:t>
      </w:r>
      <w:r>
        <w:rPr>
          <w:rStyle w:val="20"/>
          <w:rFonts w:hint="default" w:hAnsi="仿宋"/>
        </w:rPr>
        <w:t xml:space="preserve"> 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项目支出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</w:t>
      </w:r>
      <w:r>
        <w:rPr>
          <w:rStyle w:val="20"/>
          <w:rFonts w:hint="eastAsia" w:hAnsi="仿宋" w:eastAsia="仿宋_GB2312"/>
          <w:lang w:val="en-US" w:eastAsia="zh-CN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万元， 占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0"/>
          <w:rFonts w:hint="eastAsia" w:hAnsi="仿宋" w:eastAsia="仿宋_GB2312"/>
          <w:lang w:val="en-US" w:eastAsia="zh-CN"/>
        </w:rPr>
        <w:t>573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0"/>
          <w:rFonts w:hint="eastAsia" w:hAnsi="仿宋" w:eastAsia="仿宋_GB2312"/>
          <w:lang w:val="en-US" w:eastAsia="zh-CN"/>
        </w:rPr>
        <w:t>485.19</w:t>
      </w:r>
      <w:r>
        <w:rPr>
          <w:rStyle w:val="20"/>
          <w:rFonts w:hint="default" w:hAnsi="仿宋"/>
        </w:rPr>
        <w:t>万元、公共安全支出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万元、教育支出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万元、科学技术支出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万元、社会保障和就业支出</w:t>
      </w:r>
      <w:r>
        <w:rPr>
          <w:rStyle w:val="20"/>
          <w:rFonts w:hint="eastAsia" w:hAnsi="仿宋" w:eastAsia="仿宋_GB2312"/>
          <w:lang w:val="en-US" w:eastAsia="zh-CN"/>
        </w:rPr>
        <w:t>87.81</w:t>
      </w:r>
      <w:r>
        <w:rPr>
          <w:rStyle w:val="20"/>
          <w:rFonts w:hint="default" w:hAnsi="仿宋"/>
        </w:rPr>
        <w:t>万元、其他支出</w:t>
      </w:r>
      <w:r>
        <w:rPr>
          <w:rStyle w:val="20"/>
          <w:rFonts w:hint="eastAsia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573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16.5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2.88</w:t>
      </w:r>
      <w:r>
        <w:rPr>
          <w:rFonts w:hint="eastAsia" w:ascii="仿宋_GB2312" w:hAnsi="仿宋" w:eastAsia="仿宋_GB2312"/>
          <w:sz w:val="32"/>
          <w:szCs w:val="32"/>
        </w:rPr>
        <w:t xml:space="preserve"> %，增长的主要原因是人员工资调标其中：人员经费支出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38.93</w:t>
      </w:r>
      <w:r>
        <w:rPr>
          <w:rFonts w:hint="eastAsia" w:ascii="仿宋_GB2312" w:hAnsi="仿宋" w:eastAsia="仿宋_GB2312"/>
          <w:sz w:val="32"/>
          <w:szCs w:val="32"/>
        </w:rPr>
        <w:t xml:space="preserve">  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公用经费支出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19.2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 类） 纪检监察事务（ 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3.3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1.因公出国（境）费用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年预算增加（减少）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  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   万元，增长（下降）   %，增长（下降）的主要原因是……。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   万元（其中：公务用车购置    万元，公务用车运行维护费   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    万元，增长（下降）   %，增长（下降）的主要原因是……。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  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   万元，增长（下降）   %，增长（下降）的主要原因是……。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  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   万元，增长（下降）   %，增长（下降）的主要原因是……。</w:t>
      </w:r>
    </w:p>
    <w:p>
      <w:pPr>
        <w:widowControl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   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   万元，增长（下降）   %，增长（下降）的主要原因是……。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    万元，其中：政府采购货物预算    万元，政府采购工程预算    万元，政府采购服务预算    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  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541.19</w:t>
      </w:r>
      <w:r>
        <w:rPr>
          <w:rFonts w:hint="eastAsia" w:ascii="仿宋_GB2312" w:hAnsi="仿宋" w:eastAsia="仿宋_GB2312"/>
          <w:sz w:val="32"/>
          <w:szCs w:val="32"/>
        </w:rPr>
        <w:t xml:space="preserve">万元。其中：办公用房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平方米，价值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辆，价值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年使用政府性基金预算拨款安排支出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1．交通运输支出（ 类） 民航发展基金支出（ 款） 民航安全（ 项）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 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 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说明:如果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年未安排政府性基金预算支出，请写成“未安排预算，政府性基金预算支出情况表为空表。”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农业技术推广中心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 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年初</w:t>
      </w:r>
      <w:r>
        <w:rPr>
          <w:rFonts w:hint="eastAsia" w:ascii="仿宋_GB2312" w:hAnsi="仿宋" w:eastAsia="仿宋_GB2312"/>
          <w:sz w:val="32"/>
          <w:szCs w:val="32"/>
        </w:rPr>
        <w:t>未安排预算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项目支出</w:t>
      </w:r>
      <w:r>
        <w:rPr>
          <w:rFonts w:hint="eastAsia" w:ascii="仿宋_GB2312" w:hAnsi="仿宋" w:eastAsia="仿宋_GB2312"/>
          <w:sz w:val="32"/>
          <w:szCs w:val="32"/>
        </w:rPr>
        <w:t>，单位管理转移支付表为空表。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 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年初</w:t>
      </w:r>
      <w:r>
        <w:rPr>
          <w:rFonts w:hint="eastAsia" w:ascii="仿宋_GB2312" w:hAnsi="仿宋" w:eastAsia="仿宋_GB2312"/>
          <w:sz w:val="32"/>
          <w:szCs w:val="32"/>
        </w:rPr>
        <w:t>未安排预算，单位国有资本经营预算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支出情况表为空表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 xml:space="preserve">整体支出和项目绩效目标   个，按规定随年度预算一并公开项目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 xml:space="preserve">%。截至7月底，如期完成预算执行和绩效目标指标值的项目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%。绩效自评结果随部门决算报送财政和随决算公开情况：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已公开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年，纳入部门/单位预算绩效目标管理的项目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个。其中，部门整体支出绩效目标围绕部门管理、履职效果、能力建设三个维度，设置二级指标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 xml:space="preserve">个、三级指标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华池县农业技术推广中心</w:t>
      </w:r>
    </w:p>
    <w:p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月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日</w:t>
      </w: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农技中心2025 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农技中心2025年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整体支出绩效目标表</w:t>
      </w:r>
    </w:p>
    <w:p>
      <w:pPr>
        <w:tabs>
          <w:tab w:val="left" w:pos="1272"/>
        </w:tabs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DD2E7"/>
    <w:multiLevelType w:val="singleLevel"/>
    <w:tmpl w:val="358DD2E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7A338E"/>
    <w:rsid w:val="02E03DF9"/>
    <w:rsid w:val="113741D2"/>
    <w:rsid w:val="18330BA7"/>
    <w:rsid w:val="1A924479"/>
    <w:rsid w:val="1D34261E"/>
    <w:rsid w:val="20B6105E"/>
    <w:rsid w:val="3161134C"/>
    <w:rsid w:val="42A05423"/>
    <w:rsid w:val="430E3852"/>
    <w:rsid w:val="43D11F47"/>
    <w:rsid w:val="46B0549F"/>
    <w:rsid w:val="4BE36894"/>
    <w:rsid w:val="4C433C79"/>
    <w:rsid w:val="527E074E"/>
    <w:rsid w:val="56393C72"/>
    <w:rsid w:val="564F0ECA"/>
    <w:rsid w:val="579503FF"/>
    <w:rsid w:val="58AB5034"/>
    <w:rsid w:val="60535296"/>
    <w:rsid w:val="65F54491"/>
    <w:rsid w:val="68A701E2"/>
    <w:rsid w:val="72FD2525"/>
    <w:rsid w:val="774D67FE"/>
    <w:rsid w:val="78106856"/>
    <w:rsid w:val="7F75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9"/>
    <w:qFormat/>
    <w:uiPriority w:val="0"/>
    <w:rPr>
      <w:b/>
      <w:bCs/>
    </w:r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line number"/>
    <w:qFormat/>
    <w:uiPriority w:val="0"/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6"/>
    <w:qFormat/>
    <w:uiPriority w:val="0"/>
    <w:rPr>
      <w:sz w:val="18"/>
      <w:szCs w:val="18"/>
    </w:rPr>
  </w:style>
  <w:style w:type="character" w:customStyle="1" w:styleId="13">
    <w:name w:val="页眉 Char"/>
    <w:link w:val="7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4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3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14</Pages>
  <Words>4809</Words>
  <Characters>5046</Characters>
  <Lines>68</Lines>
  <Paragraphs>19</Paragraphs>
  <TotalTime>11</TotalTime>
  <ScaleCrop>false</ScaleCrop>
  <LinksUpToDate>false</LinksUpToDate>
  <CharactersWithSpaces>5516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美女</cp:lastModifiedBy>
  <cp:lastPrinted>2022-02-15T07:45:00Z</cp:lastPrinted>
  <dcterms:modified xsi:type="dcterms:W3CDTF">2025-02-13T02:02:28Z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4746AA2B63644A919A7677ADD6665D0C</vt:lpwstr>
  </property>
  <property fmtid="{D5CDD505-2E9C-101B-9397-08002B2CF9AE}" pid="4" name="KSOTemplateDocerSaveRecord">
    <vt:lpwstr>eyJoZGlkIjoiNDVhYWM2MGU3ZDRjZDA3MjA3NmIwM2M4YmY0YzlkMjgiLCJ1c2VySWQiOiIzNDEyNzAxNDkifQ==</vt:lpwstr>
  </property>
</Properties>
</file>