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8B6B5">
      <w:pPr>
        <w:spacing w:line="660" w:lineRule="exact"/>
        <w:jc w:val="center"/>
        <w:rPr>
          <w:rFonts w:ascii="宋体" w:hAnsi="宋体" w:cs="宋体"/>
          <w:b/>
          <w:bCs/>
          <w:kern w:val="0"/>
          <w:sz w:val="44"/>
          <w:szCs w:val="44"/>
        </w:rPr>
      </w:pPr>
    </w:p>
    <w:p w14:paraId="0065D364">
      <w:pPr>
        <w:spacing w:line="660" w:lineRule="exact"/>
        <w:jc w:val="center"/>
        <w:rPr>
          <w:rFonts w:ascii="宋体" w:hAnsi="宋体" w:cs="宋体"/>
          <w:b/>
          <w:bCs/>
          <w:kern w:val="0"/>
          <w:sz w:val="44"/>
          <w:szCs w:val="44"/>
        </w:rPr>
      </w:pPr>
    </w:p>
    <w:p w14:paraId="5AF7918B">
      <w:pPr>
        <w:spacing w:line="660" w:lineRule="exact"/>
        <w:jc w:val="center"/>
        <w:rPr>
          <w:rFonts w:ascii="宋体" w:hAnsi="宋体" w:cs="宋体"/>
          <w:b/>
          <w:bCs/>
          <w:kern w:val="0"/>
          <w:sz w:val="44"/>
          <w:szCs w:val="44"/>
        </w:rPr>
      </w:pPr>
    </w:p>
    <w:p w14:paraId="4453F425">
      <w:pPr>
        <w:spacing w:line="660" w:lineRule="exact"/>
        <w:jc w:val="center"/>
        <w:rPr>
          <w:rFonts w:hint="eastAsia" w:ascii="宋体" w:hAnsi="宋体" w:cs="宋体"/>
          <w:b/>
          <w:bCs/>
          <w:kern w:val="0"/>
          <w:sz w:val="44"/>
          <w:szCs w:val="44"/>
          <w:lang w:eastAsia="zh-CN"/>
        </w:rPr>
      </w:pPr>
      <w:r>
        <w:rPr>
          <w:rFonts w:hint="eastAsia" w:ascii="宋体" w:hAnsi="宋体" w:cs="宋体"/>
          <w:b/>
          <w:bCs/>
          <w:kern w:val="0"/>
          <w:sz w:val="44"/>
          <w:szCs w:val="44"/>
          <w:lang w:eastAsia="zh-CN"/>
        </w:rPr>
        <w:t>华池县发展和改革局</w:t>
      </w:r>
    </w:p>
    <w:p w14:paraId="1C02D6F8">
      <w:pPr>
        <w:spacing w:line="660" w:lineRule="exact"/>
        <w:jc w:val="center"/>
        <w:rPr>
          <w:rFonts w:ascii="宋体" w:hAnsi="宋体" w:cs="宋体"/>
          <w:b/>
          <w:bCs/>
          <w:kern w:val="0"/>
          <w:sz w:val="44"/>
          <w:szCs w:val="44"/>
        </w:rPr>
        <w:sectPr>
          <w:footerReference r:id="rId3" w:type="default"/>
          <w:pgSz w:w="11906" w:h="16838"/>
          <w:pgMar w:top="1134" w:right="1134" w:bottom="1440" w:left="1276" w:header="851" w:footer="992" w:gutter="0"/>
          <w:cols w:space="720" w:num="1"/>
          <w:docGrid w:type="lines" w:linePitch="312" w:charSpace="0"/>
        </w:sectPr>
      </w:pPr>
      <w:r>
        <w:rPr>
          <w:rFonts w:hint="eastAsia" w:ascii="宋体" w:hAnsi="宋体" w:cs="宋体"/>
          <w:b/>
          <w:bCs/>
          <w:kern w:val="0"/>
          <w:sz w:val="44"/>
          <w:szCs w:val="44"/>
          <w:lang w:eastAsia="zh-CN"/>
        </w:rPr>
        <w:t>2025</w:t>
      </w:r>
      <w:r>
        <w:rPr>
          <w:rFonts w:hint="eastAsia" w:ascii="宋体" w:hAnsi="宋体" w:cs="宋体"/>
          <w:b/>
          <w:bCs/>
          <w:kern w:val="0"/>
          <w:sz w:val="44"/>
          <w:szCs w:val="44"/>
        </w:rPr>
        <w:t>年</w:t>
      </w:r>
      <w:r>
        <w:rPr>
          <w:rFonts w:hint="eastAsia" w:ascii="宋体" w:hAnsi="宋体" w:cs="宋体"/>
          <w:b/>
          <w:bCs/>
          <w:kern w:val="0"/>
          <w:sz w:val="44"/>
          <w:szCs w:val="44"/>
          <w:lang w:eastAsia="zh-CN"/>
        </w:rPr>
        <w:t>部门</w:t>
      </w:r>
      <w:r>
        <w:rPr>
          <w:rFonts w:hint="eastAsia" w:ascii="宋体" w:hAnsi="宋体" w:cs="宋体"/>
          <w:b/>
          <w:bCs/>
          <w:kern w:val="0"/>
          <w:sz w:val="44"/>
          <w:szCs w:val="44"/>
        </w:rPr>
        <w:t xml:space="preserve">预算公开情况说明 </w:t>
      </w:r>
      <w:bookmarkStart w:id="0" w:name="_GoBack"/>
      <w:bookmarkEnd w:id="0"/>
    </w:p>
    <w:p w14:paraId="23298934">
      <w:pPr>
        <w:spacing w:line="660" w:lineRule="exact"/>
        <w:jc w:val="center"/>
        <w:rPr>
          <w:rFonts w:ascii="宋体" w:hAnsi="宋体" w:cs="宋体"/>
          <w:b/>
          <w:bCs/>
          <w:kern w:val="0"/>
          <w:sz w:val="44"/>
          <w:szCs w:val="44"/>
        </w:rPr>
      </w:pPr>
      <w:r>
        <w:rPr>
          <w:rFonts w:hint="eastAsia" w:ascii="宋体" w:hAnsi="宋体" w:cs="宋体"/>
          <w:b/>
          <w:bCs/>
          <w:kern w:val="0"/>
          <w:sz w:val="44"/>
          <w:szCs w:val="44"/>
        </w:rPr>
        <w:t>目  录</w:t>
      </w:r>
    </w:p>
    <w:p w14:paraId="404A4908">
      <w:pPr>
        <w:spacing w:line="660" w:lineRule="exact"/>
        <w:jc w:val="center"/>
        <w:rPr>
          <w:rFonts w:ascii="宋体" w:hAnsi="宋体" w:cs="宋体"/>
          <w:b/>
          <w:bCs/>
          <w:kern w:val="0"/>
          <w:sz w:val="44"/>
          <w:szCs w:val="44"/>
        </w:rPr>
      </w:pPr>
    </w:p>
    <w:p w14:paraId="581C7286">
      <w:pPr>
        <w:spacing w:line="30" w:lineRule="exact"/>
        <w:jc w:val="center"/>
        <w:rPr>
          <w:rFonts w:ascii="黑体" w:eastAsia="黑体"/>
          <w:color w:val="000000"/>
          <w:sz w:val="18"/>
          <w:szCs w:val="18"/>
        </w:rPr>
      </w:pPr>
    </w:p>
    <w:p w14:paraId="53002029">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第一部分 部门/单位基本概况</w:t>
      </w:r>
    </w:p>
    <w:p w14:paraId="70C024E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一、部门/单位职责</w:t>
      </w:r>
    </w:p>
    <w:p w14:paraId="4D83AF2B">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二、机构设置情况</w:t>
      </w:r>
    </w:p>
    <w:p w14:paraId="433351F8">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 xml:space="preserve">第二部分 </w:t>
      </w:r>
      <w:r>
        <w:rPr>
          <w:rFonts w:hint="eastAsia" w:ascii="仿宋_GB2312" w:hAnsi="仿宋" w:eastAsia="仿宋_GB2312"/>
          <w:b/>
          <w:color w:val="000000"/>
          <w:sz w:val="30"/>
          <w:szCs w:val="30"/>
          <w:lang w:eastAsia="zh-CN"/>
        </w:rPr>
        <w:t>2025</w:t>
      </w:r>
      <w:r>
        <w:rPr>
          <w:rFonts w:hint="eastAsia" w:ascii="仿宋_GB2312" w:hAnsi="仿宋" w:eastAsia="仿宋_GB2312"/>
          <w:b/>
          <w:color w:val="000000"/>
          <w:sz w:val="30"/>
          <w:szCs w:val="30"/>
        </w:rPr>
        <w:t>年部门/单位预算情况说明</w:t>
      </w:r>
    </w:p>
    <w:p w14:paraId="44EBD67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三</w:t>
      </w:r>
      <w:r>
        <w:rPr>
          <w:rFonts w:hint="eastAsia" w:ascii="仿宋_GB2312" w:hAnsi="仿宋" w:eastAsia="仿宋_GB2312"/>
          <w:color w:val="000000"/>
          <w:sz w:val="30"/>
          <w:szCs w:val="30"/>
        </w:rPr>
        <w:t>、收支总体情况</w:t>
      </w:r>
    </w:p>
    <w:p w14:paraId="0BB73FF5">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四</w:t>
      </w:r>
      <w:r>
        <w:rPr>
          <w:rFonts w:hint="eastAsia" w:ascii="仿宋_GB2312" w:hAnsi="仿宋" w:eastAsia="仿宋_GB2312"/>
          <w:color w:val="000000"/>
          <w:sz w:val="30"/>
          <w:szCs w:val="30"/>
        </w:rPr>
        <w:t>、一般公共预算情况</w:t>
      </w:r>
    </w:p>
    <w:p w14:paraId="4A12B8CB">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五</w:t>
      </w:r>
      <w:r>
        <w:rPr>
          <w:rFonts w:hint="eastAsia" w:ascii="仿宋_GB2312" w:hAnsi="仿宋" w:eastAsia="仿宋_GB2312"/>
          <w:color w:val="000000"/>
          <w:sz w:val="30"/>
          <w:szCs w:val="30"/>
        </w:rPr>
        <w:t>、一般公共预算财政拨款“三公”经费、培训费、会议费等情况</w:t>
      </w:r>
    </w:p>
    <w:p w14:paraId="435BC81C">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六</w:t>
      </w:r>
      <w:r>
        <w:rPr>
          <w:rFonts w:hint="eastAsia" w:ascii="仿宋_GB2312" w:hAnsi="仿宋" w:eastAsia="仿宋_GB2312"/>
          <w:color w:val="000000"/>
          <w:sz w:val="30"/>
          <w:szCs w:val="30"/>
        </w:rPr>
        <w:t>、一般公共预算财政拨款机关运行经费情况</w:t>
      </w:r>
    </w:p>
    <w:p w14:paraId="2F88CE3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七</w:t>
      </w:r>
      <w:r>
        <w:rPr>
          <w:rFonts w:hint="eastAsia" w:ascii="仿宋_GB2312" w:hAnsi="仿宋" w:eastAsia="仿宋_GB2312"/>
          <w:color w:val="000000"/>
          <w:sz w:val="30"/>
          <w:szCs w:val="30"/>
        </w:rPr>
        <w:t>、政府采购安排情况</w:t>
      </w:r>
    </w:p>
    <w:p w14:paraId="5046C445">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八</w:t>
      </w:r>
      <w:r>
        <w:rPr>
          <w:rFonts w:hint="eastAsia" w:ascii="仿宋_GB2312" w:hAnsi="仿宋" w:eastAsia="仿宋_GB2312"/>
          <w:color w:val="000000"/>
          <w:sz w:val="30"/>
          <w:szCs w:val="30"/>
        </w:rPr>
        <w:t>、国有资产占用情况</w:t>
      </w:r>
    </w:p>
    <w:p w14:paraId="6D55E2E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九</w:t>
      </w:r>
      <w:r>
        <w:rPr>
          <w:rFonts w:hint="eastAsia" w:ascii="仿宋_GB2312" w:hAnsi="仿宋" w:eastAsia="仿宋_GB2312"/>
          <w:color w:val="000000"/>
          <w:sz w:val="30"/>
          <w:szCs w:val="30"/>
        </w:rPr>
        <w:t>、其他重要事项情况说明</w:t>
      </w:r>
    </w:p>
    <w:p w14:paraId="171C4917">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十</w:t>
      </w:r>
      <w:r>
        <w:rPr>
          <w:rFonts w:hint="eastAsia" w:ascii="仿宋_GB2312" w:hAnsi="仿宋" w:eastAsia="仿宋_GB2312"/>
          <w:color w:val="000000"/>
          <w:sz w:val="30"/>
          <w:szCs w:val="30"/>
        </w:rPr>
        <w:t>、预算绩效管理情况</w:t>
      </w:r>
    </w:p>
    <w:p w14:paraId="7042C3D9">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十一</w:t>
      </w:r>
      <w:r>
        <w:rPr>
          <w:rFonts w:hint="eastAsia" w:ascii="仿宋_GB2312" w:hAnsi="仿宋" w:eastAsia="仿宋_GB2312"/>
          <w:color w:val="000000"/>
          <w:sz w:val="30"/>
          <w:szCs w:val="30"/>
        </w:rPr>
        <w:t>、名词解释</w:t>
      </w:r>
    </w:p>
    <w:p w14:paraId="734FD345">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 xml:space="preserve">第三部分 </w:t>
      </w:r>
      <w:r>
        <w:rPr>
          <w:rFonts w:hint="eastAsia" w:ascii="仿宋_GB2312" w:hAnsi="仿宋" w:eastAsia="仿宋_GB2312"/>
          <w:b/>
          <w:color w:val="000000"/>
          <w:sz w:val="30"/>
          <w:szCs w:val="30"/>
          <w:lang w:eastAsia="zh-CN"/>
        </w:rPr>
        <w:t>2025</w:t>
      </w:r>
      <w:r>
        <w:rPr>
          <w:rFonts w:hint="eastAsia" w:ascii="仿宋_GB2312" w:hAnsi="仿宋" w:eastAsia="仿宋_GB2312"/>
          <w:b/>
          <w:color w:val="000000"/>
          <w:sz w:val="30"/>
          <w:szCs w:val="30"/>
        </w:rPr>
        <w:t>年部门（单位）预算公开表</w:t>
      </w:r>
    </w:p>
    <w:p w14:paraId="3FD2078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一、部门/单位收支总体情况表</w:t>
      </w:r>
    </w:p>
    <w:p w14:paraId="72142C8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二、部门/单位收入总体情况表</w:t>
      </w:r>
    </w:p>
    <w:p w14:paraId="45966E8E">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三、部门/单位支出总体情况表</w:t>
      </w:r>
    </w:p>
    <w:p w14:paraId="675B8204">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四、财政拨款收支总体情况表</w:t>
      </w:r>
    </w:p>
    <w:p w14:paraId="7622165F">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五、财政拨款支出表</w:t>
      </w:r>
    </w:p>
    <w:p w14:paraId="6361183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六、一般公共预算支出情况表</w:t>
      </w:r>
    </w:p>
    <w:p w14:paraId="600E5294">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七、一般公共预算基本支出情况表</w:t>
      </w:r>
    </w:p>
    <w:p w14:paraId="5189B486">
      <w:pPr>
        <w:spacing w:line="560" w:lineRule="exact"/>
        <w:ind w:firstLine="600" w:firstLineChars="200"/>
        <w:jc w:val="left"/>
        <w:rPr>
          <w:rFonts w:ascii="仿宋_GB2312" w:hAnsi="仿宋" w:eastAsia="仿宋_GB2312"/>
          <w:color w:val="000000"/>
          <w:spacing w:val="-20"/>
          <w:sz w:val="30"/>
          <w:szCs w:val="30"/>
        </w:rPr>
      </w:pPr>
      <w:r>
        <w:rPr>
          <w:rFonts w:hint="eastAsia" w:ascii="仿宋_GB2312" w:hAnsi="仿宋" w:eastAsia="仿宋_GB2312"/>
          <w:color w:val="000000"/>
          <w:sz w:val="30"/>
          <w:szCs w:val="30"/>
        </w:rPr>
        <w:t>八、</w:t>
      </w:r>
      <w:r>
        <w:rPr>
          <w:rFonts w:hint="eastAsia" w:ascii="仿宋_GB2312" w:hAnsi="仿宋" w:eastAsia="仿宋_GB2312"/>
          <w:color w:val="000000"/>
          <w:spacing w:val="-20"/>
          <w:sz w:val="30"/>
          <w:szCs w:val="30"/>
        </w:rPr>
        <w:t>一般公共预算财政拨款“三公”经费、会议费、培训费支出情况表</w:t>
      </w:r>
    </w:p>
    <w:p w14:paraId="4B121EFE">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九、一般公共预算财政拨款机关运行经费表</w:t>
      </w:r>
    </w:p>
    <w:p w14:paraId="031FDB5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十、政府性基金预算支出情况表</w:t>
      </w:r>
    </w:p>
    <w:p w14:paraId="5FFFCFAF">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十一、部门管理转移支付表</w:t>
      </w:r>
    </w:p>
    <w:p w14:paraId="505BB7C1">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十二、国有资本经营预算支出情况表</w:t>
      </w:r>
    </w:p>
    <w:p w14:paraId="4129F3F1">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十三、部门/单位整体支出绩效目标表和项目支出绩效目标表</w:t>
      </w:r>
    </w:p>
    <w:p w14:paraId="7F85859C">
      <w:pPr>
        <w:spacing w:line="660" w:lineRule="exact"/>
        <w:jc w:val="center"/>
        <w:rPr>
          <w:rFonts w:ascii="仿宋_GB2312" w:hAnsi="宋体" w:eastAsia="仿宋_GB2312" w:cs="宋体"/>
          <w:b/>
          <w:bCs/>
          <w:kern w:val="0"/>
          <w:sz w:val="44"/>
          <w:szCs w:val="44"/>
        </w:rPr>
      </w:pPr>
    </w:p>
    <w:p w14:paraId="434C6DD6">
      <w:pPr>
        <w:spacing w:line="600" w:lineRule="exact"/>
        <w:ind w:firstLine="562" w:firstLineChars="200"/>
        <w:rPr>
          <w:rFonts w:ascii="仿宋_GB2312" w:hAnsi="仿宋" w:eastAsia="仿宋_GB2312" w:cs="宋体"/>
          <w:b/>
          <w:kern w:val="0"/>
          <w:sz w:val="28"/>
          <w:szCs w:val="28"/>
        </w:rPr>
        <w:sectPr>
          <w:footerReference r:id="rId4" w:type="default"/>
          <w:pgSz w:w="11906" w:h="16838"/>
          <w:pgMar w:top="1134" w:right="1134" w:bottom="1440" w:left="1276" w:header="851" w:footer="992" w:gutter="0"/>
          <w:pgNumType w:start="1"/>
          <w:cols w:space="720" w:num="1"/>
          <w:docGrid w:type="lines" w:linePitch="312" w:charSpace="0"/>
        </w:sectPr>
      </w:pPr>
    </w:p>
    <w:p w14:paraId="42E458F6">
      <w:pPr>
        <w:spacing w:line="600" w:lineRule="exact"/>
        <w:ind w:firstLine="643" w:firstLineChars="200"/>
        <w:rPr>
          <w:rFonts w:ascii="仿宋_GB2312" w:hAnsi="黑体" w:eastAsia="仿宋_GB2312" w:cs="宋体"/>
          <w:b/>
          <w:kern w:val="0"/>
          <w:sz w:val="32"/>
          <w:szCs w:val="32"/>
        </w:rPr>
      </w:pPr>
      <w:r>
        <w:rPr>
          <w:rFonts w:hint="eastAsia" w:ascii="仿宋_GB2312" w:hAnsi="黑体" w:eastAsia="仿宋_GB2312" w:cs="宋体"/>
          <w:b/>
          <w:kern w:val="0"/>
          <w:sz w:val="32"/>
          <w:szCs w:val="32"/>
        </w:rPr>
        <w:t>前言</w:t>
      </w:r>
    </w:p>
    <w:p w14:paraId="0AD557B8">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按照《中华人民共和国预算法》《中华人民共和国预算法实施条例》以及</w:t>
      </w:r>
      <w:r>
        <w:rPr>
          <w:rFonts w:ascii="仿宋_GB2312" w:hAnsi="仿宋" w:eastAsia="仿宋_GB2312" w:cs="宋体"/>
          <w:kern w:val="0"/>
          <w:sz w:val="32"/>
          <w:szCs w:val="32"/>
        </w:rPr>
        <w:t>财政部</w:t>
      </w:r>
      <w:r>
        <w:rPr>
          <w:rFonts w:hint="eastAsia" w:ascii="仿宋_GB2312" w:hAnsi="仿宋" w:eastAsia="仿宋_GB2312" w:cs="宋体"/>
          <w:kern w:val="0"/>
          <w:sz w:val="32"/>
          <w:szCs w:val="32"/>
        </w:rPr>
        <w:t>《地方预决算公开操作规程》《关于推进部门所属单位预算公开的指导意见》和《中共甘肃省委办公厅 甘肃省人民政府办公厅关于进一步推进预算公开工作的实施方案》要求，现将</w:t>
      </w:r>
      <w:r>
        <w:rPr>
          <w:rFonts w:hint="eastAsia" w:ascii="仿宋_GB2312" w:hAnsi="仿宋" w:eastAsia="仿宋_GB2312" w:cs="宋体"/>
          <w:kern w:val="0"/>
          <w:sz w:val="32"/>
          <w:szCs w:val="32"/>
          <w:lang w:eastAsia="zh-CN"/>
        </w:rPr>
        <w:t>2025</w:t>
      </w:r>
      <w:r>
        <w:rPr>
          <w:rFonts w:hint="eastAsia" w:ascii="仿宋_GB2312" w:hAnsi="仿宋" w:eastAsia="仿宋_GB2312" w:cs="宋体"/>
          <w:kern w:val="0"/>
          <w:sz w:val="32"/>
          <w:szCs w:val="32"/>
        </w:rPr>
        <w:t>年部门预算公开如下：</w:t>
      </w:r>
    </w:p>
    <w:p w14:paraId="1BFDDEEA">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一、部门/单位职责</w:t>
      </w:r>
    </w:p>
    <w:p w14:paraId="4323632E">
      <w:pPr>
        <w:spacing w:line="600" w:lineRule="exact"/>
        <w:ind w:left="319" w:leftChars="152" w:firstLine="320" w:firstLineChars="100"/>
        <w:rPr>
          <w:rFonts w:hint="eastAsia" w:ascii="仿宋_GB2312" w:hAnsi="仿宋" w:eastAsia="仿宋_GB2312" w:cs="宋体"/>
          <w:kern w:val="0"/>
          <w:sz w:val="32"/>
          <w:szCs w:val="32"/>
        </w:rPr>
      </w:pPr>
      <w:r>
        <w:rPr>
          <w:rFonts w:hint="eastAsia" w:ascii="仿宋_GB2312" w:hAnsi="仿宋" w:eastAsia="仿宋_GB2312" w:cs="宋体"/>
          <w:kern w:val="0"/>
          <w:sz w:val="32"/>
          <w:szCs w:val="32"/>
          <w:lang w:val="en-US" w:eastAsia="zh-CN"/>
        </w:rPr>
        <w:t>本单位是</w:t>
      </w:r>
      <w:r>
        <w:rPr>
          <w:rFonts w:hint="eastAsia" w:ascii="仿宋_GB2312" w:hAnsi="仿宋" w:eastAsia="仿宋_GB2312" w:cs="宋体"/>
          <w:kern w:val="0"/>
          <w:sz w:val="32"/>
          <w:szCs w:val="32"/>
        </w:rPr>
        <w:t>政府正科级组成部门,加挂华池县粮食和物资储备局牌子，承担军民融合具体工作。主要职责为：一是拟订并组织实施全县国民经济和社会发展中长期规划和年度计划，统筹协调全县经济社会发展，研判经济发展趋势，提出国民经济发展、价格总水平调控和优化重大经济结构的目标、政策，提出综合运用各种经济手段和政策的建议，受县政府委托向县人民代表大会及其常委会提交全县国民经济和社会发展计划的报告。二是负责监测全县经济和社会发展态势，承担预测预警和信息引导的职责，研究宏观经济运行、总量平衡、经济安全等重大问题并提出相关政策建议；承担规划全县重大项目和生产力布局职责，提出全社会固定资产投资总规模;研究确定和管理重大建设项目，协调解决重大项目建设中的问题;按规定权限审批、核准、备案、申报建设项目;按规定权限负责全县政府投资项目（除工业和通信业项目外）的可行性研究报告申报、实施管理和竣工验收工作;负责项目培训、考核工作;引导民间投资方向。三是指导和综合协调推进全县经济体制改革工作，组织拟订综合性经济体制改革方案，审定专项经济体制改革方案;指导协调全县经济体制综合配套改革试点工作。四是研究全县国民经济与国防建设的关系，组织编制国民经济动员规划、计划，拟订推进经济建设与国防建设协调发展的战略和规划，协调相关重大问题，组织实施全县国民经济动员有关工作。五是拟订并组织实施全县价格和收费政策及管理目录，依法进行监督管理;负责制定、调整县域内价格和收费标准，指导全县价格与收费的监督检查;指导成本调查、市场价格监测、信息发布、价格鉴定、价格认证等工作。六是提出全县利用外资的总规模和投向，指导和监督国外贷款资金的使用和项目的实施，同时，对全县重大建设项目招投标进行监督检查等。</w:t>
      </w:r>
      <w:r>
        <w:rPr>
          <w:rFonts w:hint="eastAsia" w:ascii="仿宋_GB2312" w:hAnsi="仿宋" w:eastAsia="仿宋_GB2312" w:cs="宋体"/>
          <w:kern w:val="0"/>
          <w:sz w:val="32"/>
          <w:szCs w:val="32"/>
          <w:lang w:eastAsia="zh-CN"/>
        </w:rPr>
        <w:t>七是</w:t>
      </w:r>
      <w:r>
        <w:rPr>
          <w:rStyle w:val="10"/>
          <w:rFonts w:hint="default" w:ascii="Times New Roman" w:hAnsi="Times New Roman" w:eastAsia="仿宋_GB2312" w:cs="Times New Roman"/>
          <w:b w:val="0"/>
          <w:bCs w:val="0"/>
          <w:i w:val="0"/>
          <w:iCs w:val="0"/>
          <w:caps w:val="0"/>
          <w:color w:val="333333"/>
          <w:spacing w:val="0"/>
          <w:sz w:val="32"/>
          <w:szCs w:val="32"/>
          <w:shd w:val="clear" w:color="auto" w:fill="FFFFFF"/>
          <w:lang w:val="en-US" w:eastAsia="zh-CN"/>
        </w:rPr>
        <w:t>编制企地协作年度和长远经济技术协作计划、规划；负责协调组织企地协作经济联合项目的实施，处理经济技术协作的协商、谈判以及工业项目的考察论证等事项；协调处理好企地纠纷，建立良好的企地关系</w:t>
      </w:r>
      <w:r>
        <w:rPr>
          <w:rStyle w:val="10"/>
          <w:rFonts w:hint="eastAsia" w:ascii="Times New Roman" w:hAnsi="Times New Roman" w:eastAsia="仿宋_GB2312" w:cs="Times New Roman"/>
          <w:b w:val="0"/>
          <w:bCs w:val="0"/>
          <w:i w:val="0"/>
          <w:iCs w:val="0"/>
          <w:caps w:val="0"/>
          <w:color w:val="333333"/>
          <w:spacing w:val="0"/>
          <w:sz w:val="32"/>
          <w:szCs w:val="32"/>
          <w:shd w:val="clear" w:color="auto" w:fill="FFFFFF"/>
          <w:lang w:val="en-US" w:eastAsia="zh-CN"/>
        </w:rPr>
        <w:t>等</w:t>
      </w:r>
      <w:r>
        <w:rPr>
          <w:rStyle w:val="10"/>
          <w:rFonts w:hint="default" w:ascii="Times New Roman" w:hAnsi="Times New Roman" w:eastAsia="仿宋_GB2312" w:cs="Times New Roman"/>
          <w:b w:val="0"/>
          <w:bCs w:val="0"/>
          <w:i w:val="0"/>
          <w:iCs w:val="0"/>
          <w:caps w:val="0"/>
          <w:color w:val="333333"/>
          <w:spacing w:val="0"/>
          <w:sz w:val="32"/>
          <w:szCs w:val="32"/>
          <w:shd w:val="clear" w:color="auto" w:fill="FFFFFF"/>
          <w:lang w:val="en-US" w:eastAsia="zh-CN"/>
        </w:rPr>
        <w:t>承办县委、县政府交办的其他事项</w:t>
      </w:r>
      <w:r>
        <w:rPr>
          <w:rStyle w:val="10"/>
          <w:rFonts w:hint="eastAsia" w:ascii="Times New Roman" w:hAnsi="Times New Roman" w:eastAsia="仿宋_GB2312" w:cs="Times New Roman"/>
          <w:b w:val="0"/>
          <w:bCs w:val="0"/>
          <w:i w:val="0"/>
          <w:iCs w:val="0"/>
          <w:caps w:val="0"/>
          <w:color w:val="333333"/>
          <w:spacing w:val="0"/>
          <w:sz w:val="32"/>
          <w:szCs w:val="32"/>
          <w:shd w:val="clear" w:color="auto" w:fill="FFFFFF"/>
          <w:lang w:val="en-US" w:eastAsia="zh-CN"/>
        </w:rPr>
        <w:t>。</w:t>
      </w:r>
    </w:p>
    <w:p w14:paraId="720E48B4">
      <w:pPr>
        <w:spacing w:line="600" w:lineRule="exact"/>
        <w:ind w:left="319" w:leftChars="152" w:firstLine="320" w:firstLineChars="100"/>
        <w:rPr>
          <w:rFonts w:ascii="黑体" w:hAnsi="黑体" w:eastAsia="黑体" w:cs="宋体"/>
          <w:kern w:val="0"/>
          <w:sz w:val="32"/>
          <w:szCs w:val="32"/>
        </w:rPr>
      </w:pPr>
      <w:r>
        <w:rPr>
          <w:rFonts w:hint="eastAsia" w:ascii="黑体" w:hAnsi="黑体" w:eastAsia="黑体" w:cs="宋体"/>
          <w:kern w:val="0"/>
          <w:sz w:val="32"/>
          <w:szCs w:val="32"/>
        </w:rPr>
        <w:t>二、机构设置情况</w:t>
      </w:r>
    </w:p>
    <w:p w14:paraId="77BC1A87">
      <w:pPr>
        <w:spacing w:line="600" w:lineRule="exact"/>
        <w:ind w:firstLine="643" w:firstLineChars="200"/>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（一）机关内设机构</w:t>
      </w:r>
    </w:p>
    <w:p w14:paraId="42C767FA">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仿宋" w:eastAsia="仿宋_GB2312" w:cs="仿宋"/>
          <w:sz w:val="32"/>
          <w:szCs w:val="32"/>
        </w:rPr>
      </w:pPr>
      <w:r>
        <w:rPr>
          <w:rFonts w:hint="default" w:ascii="仿宋_GB2312" w:hAnsi="Calibri" w:eastAsia="仿宋_GB2312" w:cs="仿宋_GB2312"/>
          <w:kern w:val="0"/>
          <w:sz w:val="32"/>
          <w:szCs w:val="32"/>
          <w:lang w:val="en-US" w:eastAsia="zh-CN" w:bidi="ar"/>
        </w:rPr>
        <w:t>华池县发改局</w:t>
      </w:r>
      <w:r>
        <w:rPr>
          <w:rFonts w:hint="eastAsia" w:ascii="仿宋_GB2312" w:eastAsia="仿宋_GB2312" w:cs="仿宋_GB2312"/>
          <w:kern w:val="0"/>
          <w:sz w:val="32"/>
          <w:szCs w:val="32"/>
          <w:lang w:val="en-US" w:eastAsia="zh-CN" w:bidi="ar"/>
        </w:rPr>
        <w:t>下属3个二级单位，项目建设办公室、物资储备中心、石化办。</w:t>
      </w:r>
      <w:r>
        <w:rPr>
          <w:rFonts w:hint="default" w:ascii="仿宋_GB2312" w:hAnsi="Calibri" w:eastAsia="仿宋_GB2312" w:cs="仿宋_GB2312"/>
          <w:kern w:val="0"/>
          <w:sz w:val="32"/>
          <w:szCs w:val="32"/>
          <w:lang w:val="en-US" w:eastAsia="zh-CN" w:bidi="ar"/>
        </w:rPr>
        <w:t>内设机构</w:t>
      </w:r>
      <w:r>
        <w:rPr>
          <w:rFonts w:hint="eastAsia" w:ascii="仿宋_GB2312" w:eastAsia="仿宋_GB2312" w:cs="仿宋_GB2312"/>
          <w:kern w:val="0"/>
          <w:sz w:val="32"/>
          <w:szCs w:val="32"/>
          <w:lang w:val="en-US" w:eastAsia="zh-CN" w:bidi="ar"/>
        </w:rPr>
        <w:t>8</w:t>
      </w:r>
      <w:r>
        <w:rPr>
          <w:rFonts w:hint="default" w:ascii="仿宋_GB2312" w:hAnsi="Calibri" w:eastAsia="仿宋_GB2312" w:cs="仿宋_GB2312"/>
          <w:kern w:val="0"/>
          <w:sz w:val="32"/>
          <w:szCs w:val="32"/>
          <w:lang w:val="en-US" w:eastAsia="zh-CN" w:bidi="ar"/>
        </w:rPr>
        <w:t>个股室，人秘股主办人秘、后勤管理、财贸口及二级单位等业务，承担市发改委人秘科交办或对应的其他业务；农经股主办农村经济、易地扶贫搬迁等业务，承担市发改委农经科交办或对应的其他业务、以工代赈、巩固退耕还林成果等业务，承办市发改委以工代赈办交办或对应的业务；投资股主办城镇基础设施建设、党群、政法、商贸流通审批，中央预算内投资、专项基金业务，负责全县固定资产投资计划拟定、统计，承办市发改委投资科、综合科、环资科交办或对应的业务、乡镇项目审批、稳评、环资、节能、安全生产、综合治理、招商引资等业务；交通能源股主办交通、能源、电力等业务，承办市发改委交通科交办或对应的业务；社会股主办社会事业、经济动员等业务，承办市发改委社会科交办或对应的业务；产业和体改股主办党支部、三项建设、纪检监察等业务，承担产业开发协调、经济体改</w:t>
      </w:r>
      <w:r>
        <w:rPr>
          <w:rFonts w:hint="eastAsia" w:ascii="仿宋_GB2312" w:eastAsia="仿宋_GB2312" w:cs="仿宋_GB2312"/>
          <w:kern w:val="0"/>
          <w:sz w:val="32"/>
          <w:szCs w:val="32"/>
          <w:lang w:val="en-US" w:eastAsia="zh-CN" w:bidi="ar"/>
        </w:rPr>
        <w:t>，</w:t>
      </w:r>
      <w:r>
        <w:rPr>
          <w:rFonts w:hint="default" w:ascii="仿宋_GB2312" w:hAnsi="Calibri" w:eastAsia="仿宋_GB2312" w:cs="仿宋_GB2312"/>
          <w:kern w:val="0"/>
          <w:sz w:val="32"/>
          <w:szCs w:val="32"/>
          <w:lang w:val="en-US" w:eastAsia="zh-CN" w:bidi="ar"/>
        </w:rPr>
        <w:t>配合人秘股工作</w:t>
      </w:r>
      <w:r>
        <w:rPr>
          <w:rFonts w:hint="eastAsia" w:ascii="仿宋_GB2312" w:eastAsia="仿宋_GB2312" w:cs="仿宋_GB2312"/>
          <w:kern w:val="0"/>
          <w:sz w:val="32"/>
          <w:szCs w:val="32"/>
          <w:lang w:val="en-US" w:eastAsia="zh-CN" w:bidi="ar"/>
        </w:rPr>
        <w:t>，</w:t>
      </w:r>
      <w:r>
        <w:rPr>
          <w:rFonts w:hint="default" w:ascii="仿宋_GB2312" w:hAnsi="Calibri" w:eastAsia="仿宋_GB2312" w:cs="仿宋_GB2312"/>
          <w:kern w:val="0"/>
          <w:sz w:val="32"/>
          <w:szCs w:val="32"/>
          <w:lang w:val="en-US" w:eastAsia="zh-CN" w:bidi="ar"/>
        </w:rPr>
        <w:t>粮食和物资储备管理股、价格和社会信用管理股</w:t>
      </w:r>
      <w:r>
        <w:rPr>
          <w:rFonts w:hint="eastAsia" w:ascii="仿宋_GB2312" w:eastAsia="仿宋_GB2312" w:cs="仿宋_GB2312"/>
          <w:kern w:val="0"/>
          <w:sz w:val="32"/>
          <w:szCs w:val="32"/>
          <w:lang w:val="en-US" w:eastAsia="zh-CN" w:bidi="ar"/>
        </w:rPr>
        <w:t>。</w:t>
      </w:r>
    </w:p>
    <w:p w14:paraId="154D8898">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三、部门/单位收支总体情况</w:t>
      </w:r>
    </w:p>
    <w:p w14:paraId="10AF1836">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按照预算管理有关规定，</w:t>
      </w:r>
      <w:r>
        <w:rPr>
          <w:rFonts w:hint="eastAsia" w:ascii="仿宋_GB2312" w:hAnsi="仿宋" w:eastAsia="仿宋_GB2312" w:cs="宋体"/>
          <w:kern w:val="0"/>
          <w:sz w:val="32"/>
          <w:szCs w:val="32"/>
          <w:lang w:eastAsia="zh-CN"/>
        </w:rPr>
        <w:t>2025</w:t>
      </w:r>
      <w:r>
        <w:rPr>
          <w:rFonts w:hint="eastAsia" w:ascii="仿宋_GB2312" w:hAnsi="仿宋" w:eastAsia="仿宋_GB2312" w:cs="宋体"/>
          <w:kern w:val="0"/>
          <w:sz w:val="32"/>
          <w:szCs w:val="32"/>
        </w:rPr>
        <w:t>年部门（单位）收支包括机关预算和直属单位预算在内的汇总情况。</w:t>
      </w:r>
    </w:p>
    <w:p w14:paraId="02D85CDC">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lang w:eastAsia="zh-CN"/>
        </w:rPr>
        <w:t>2025</w:t>
      </w:r>
      <w:r>
        <w:rPr>
          <w:rFonts w:hint="eastAsia" w:ascii="仿宋_GB2312" w:hAnsi="仿宋" w:eastAsia="仿宋_GB2312" w:cs="宋体"/>
          <w:kern w:val="0"/>
          <w:sz w:val="32"/>
          <w:szCs w:val="32"/>
        </w:rPr>
        <w:t>年部门收支总预算</w:t>
      </w:r>
      <w:r>
        <w:rPr>
          <w:rFonts w:hint="eastAsia" w:ascii="仿宋_GB2312" w:hAnsi="仿宋" w:eastAsia="仿宋_GB2312" w:cs="宋体"/>
          <w:kern w:val="0"/>
          <w:sz w:val="32"/>
          <w:szCs w:val="32"/>
          <w:lang w:val="en-US" w:eastAsia="zh-CN"/>
        </w:rPr>
        <w:t>1001.00</w:t>
      </w:r>
      <w:r>
        <w:rPr>
          <w:rFonts w:hint="eastAsia" w:ascii="仿宋_GB2312" w:hAnsi="仿宋" w:eastAsia="仿宋_GB2312" w:cs="宋体"/>
          <w:kern w:val="0"/>
          <w:sz w:val="32"/>
          <w:szCs w:val="32"/>
        </w:rPr>
        <w:t>万元。按照综合预算的原则，部门（单位）所有收入和支出均纳入部门预算管理。收入包括：一般公共预算拨款收入、政府性基金预算拨款收入、事业收入、事业单位经营收入、其他收入、使用非财政拨款结余、上年结转；支出包括：一般公共服务支出、公共安全支出、教育支出、科学技术支出、社会保障和就业支出、卫生健康支出、交通运输支出、住房保障支出、其他支出。</w:t>
      </w:r>
    </w:p>
    <w:p w14:paraId="78846D78">
      <w:pPr>
        <w:spacing w:line="600" w:lineRule="exact"/>
        <w:ind w:firstLine="643" w:firstLineChars="200"/>
        <w:rPr>
          <w:rFonts w:ascii="楷体_GB2312" w:hAnsi="楷体" w:eastAsia="楷体_GB2312"/>
          <w:sz w:val="32"/>
          <w:szCs w:val="32"/>
        </w:rPr>
      </w:pPr>
      <w:r>
        <w:rPr>
          <w:rFonts w:hint="eastAsia" w:ascii="楷体_GB2312" w:hAnsi="楷体" w:eastAsia="楷体_GB2312" w:cs="宋体"/>
          <w:b/>
          <w:bCs/>
          <w:kern w:val="0"/>
          <w:sz w:val="32"/>
          <w:szCs w:val="32"/>
        </w:rPr>
        <w:t>（一）收入预算</w:t>
      </w:r>
    </w:p>
    <w:p w14:paraId="7E3AB6EB">
      <w:pPr>
        <w:widowControl/>
        <w:spacing w:line="560" w:lineRule="exact"/>
        <w:ind w:firstLine="960" w:firstLineChars="300"/>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年收入预算</w:t>
      </w:r>
      <w:r>
        <w:rPr>
          <w:rFonts w:hint="eastAsia" w:ascii="仿宋_GB2312" w:hAnsi="仿宋" w:eastAsia="仿宋_GB2312"/>
          <w:sz w:val="32"/>
          <w:szCs w:val="32"/>
          <w:lang w:val="en-US" w:eastAsia="zh-CN"/>
        </w:rPr>
        <w:t>1001.00</w:t>
      </w:r>
      <w:r>
        <w:rPr>
          <w:rFonts w:hint="eastAsia" w:ascii="仿宋_GB2312" w:hAnsi="仿宋" w:eastAsia="仿宋_GB2312"/>
          <w:sz w:val="32"/>
          <w:szCs w:val="32"/>
        </w:rPr>
        <w:t>万元（详见部门/单位预算公开表1,2）。包括：</w:t>
      </w:r>
    </w:p>
    <w:p w14:paraId="14E911E5">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一般公共预算收入</w:t>
      </w:r>
      <w:r>
        <w:rPr>
          <w:rFonts w:hint="eastAsia" w:ascii="仿宋_GB2312" w:hAnsi="仿宋" w:eastAsia="仿宋_GB2312"/>
          <w:sz w:val="32"/>
          <w:szCs w:val="32"/>
          <w:lang w:val="en-US" w:eastAsia="zh-CN"/>
        </w:rPr>
        <w:t>1001.00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p>
    <w:p w14:paraId="6DC38958">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政府性基金预算收入</w:t>
      </w:r>
      <w:r>
        <w:rPr>
          <w:rFonts w:hint="eastAsia" w:ascii="仿宋_GB2312" w:hAnsi="仿宋" w:eastAsia="仿宋_GB2312"/>
          <w:sz w:val="32"/>
          <w:szCs w:val="32"/>
          <w:lang w:val="en-US" w:eastAsia="zh-CN"/>
        </w:rPr>
        <w:t>0.00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p>
    <w:p w14:paraId="7ABC9C50">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上年结转收入</w:t>
      </w:r>
      <w:r>
        <w:rPr>
          <w:rFonts w:hint="eastAsia" w:ascii="仿宋_GB2312" w:hAnsi="仿宋" w:eastAsia="仿宋_GB2312"/>
          <w:sz w:val="32"/>
          <w:szCs w:val="32"/>
          <w:lang w:val="en-US" w:eastAsia="zh-CN"/>
        </w:rPr>
        <w:t>0.00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 xml:space="preserve">0 </w:t>
      </w:r>
      <w:r>
        <w:rPr>
          <w:rFonts w:hint="eastAsia" w:ascii="仿宋_GB2312" w:hAnsi="仿宋" w:eastAsia="仿宋_GB2312"/>
          <w:sz w:val="32"/>
          <w:szCs w:val="32"/>
        </w:rPr>
        <w:t>%；</w:t>
      </w:r>
    </w:p>
    <w:p w14:paraId="745038EB">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lang w:val="en-US" w:eastAsia="zh-CN"/>
        </w:rPr>
        <w:t>4.</w:t>
      </w:r>
      <w:r>
        <w:rPr>
          <w:rFonts w:hint="eastAsia" w:ascii="仿宋_GB2312" w:hAnsi="仿宋" w:eastAsia="仿宋_GB2312"/>
          <w:sz w:val="32"/>
          <w:szCs w:val="32"/>
        </w:rPr>
        <w:t>其他收入</w:t>
      </w:r>
      <w:r>
        <w:rPr>
          <w:rFonts w:hint="eastAsia" w:ascii="仿宋_GB2312" w:hAnsi="仿宋" w:eastAsia="仿宋_GB2312"/>
          <w:sz w:val="32"/>
          <w:szCs w:val="32"/>
          <w:lang w:val="en-US" w:eastAsia="zh-CN"/>
        </w:rPr>
        <w:t>0.00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 xml:space="preserve">0 </w:t>
      </w:r>
      <w:r>
        <w:rPr>
          <w:rFonts w:hint="eastAsia" w:ascii="仿宋_GB2312" w:hAnsi="仿宋" w:eastAsia="仿宋_GB2312"/>
          <w:sz w:val="32"/>
          <w:szCs w:val="32"/>
        </w:rPr>
        <w:t>%。</w:t>
      </w:r>
    </w:p>
    <w:p w14:paraId="2217B580">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（二）支出预算</w:t>
      </w:r>
    </w:p>
    <w:p w14:paraId="356FC486">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年支出预</w:t>
      </w:r>
      <w:r>
        <w:rPr>
          <w:rFonts w:hint="eastAsia" w:ascii="仿宋_GB2312" w:hAnsi="仿宋" w:eastAsia="仿宋_GB2312"/>
          <w:sz w:val="32"/>
          <w:szCs w:val="32"/>
          <w:lang w:eastAsia="zh-CN"/>
        </w:rPr>
        <w:t>算</w:t>
      </w:r>
      <w:r>
        <w:rPr>
          <w:rFonts w:hint="eastAsia" w:ascii="仿宋_GB2312" w:hAnsi="仿宋" w:eastAsia="仿宋_GB2312"/>
          <w:sz w:val="32"/>
          <w:szCs w:val="32"/>
          <w:lang w:val="en-US" w:eastAsia="zh-CN"/>
        </w:rPr>
        <w:t>1001.00</w:t>
      </w:r>
      <w:r>
        <w:rPr>
          <w:rFonts w:hint="eastAsia" w:ascii="仿宋_GB2312" w:hAnsi="仿宋" w:eastAsia="仿宋_GB2312"/>
          <w:sz w:val="32"/>
          <w:szCs w:val="32"/>
        </w:rPr>
        <w:t>万元（详见部门/单位预算公开表3）。</w:t>
      </w:r>
      <w:r>
        <w:rPr>
          <w:rStyle w:val="21"/>
          <w:rFonts w:hint="default" w:hAnsi="仿宋"/>
        </w:rPr>
        <w:t>其中：基本支出</w:t>
      </w:r>
      <w:r>
        <w:rPr>
          <w:rStyle w:val="22"/>
          <w:rFonts w:hint="eastAsia" w:ascii="仿宋_GB2312" w:hAnsi="仿宋" w:eastAsia="仿宋_GB2312"/>
          <w:lang w:val="en-US" w:eastAsia="zh-CN"/>
        </w:rPr>
        <w:t>693.00</w:t>
      </w:r>
      <w:r>
        <w:rPr>
          <w:rStyle w:val="21"/>
          <w:rFonts w:hint="default" w:hAnsi="仿宋"/>
        </w:rPr>
        <w:t>万元，占</w:t>
      </w:r>
      <w:r>
        <w:rPr>
          <w:rStyle w:val="21"/>
          <w:rFonts w:hint="eastAsia" w:hAnsi="仿宋" w:eastAsia="仿宋_GB2312"/>
          <w:lang w:val="en-US" w:eastAsia="zh-CN"/>
        </w:rPr>
        <w:t>69.23</w:t>
      </w:r>
      <w:r>
        <w:rPr>
          <w:rStyle w:val="22"/>
          <w:rFonts w:hint="eastAsia" w:ascii="仿宋_GB2312" w:hAnsi="仿宋" w:eastAsia="仿宋_GB2312"/>
        </w:rPr>
        <w:t>%</w:t>
      </w:r>
      <w:r>
        <w:rPr>
          <w:rStyle w:val="21"/>
          <w:rFonts w:hint="default" w:hAnsi="仿宋"/>
        </w:rPr>
        <w:t>；项目支出</w:t>
      </w:r>
      <w:r>
        <w:rPr>
          <w:rStyle w:val="21"/>
          <w:rFonts w:hint="eastAsia" w:hAnsi="仿宋" w:eastAsia="仿宋_GB2312"/>
          <w:lang w:val="en-US" w:eastAsia="zh-CN"/>
        </w:rPr>
        <w:t>308.00</w:t>
      </w:r>
      <w:r>
        <w:rPr>
          <w:rStyle w:val="21"/>
          <w:rFonts w:hint="default" w:hAnsi="仿宋"/>
        </w:rPr>
        <w:t>万元，占</w:t>
      </w:r>
      <w:r>
        <w:rPr>
          <w:rStyle w:val="22"/>
          <w:rFonts w:hint="eastAsia" w:ascii="仿宋_GB2312" w:hAnsi="仿宋" w:eastAsia="仿宋_GB2312"/>
          <w:lang w:val="en-US" w:eastAsia="zh-CN"/>
        </w:rPr>
        <w:t>30.77</w:t>
      </w:r>
      <w:r>
        <w:rPr>
          <w:rStyle w:val="22"/>
          <w:rFonts w:hint="eastAsia" w:ascii="仿宋_GB2312" w:hAnsi="仿宋" w:eastAsia="仿宋_GB2312"/>
        </w:rPr>
        <w:t>%</w:t>
      </w:r>
      <w:r>
        <w:rPr>
          <w:rStyle w:val="21"/>
          <w:rFonts w:hint="default" w:hAnsi="仿宋"/>
        </w:rPr>
        <w:t>； 上年结转</w:t>
      </w:r>
      <w:r>
        <w:rPr>
          <w:rStyle w:val="22"/>
          <w:rFonts w:hint="eastAsia" w:ascii="仿宋_GB2312" w:hAnsi="仿宋" w:eastAsia="仿宋_GB2312"/>
          <w:lang w:val="en-US" w:eastAsia="zh-CN"/>
        </w:rPr>
        <w:t>0.00</w:t>
      </w:r>
      <w:r>
        <w:rPr>
          <w:rStyle w:val="21"/>
          <w:rFonts w:hint="default" w:hAnsi="仿宋"/>
        </w:rPr>
        <w:t>万元，占</w:t>
      </w:r>
      <w:r>
        <w:rPr>
          <w:rStyle w:val="22"/>
          <w:rFonts w:hint="eastAsia" w:ascii="仿宋_GB2312" w:hAnsi="仿宋" w:eastAsia="仿宋_GB2312"/>
          <w:lang w:val="en-US" w:eastAsia="zh-CN"/>
        </w:rPr>
        <w:t>0</w:t>
      </w:r>
      <w:r>
        <w:rPr>
          <w:rStyle w:val="22"/>
          <w:rFonts w:hint="eastAsia" w:ascii="仿宋_GB2312" w:hAnsi="仿宋" w:eastAsia="仿宋_GB2312"/>
        </w:rPr>
        <w:t>%</w:t>
      </w:r>
      <w:r>
        <w:rPr>
          <w:rStyle w:val="21"/>
          <w:rFonts w:hint="default" w:hAnsi="仿宋"/>
        </w:rPr>
        <w:t>。</w:t>
      </w:r>
    </w:p>
    <w:p w14:paraId="1B210286">
      <w:pPr>
        <w:numPr>
          <w:ilvl w:val="0"/>
          <w:numId w:val="1"/>
        </w:numPr>
        <w:adjustRightInd w:val="0"/>
        <w:snapToGrid w:val="0"/>
        <w:spacing w:line="640" w:lineRule="exact"/>
        <w:ind w:firstLine="640" w:firstLineChars="200"/>
        <w:contextualSpacing/>
        <w:rPr>
          <w:rFonts w:hint="eastAsia" w:ascii="黑体" w:hAnsi="黑体" w:eastAsia="黑体" w:cs="宋体"/>
          <w:kern w:val="0"/>
          <w:sz w:val="32"/>
          <w:szCs w:val="32"/>
        </w:rPr>
      </w:pPr>
      <w:r>
        <w:rPr>
          <w:rFonts w:hint="eastAsia" w:ascii="黑体" w:hAnsi="黑体" w:eastAsia="黑体" w:cs="宋体"/>
          <w:kern w:val="0"/>
          <w:sz w:val="32"/>
          <w:szCs w:val="32"/>
        </w:rPr>
        <w:t>一般公共预算情况</w:t>
      </w:r>
    </w:p>
    <w:p w14:paraId="0F3C656B">
      <w:pPr>
        <w:numPr>
          <w:ilvl w:val="0"/>
          <w:numId w:val="0"/>
        </w:numPr>
        <w:adjustRightInd w:val="0"/>
        <w:snapToGrid w:val="0"/>
        <w:spacing w:line="640" w:lineRule="exact"/>
        <w:ind w:firstLine="640" w:firstLineChars="200"/>
        <w:contextualSpacing/>
        <w:rPr>
          <w:rFonts w:ascii="仿宋_GB2312" w:hAnsi="仿宋" w:eastAsia="仿宋_GB2312"/>
          <w:sz w:val="32"/>
          <w:szCs w:val="32"/>
        </w:rPr>
      </w:pPr>
      <w:r>
        <w:rPr>
          <w:rStyle w:val="22"/>
          <w:rFonts w:hint="eastAsia" w:ascii="仿宋_GB2312" w:hAnsi="仿宋" w:eastAsia="仿宋_GB2312"/>
          <w:lang w:eastAsia="zh-CN"/>
        </w:rPr>
        <w:t>2025</w:t>
      </w:r>
      <w:r>
        <w:rPr>
          <w:rStyle w:val="22"/>
          <w:rFonts w:hint="eastAsia" w:ascii="仿宋_GB2312" w:hAnsi="仿宋" w:eastAsia="仿宋_GB2312"/>
        </w:rPr>
        <w:t xml:space="preserve"> </w:t>
      </w:r>
      <w:r>
        <w:rPr>
          <w:rStyle w:val="21"/>
          <w:rFonts w:hint="default" w:hAnsi="仿宋"/>
        </w:rPr>
        <w:t>年一般公共预算当年支出</w:t>
      </w:r>
      <w:r>
        <w:rPr>
          <w:rStyle w:val="22"/>
          <w:rFonts w:hint="eastAsia" w:ascii="仿宋_GB2312" w:hAnsi="仿宋" w:eastAsia="仿宋_GB2312"/>
          <w:lang w:val="en-US" w:eastAsia="zh-CN"/>
        </w:rPr>
        <w:t>1001.00</w:t>
      </w:r>
      <w:r>
        <w:rPr>
          <w:rStyle w:val="21"/>
          <w:rFonts w:hint="default" w:hAnsi="仿宋"/>
        </w:rPr>
        <w:t>万元，包括：一般公共服务支出</w:t>
      </w:r>
      <w:r>
        <w:rPr>
          <w:rStyle w:val="22"/>
          <w:rFonts w:hint="eastAsia" w:ascii="仿宋_GB2312" w:hAnsi="仿宋" w:eastAsia="仿宋_GB2312"/>
          <w:lang w:val="en-US" w:eastAsia="zh-CN"/>
        </w:rPr>
        <w:t>627.62</w:t>
      </w:r>
      <w:r>
        <w:rPr>
          <w:rStyle w:val="21"/>
          <w:rFonts w:hint="default" w:hAnsi="仿宋"/>
        </w:rPr>
        <w:t>万元、公共安全支出</w:t>
      </w:r>
      <w:r>
        <w:rPr>
          <w:rStyle w:val="22"/>
          <w:rFonts w:hint="eastAsia" w:ascii="仿宋_GB2312" w:hAnsi="仿宋" w:eastAsia="仿宋_GB2312"/>
          <w:lang w:val="en-US" w:eastAsia="zh-CN"/>
        </w:rPr>
        <w:t>0.00</w:t>
      </w:r>
      <w:r>
        <w:rPr>
          <w:rStyle w:val="21"/>
          <w:rFonts w:hint="default" w:hAnsi="仿宋"/>
        </w:rPr>
        <w:t>万元、教育支出</w:t>
      </w:r>
      <w:r>
        <w:rPr>
          <w:rStyle w:val="22"/>
          <w:rFonts w:hint="eastAsia" w:ascii="仿宋_GB2312" w:hAnsi="仿宋" w:eastAsia="仿宋_GB2312"/>
          <w:lang w:val="en-US" w:eastAsia="zh-CN"/>
        </w:rPr>
        <w:t>0.00</w:t>
      </w:r>
      <w:r>
        <w:rPr>
          <w:rStyle w:val="21"/>
          <w:rFonts w:hint="default" w:hAnsi="仿宋"/>
        </w:rPr>
        <w:t>万元、科学技术支出</w:t>
      </w:r>
      <w:r>
        <w:rPr>
          <w:rStyle w:val="22"/>
          <w:rFonts w:hint="eastAsia" w:ascii="仿宋_GB2312" w:hAnsi="仿宋" w:eastAsia="仿宋_GB2312"/>
          <w:lang w:val="en-US" w:eastAsia="zh-CN"/>
        </w:rPr>
        <w:t>0.00</w:t>
      </w:r>
      <w:r>
        <w:rPr>
          <w:rStyle w:val="21"/>
          <w:rFonts w:hint="default" w:hAnsi="仿宋"/>
        </w:rPr>
        <w:t>万元、社会保障和就业支出</w:t>
      </w:r>
      <w:r>
        <w:rPr>
          <w:rStyle w:val="22"/>
          <w:rFonts w:hint="eastAsia" w:ascii="仿宋_GB2312" w:hAnsi="仿宋" w:eastAsia="仿宋_GB2312"/>
          <w:lang w:val="en-US" w:eastAsia="zh-CN"/>
        </w:rPr>
        <w:t>105.34</w:t>
      </w:r>
      <w:r>
        <w:rPr>
          <w:rStyle w:val="21"/>
          <w:rFonts w:hint="default" w:hAnsi="仿宋"/>
        </w:rPr>
        <w:t>万元</w:t>
      </w:r>
      <w:r>
        <w:rPr>
          <w:rStyle w:val="21"/>
          <w:rFonts w:hint="eastAsia" w:hAnsi="仿宋" w:eastAsia="仿宋_GB2312"/>
          <w:lang w:eastAsia="zh-CN"/>
        </w:rPr>
        <w:t>、</w:t>
      </w:r>
      <w:r>
        <w:rPr>
          <w:rStyle w:val="21"/>
          <w:rFonts w:hint="default" w:hAnsi="仿宋"/>
        </w:rPr>
        <w:t>卫生健康支出</w:t>
      </w:r>
      <w:r>
        <w:rPr>
          <w:rStyle w:val="21"/>
          <w:rFonts w:hint="eastAsia" w:hAnsi="仿宋" w:eastAsia="仿宋_GB2312"/>
          <w:lang w:val="en-US" w:eastAsia="zh-CN"/>
        </w:rPr>
        <w:t>32.61万元、住房保障支出45.43万元</w:t>
      </w:r>
      <w:r>
        <w:rPr>
          <w:rStyle w:val="21"/>
          <w:rFonts w:hint="default" w:hAnsi="仿宋"/>
        </w:rPr>
        <w:t>、粮油物资储备支出</w:t>
      </w:r>
      <w:r>
        <w:rPr>
          <w:rStyle w:val="21"/>
          <w:rFonts w:hint="eastAsia" w:hAnsi="仿宋" w:eastAsia="仿宋_GB2312"/>
          <w:lang w:val="en-US" w:eastAsia="zh-CN"/>
        </w:rPr>
        <w:t>190万元、</w:t>
      </w:r>
      <w:r>
        <w:rPr>
          <w:rStyle w:val="21"/>
          <w:rFonts w:hint="default" w:hAnsi="仿宋"/>
        </w:rPr>
        <w:t>其他支出</w:t>
      </w:r>
      <w:r>
        <w:rPr>
          <w:rStyle w:val="22"/>
          <w:rFonts w:hint="eastAsia" w:ascii="仿宋_GB2312" w:hAnsi="仿宋" w:eastAsia="仿宋_GB2312"/>
          <w:lang w:val="en-US" w:eastAsia="zh-CN"/>
        </w:rPr>
        <w:t>0.00</w:t>
      </w:r>
      <w:r>
        <w:rPr>
          <w:rStyle w:val="21"/>
          <w:rFonts w:hint="default" w:hAnsi="仿宋"/>
        </w:rPr>
        <w:t>万元</w:t>
      </w:r>
      <w:r>
        <w:rPr>
          <w:rStyle w:val="21"/>
          <w:rFonts w:hint="eastAsia" w:hAnsi="仿宋" w:eastAsia="仿宋_GB2312"/>
          <w:lang w:eastAsia="zh-CN"/>
        </w:rPr>
        <w:t>。</w:t>
      </w:r>
      <w:r>
        <w:rPr>
          <w:rFonts w:hint="eastAsia" w:ascii="仿宋_GB2312" w:hAnsi="仿宋" w:eastAsia="仿宋_GB2312"/>
          <w:sz w:val="32"/>
          <w:szCs w:val="32"/>
        </w:rPr>
        <w:t>具体安排情况如下</w:t>
      </w:r>
      <w:r>
        <w:rPr>
          <w:rFonts w:hint="eastAsia" w:ascii="仿宋_GB2312" w:hAnsi="微软雅黑" w:eastAsia="仿宋_GB2312"/>
          <w:sz w:val="32"/>
          <w:szCs w:val="32"/>
        </w:rPr>
        <w:t>（详见部门（单位）预算公开表4,5,6,7）</w:t>
      </w:r>
      <w:r>
        <w:rPr>
          <w:rFonts w:hint="eastAsia" w:ascii="仿宋_GB2312" w:hAnsi="仿宋" w:eastAsia="仿宋_GB2312"/>
          <w:sz w:val="32"/>
          <w:szCs w:val="32"/>
        </w:rPr>
        <w:t>：</w:t>
      </w:r>
    </w:p>
    <w:p w14:paraId="59725234">
      <w:pPr>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（一）基本支出</w:t>
      </w:r>
    </w:p>
    <w:p w14:paraId="1AE41538">
      <w:pPr>
        <w:widowControl/>
        <w:spacing w:line="640" w:lineRule="exact"/>
        <w:ind w:firstLine="640" w:firstLineChars="200"/>
        <w:contextualSpacing/>
        <w:jc w:val="left"/>
        <w:rPr>
          <w:rFonts w:hint="default" w:ascii="仿宋_GB2312" w:hAnsi="仿宋" w:eastAsia="仿宋_GB2312"/>
          <w:sz w:val="32"/>
          <w:szCs w:val="32"/>
          <w:lang w:val="en-US"/>
        </w:rPr>
      </w:pPr>
      <w:r>
        <w:rPr>
          <w:rFonts w:hint="eastAsia" w:ascii="仿宋_GB2312" w:hAnsi="仿宋" w:eastAsia="仿宋_GB2312"/>
          <w:sz w:val="32"/>
          <w:szCs w:val="32"/>
          <w:lang w:eastAsia="zh-CN"/>
        </w:rPr>
        <w:t>2025</w:t>
      </w:r>
      <w:r>
        <w:rPr>
          <w:rFonts w:hint="eastAsia" w:ascii="仿宋_GB2312" w:hAnsi="仿宋" w:eastAsia="仿宋_GB2312"/>
          <w:sz w:val="32"/>
          <w:szCs w:val="32"/>
        </w:rPr>
        <w:t>年基本支出</w:t>
      </w:r>
      <w:r>
        <w:rPr>
          <w:rFonts w:hint="eastAsia" w:ascii="仿宋_GB2312" w:hAnsi="仿宋" w:eastAsia="仿宋_GB2312"/>
          <w:sz w:val="32"/>
          <w:szCs w:val="32"/>
          <w:lang w:val="en-US" w:eastAsia="zh-CN"/>
        </w:rPr>
        <w:t>693.00</w:t>
      </w:r>
      <w:r>
        <w:rPr>
          <w:rFonts w:hint="eastAsia" w:ascii="仿宋_GB2312" w:hAnsi="仿宋" w:eastAsia="仿宋_GB2312"/>
          <w:sz w:val="32"/>
          <w:szCs w:val="32"/>
        </w:rPr>
        <w:t>万元，比</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7</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0.98</w:t>
      </w:r>
      <w:r>
        <w:rPr>
          <w:rFonts w:hint="eastAsia" w:ascii="仿宋_GB2312" w:hAnsi="仿宋" w:eastAsia="仿宋_GB2312"/>
          <w:sz w:val="32"/>
          <w:szCs w:val="32"/>
        </w:rPr>
        <w:t>%，增长的主要原因是</w:t>
      </w:r>
      <w:r>
        <w:rPr>
          <w:rFonts w:hint="eastAsia" w:ascii="仿宋_GB2312" w:hAnsi="仿宋" w:eastAsia="仿宋_GB2312"/>
          <w:sz w:val="32"/>
          <w:szCs w:val="32"/>
          <w:lang w:val="en-US" w:eastAsia="zh-CN"/>
        </w:rPr>
        <w:t>职工工资增加。</w:t>
      </w:r>
    </w:p>
    <w:p w14:paraId="70883497">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其中：人员经费支出</w:t>
      </w:r>
      <w:r>
        <w:rPr>
          <w:rFonts w:hint="eastAsia" w:ascii="仿宋_GB2312" w:hAnsi="仿宋" w:eastAsia="仿宋_GB2312"/>
          <w:sz w:val="32"/>
          <w:szCs w:val="32"/>
          <w:lang w:val="en-US" w:eastAsia="zh-CN"/>
        </w:rPr>
        <w:t>623.81</w:t>
      </w:r>
      <w:r>
        <w:rPr>
          <w:rFonts w:hint="eastAsia" w:ascii="仿宋_GB2312" w:hAnsi="仿宋" w:eastAsia="仿宋_GB2312"/>
          <w:sz w:val="32"/>
          <w:szCs w:val="32"/>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退职（役）费、抚恤金、生活补助、救济费、医疗费补助、助学金、奖励金、个人农业生产补贴、代缴社会保险费 、其他对个人和家庭的补助等。</w:t>
      </w:r>
    </w:p>
    <w:p w14:paraId="5167C9CF">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公用经费支出</w:t>
      </w:r>
      <w:r>
        <w:rPr>
          <w:rFonts w:hint="eastAsia" w:ascii="仿宋_GB2312" w:hAnsi="仿宋" w:eastAsia="仿宋_GB2312"/>
          <w:sz w:val="32"/>
          <w:szCs w:val="32"/>
          <w:lang w:val="en-US" w:eastAsia="zh-CN"/>
        </w:rPr>
        <w:t>69.19</w:t>
      </w:r>
      <w:r>
        <w:rPr>
          <w:rFonts w:hint="eastAsia" w:ascii="仿宋_GB2312" w:hAnsi="仿宋" w:eastAsia="仿宋_GB2312"/>
          <w:sz w:val="32"/>
          <w:szCs w:val="32"/>
        </w:rPr>
        <w:t>万元，主要包括：办公费、印刷费、咨询费、手续费、水费、电费、邮电费、取暖费、物业管理费、差旅费、因公出国（境）费、维修（护）费、租赁费、会议费、培训费、公务接待费、专用材料费、被装购置费、专用燃料费、劳务费、委托业务费、工会经费、福利费、公务用车运行维护费、其他交通费用、税金及附加费用、其他商品和服务支出、办公设备购置、专用设备购置等。</w:t>
      </w:r>
    </w:p>
    <w:p w14:paraId="5BA8818A">
      <w:pPr>
        <w:numPr>
          <w:ilvl w:val="0"/>
          <w:numId w:val="2"/>
        </w:numPr>
        <w:adjustRightInd w:val="0"/>
        <w:snapToGrid w:val="0"/>
        <w:spacing w:line="640" w:lineRule="exact"/>
        <w:ind w:firstLine="643" w:firstLineChars="200"/>
        <w:contextualSpacing/>
        <w:rPr>
          <w:rFonts w:ascii="仿宋_GB2312" w:hAnsi="仿宋" w:eastAsia="仿宋_GB2312"/>
          <w:sz w:val="32"/>
          <w:szCs w:val="32"/>
        </w:rPr>
      </w:pPr>
      <w:r>
        <w:rPr>
          <w:rFonts w:hint="eastAsia" w:ascii="楷体_GB2312" w:hAnsi="楷体" w:eastAsia="楷体_GB2312" w:cs="宋体"/>
          <w:b/>
          <w:bCs/>
          <w:kern w:val="0"/>
          <w:sz w:val="32"/>
          <w:szCs w:val="32"/>
        </w:rPr>
        <w:t>项目支出</w:t>
      </w:r>
    </w:p>
    <w:p w14:paraId="35973761">
      <w:pPr>
        <w:numPr>
          <w:ilvl w:val="0"/>
          <w:numId w:val="0"/>
        </w:numPr>
        <w:adjustRightInd w:val="0"/>
        <w:snapToGrid w:val="0"/>
        <w:spacing w:line="640" w:lineRule="exact"/>
        <w:ind w:firstLine="640" w:firstLineChars="200"/>
        <w:contextualSpacing/>
        <w:rPr>
          <w:rFonts w:hint="default" w:ascii="仿宋_GB2312" w:hAnsi="仿宋" w:eastAsia="仿宋_GB2312"/>
          <w:sz w:val="32"/>
          <w:szCs w:val="32"/>
          <w:lang w:val="en-US" w:eastAsia="zh-CN"/>
        </w:rPr>
      </w:pPr>
      <w:r>
        <w:rPr>
          <w:rFonts w:hint="eastAsia" w:ascii="仿宋_GB2312" w:hAnsi="仿宋" w:eastAsia="仿宋_GB2312"/>
          <w:sz w:val="32"/>
          <w:szCs w:val="32"/>
          <w:lang w:eastAsia="zh-CN"/>
        </w:rPr>
        <w:t>2025</w:t>
      </w:r>
      <w:r>
        <w:rPr>
          <w:rFonts w:hint="eastAsia" w:ascii="仿宋_GB2312" w:hAnsi="仿宋" w:eastAsia="仿宋_GB2312"/>
          <w:sz w:val="32"/>
          <w:szCs w:val="32"/>
        </w:rPr>
        <w:t>年一般公共预算财政拨款项目支出预算</w:t>
      </w:r>
      <w:r>
        <w:rPr>
          <w:rFonts w:hint="eastAsia" w:ascii="仿宋_GB2312" w:hAnsi="仿宋" w:eastAsia="仿宋_GB2312"/>
          <w:sz w:val="32"/>
          <w:szCs w:val="32"/>
          <w:lang w:val="en-US" w:eastAsia="zh-CN"/>
        </w:rPr>
        <w:t>308.00</w:t>
      </w:r>
      <w:r>
        <w:rPr>
          <w:rFonts w:hint="eastAsia" w:ascii="仿宋_GB2312" w:hAnsi="仿宋" w:eastAsia="仿宋_GB2312"/>
          <w:sz w:val="32"/>
          <w:szCs w:val="32"/>
        </w:rPr>
        <w:t>万元，比</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55.00</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22.63</w:t>
      </w:r>
      <w:r>
        <w:rPr>
          <w:rFonts w:hint="eastAsia" w:ascii="仿宋_GB2312" w:hAnsi="仿宋" w:eastAsia="仿宋_GB2312"/>
          <w:sz w:val="32"/>
          <w:szCs w:val="32"/>
        </w:rPr>
        <w:t>%，增长的主要原因是</w:t>
      </w:r>
      <w:r>
        <w:rPr>
          <w:rFonts w:hint="eastAsia" w:ascii="仿宋_GB2312" w:hAnsi="仿宋" w:eastAsia="仿宋_GB2312"/>
          <w:sz w:val="32"/>
          <w:szCs w:val="32"/>
          <w:lang w:eastAsia="zh-CN"/>
        </w:rPr>
        <w:t>新增设</w:t>
      </w:r>
      <w:r>
        <w:rPr>
          <w:rFonts w:hint="eastAsia" w:ascii="仿宋_GB2312" w:hAnsi="仿宋" w:eastAsia="仿宋_GB2312"/>
          <w:sz w:val="32"/>
          <w:szCs w:val="32"/>
          <w:lang w:val="en-US" w:eastAsia="zh-CN"/>
        </w:rPr>
        <w:t>1个项目。</w:t>
      </w:r>
    </w:p>
    <w:p w14:paraId="2DD7CC27">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其他项目</w:t>
      </w:r>
      <w:r>
        <w:rPr>
          <w:rFonts w:hint="eastAsia" w:ascii="仿宋_GB2312" w:hAnsi="仿宋" w:eastAsia="仿宋_GB2312"/>
          <w:sz w:val="32"/>
          <w:szCs w:val="32"/>
          <w:lang w:val="en-US" w:eastAsia="zh-CN"/>
        </w:rPr>
        <w:t>4</w:t>
      </w:r>
      <w:r>
        <w:rPr>
          <w:rFonts w:hint="eastAsia" w:ascii="仿宋_GB2312" w:hAnsi="仿宋" w:eastAsia="仿宋_GB2312"/>
          <w:sz w:val="32"/>
          <w:szCs w:val="32"/>
        </w:rPr>
        <w:t>个，主要是项目1、粮油风险基金</w:t>
      </w:r>
      <w:r>
        <w:rPr>
          <w:rFonts w:hint="eastAsia" w:ascii="仿宋_GB2312" w:hAnsi="仿宋" w:eastAsia="仿宋_GB2312"/>
          <w:sz w:val="32"/>
          <w:szCs w:val="32"/>
          <w:lang w:eastAsia="zh-CN"/>
        </w:rPr>
        <w:t>；</w:t>
      </w:r>
      <w:r>
        <w:rPr>
          <w:rFonts w:hint="eastAsia" w:ascii="仿宋_GB2312" w:hAnsi="仿宋" w:eastAsia="仿宋_GB2312"/>
          <w:sz w:val="32"/>
          <w:szCs w:val="32"/>
        </w:rPr>
        <w:t>项目2、重要民生商品价格调控资金</w:t>
      </w:r>
      <w:r>
        <w:rPr>
          <w:rFonts w:hint="eastAsia" w:ascii="仿宋_GB2312" w:hAnsi="仿宋" w:eastAsia="仿宋_GB2312"/>
          <w:sz w:val="32"/>
          <w:szCs w:val="32"/>
          <w:lang w:eastAsia="zh-CN"/>
        </w:rPr>
        <w:t>；</w:t>
      </w:r>
      <w:r>
        <w:rPr>
          <w:rFonts w:hint="eastAsia" w:ascii="仿宋_GB2312" w:hAnsi="仿宋" w:eastAsia="仿宋_GB2312"/>
          <w:sz w:val="32"/>
          <w:szCs w:val="32"/>
        </w:rPr>
        <w:t>项目3</w:t>
      </w:r>
      <w:r>
        <w:rPr>
          <w:rFonts w:hint="eastAsia" w:ascii="仿宋_GB2312" w:hAnsi="仿宋" w:eastAsia="仿宋_GB2312"/>
          <w:sz w:val="32"/>
          <w:szCs w:val="32"/>
          <w:lang w:eastAsia="zh-CN"/>
        </w:rPr>
        <w:t>、</w:t>
      </w:r>
      <w:r>
        <w:rPr>
          <w:rFonts w:hint="eastAsia" w:ascii="仿宋_GB2312" w:hAnsi="仿宋" w:eastAsia="仿宋_GB2312"/>
          <w:sz w:val="32"/>
          <w:szCs w:val="32"/>
        </w:rPr>
        <w:t>华池县“十五五”国民经济和社会发展规划编制（含4个专项规划、6个课题研究）</w:t>
      </w:r>
      <w:r>
        <w:rPr>
          <w:rFonts w:hint="eastAsia" w:ascii="仿宋_GB2312" w:hAnsi="仿宋" w:eastAsia="仿宋_GB2312"/>
          <w:sz w:val="32"/>
          <w:szCs w:val="32"/>
          <w:lang w:eastAsia="zh-CN"/>
        </w:rPr>
        <w:t>；项目</w:t>
      </w:r>
      <w:r>
        <w:rPr>
          <w:rFonts w:hint="eastAsia" w:ascii="仿宋_GB2312" w:hAnsi="仿宋" w:eastAsia="仿宋_GB2312"/>
          <w:sz w:val="32"/>
          <w:szCs w:val="32"/>
          <w:lang w:val="en-US" w:eastAsia="zh-CN"/>
        </w:rPr>
        <w:t>4、2025年华池县县级应急抢险救灾物资储备补贴</w:t>
      </w:r>
      <w:r>
        <w:rPr>
          <w:rFonts w:hint="eastAsia" w:ascii="仿宋_GB2312" w:hAnsi="仿宋" w:eastAsia="仿宋_GB2312"/>
          <w:sz w:val="32"/>
          <w:szCs w:val="32"/>
        </w:rPr>
        <w:t>。</w:t>
      </w:r>
    </w:p>
    <w:p w14:paraId="0A65071F">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五、部门（单位）一般公共预算财政拨款“三公”经费、培训费、会议费等情况</w:t>
      </w:r>
    </w:p>
    <w:p w14:paraId="1A1EA64C">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（一）“三公”经费情况说明</w:t>
      </w:r>
    </w:p>
    <w:p w14:paraId="6B52960A">
      <w:pPr>
        <w:adjustRightInd w:val="0"/>
        <w:snapToGrid w:val="0"/>
        <w:spacing w:line="640" w:lineRule="exact"/>
        <w:ind w:firstLine="640" w:firstLineChars="200"/>
        <w:contextualSpacing/>
        <w:rPr>
          <w:rFonts w:ascii="仿宋_GB2312" w:hAnsi="仿宋" w:eastAsia="仿宋_GB2312" w:cs="宋体"/>
          <w:b/>
          <w:kern w:val="0"/>
          <w:sz w:val="32"/>
          <w:szCs w:val="32"/>
        </w:rPr>
      </w:pPr>
      <w:r>
        <w:rPr>
          <w:rFonts w:hint="eastAsia" w:ascii="仿宋_GB2312" w:hAnsi="仿宋" w:eastAsia="仿宋_GB2312"/>
          <w:sz w:val="32"/>
          <w:szCs w:val="32"/>
        </w:rPr>
        <w:t>“三公”经费预算</w:t>
      </w:r>
      <w:r>
        <w:rPr>
          <w:rFonts w:hint="eastAsia" w:ascii="仿宋_GB2312" w:hAnsi="仿宋" w:eastAsia="仿宋_GB2312"/>
          <w:sz w:val="32"/>
          <w:szCs w:val="32"/>
          <w:lang w:val="en-US" w:eastAsia="zh-CN"/>
        </w:rPr>
        <w:t>0.67</w:t>
      </w:r>
      <w:r>
        <w:rPr>
          <w:rFonts w:hint="eastAsia" w:ascii="仿宋_GB2312" w:hAnsi="仿宋" w:eastAsia="仿宋_GB2312"/>
          <w:sz w:val="32"/>
          <w:szCs w:val="32"/>
        </w:rPr>
        <w:t>万元，较</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0.08</w:t>
      </w:r>
      <w:r>
        <w:rPr>
          <w:rFonts w:hint="eastAsia" w:ascii="仿宋_GB2312" w:hAnsi="仿宋" w:eastAsia="仿宋_GB2312"/>
          <w:sz w:val="32"/>
          <w:szCs w:val="32"/>
        </w:rPr>
        <w:t>万元。</w:t>
      </w:r>
    </w:p>
    <w:p w14:paraId="2C1E118B">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1.因公出国（境）费用</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万元，较</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年预算增加（减少）</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万元，增长（下降）</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p>
    <w:p w14:paraId="0F5E9B49">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2.公务接待费</w:t>
      </w:r>
      <w:r>
        <w:rPr>
          <w:rFonts w:hint="eastAsia" w:ascii="仿宋_GB2312" w:hAnsi="仿宋" w:eastAsia="仿宋_GB2312"/>
          <w:sz w:val="32"/>
          <w:szCs w:val="32"/>
          <w:lang w:val="en-US" w:eastAsia="zh-CN"/>
        </w:rPr>
        <w:t>0.67</w:t>
      </w:r>
      <w:r>
        <w:rPr>
          <w:rFonts w:hint="eastAsia" w:ascii="仿宋_GB2312" w:hAnsi="仿宋" w:eastAsia="仿宋_GB2312"/>
          <w:sz w:val="32"/>
          <w:szCs w:val="32"/>
        </w:rPr>
        <w:t>万元，较</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0.08</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11.9</w:t>
      </w:r>
      <w:r>
        <w:rPr>
          <w:rFonts w:hint="eastAsia" w:ascii="仿宋_GB2312" w:hAnsi="仿宋" w:eastAsia="仿宋_GB2312"/>
          <w:sz w:val="32"/>
          <w:szCs w:val="32"/>
        </w:rPr>
        <w:t>%，下降的主要原因是遵循八项规定，节约公务接待费开支。</w:t>
      </w:r>
    </w:p>
    <w:p w14:paraId="6CC67525">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3.公务用车购置及运行维护费</w:t>
      </w:r>
      <w:r>
        <w:rPr>
          <w:rFonts w:hint="eastAsia" w:ascii="仿宋_GB2312" w:hAnsi="仿宋" w:eastAsia="仿宋_GB2312"/>
          <w:sz w:val="32"/>
          <w:szCs w:val="32"/>
          <w:lang w:val="en-US" w:eastAsia="zh-CN"/>
        </w:rPr>
        <w:t>0.00</w:t>
      </w:r>
      <w:r>
        <w:rPr>
          <w:rFonts w:hint="eastAsia" w:ascii="仿宋_GB2312" w:hAnsi="仿宋" w:eastAsia="仿宋_GB2312"/>
          <w:sz w:val="32"/>
          <w:szCs w:val="32"/>
        </w:rPr>
        <w:t xml:space="preserve">万元（其中：公务用车购置    </w:t>
      </w:r>
      <w:r>
        <w:rPr>
          <w:rFonts w:hint="eastAsia" w:ascii="仿宋_GB2312" w:hAnsi="仿宋" w:eastAsia="仿宋_GB2312"/>
          <w:sz w:val="32"/>
          <w:szCs w:val="32"/>
          <w:lang w:val="en-US" w:eastAsia="zh-CN"/>
        </w:rPr>
        <w:t>0.00</w:t>
      </w:r>
      <w:r>
        <w:rPr>
          <w:rFonts w:hint="eastAsia" w:ascii="仿宋_GB2312" w:hAnsi="仿宋" w:eastAsia="仿宋_GB2312"/>
          <w:sz w:val="32"/>
          <w:szCs w:val="32"/>
        </w:rPr>
        <w:t>万元，公务用车运行维护费</w:t>
      </w:r>
      <w:r>
        <w:rPr>
          <w:rFonts w:hint="eastAsia" w:ascii="仿宋_GB2312" w:hAnsi="仿宋" w:eastAsia="仿宋_GB2312"/>
          <w:sz w:val="32"/>
          <w:szCs w:val="32"/>
          <w:lang w:val="en-US" w:eastAsia="zh-CN"/>
        </w:rPr>
        <w:t>0.00</w:t>
      </w:r>
      <w:r>
        <w:rPr>
          <w:rFonts w:hint="eastAsia" w:ascii="仿宋_GB2312" w:hAnsi="仿宋" w:eastAsia="仿宋_GB2312"/>
          <w:sz w:val="32"/>
          <w:szCs w:val="32"/>
        </w:rPr>
        <w:t>万元），较</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年预算增加（减少）</w:t>
      </w:r>
      <w:r>
        <w:rPr>
          <w:rFonts w:hint="eastAsia" w:ascii="仿宋_GB2312" w:hAnsi="仿宋" w:eastAsia="仿宋_GB2312"/>
          <w:sz w:val="32"/>
          <w:szCs w:val="32"/>
          <w:lang w:val="en-US" w:eastAsia="zh-CN"/>
        </w:rPr>
        <w:t>0.00</w:t>
      </w:r>
      <w:r>
        <w:rPr>
          <w:rFonts w:hint="eastAsia" w:ascii="仿宋_GB2312" w:hAnsi="仿宋" w:eastAsia="仿宋_GB2312"/>
          <w:sz w:val="32"/>
          <w:szCs w:val="32"/>
        </w:rPr>
        <w:t>万元，增长（下降）</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p>
    <w:p w14:paraId="3C18502F">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（二）培训费预算情况说明</w:t>
      </w:r>
    </w:p>
    <w:p w14:paraId="7ED815EF">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4.培训费</w:t>
      </w:r>
      <w:r>
        <w:rPr>
          <w:rFonts w:hint="eastAsia" w:ascii="仿宋_GB2312" w:hAnsi="仿宋" w:eastAsia="仿宋_GB2312"/>
          <w:sz w:val="32"/>
          <w:szCs w:val="32"/>
          <w:lang w:val="en-US" w:eastAsia="zh-CN"/>
        </w:rPr>
        <w:t>0.5</w:t>
      </w:r>
      <w:r>
        <w:rPr>
          <w:rFonts w:hint="eastAsia" w:ascii="仿宋_GB2312" w:hAnsi="仿宋" w:eastAsia="仿宋_GB2312"/>
          <w:sz w:val="32"/>
          <w:szCs w:val="32"/>
        </w:rPr>
        <w:t>万元，较</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0.65</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56.52</w:t>
      </w:r>
      <w:r>
        <w:rPr>
          <w:rFonts w:hint="eastAsia" w:ascii="仿宋_GB2312" w:hAnsi="仿宋" w:eastAsia="仿宋_GB2312"/>
          <w:sz w:val="32"/>
          <w:szCs w:val="32"/>
        </w:rPr>
        <w:t>%，下降的主要原因是</w:t>
      </w:r>
      <w:r>
        <w:rPr>
          <w:rFonts w:hint="eastAsia" w:ascii="仿宋_GB2312" w:hAnsi="仿宋" w:eastAsia="仿宋_GB2312"/>
          <w:sz w:val="32"/>
          <w:szCs w:val="32"/>
          <w:lang w:val="en-US" w:eastAsia="zh-CN"/>
        </w:rPr>
        <w:t>培训人数减少</w:t>
      </w:r>
      <w:r>
        <w:rPr>
          <w:rFonts w:hint="eastAsia" w:ascii="仿宋_GB2312" w:hAnsi="仿宋" w:eastAsia="仿宋_GB2312"/>
          <w:sz w:val="32"/>
          <w:szCs w:val="32"/>
        </w:rPr>
        <w:t>。</w:t>
      </w:r>
    </w:p>
    <w:p w14:paraId="27BFF129">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（三）会议费预算情况说明</w:t>
      </w:r>
    </w:p>
    <w:p w14:paraId="0C1AA7BE">
      <w:pPr>
        <w:widowControl/>
        <w:adjustRightInd w:val="0"/>
        <w:snapToGrid w:val="0"/>
        <w:spacing w:line="640" w:lineRule="exact"/>
        <w:ind w:firstLine="640" w:firstLineChars="200"/>
        <w:contextualSpacing/>
        <w:jc w:val="left"/>
        <w:rPr>
          <w:rFonts w:ascii="仿宋_GB2312" w:eastAsia="仿宋_GB2312"/>
          <w:sz w:val="32"/>
          <w:szCs w:val="32"/>
        </w:rPr>
      </w:pPr>
      <w:r>
        <w:rPr>
          <w:rFonts w:hint="eastAsia" w:ascii="仿宋_GB2312" w:hAnsi="仿宋" w:eastAsia="仿宋_GB2312"/>
          <w:sz w:val="32"/>
          <w:szCs w:val="32"/>
        </w:rPr>
        <w:t>5.会议费</w:t>
      </w:r>
      <w:r>
        <w:rPr>
          <w:rFonts w:hint="eastAsia" w:ascii="仿宋_GB2312" w:hAnsi="仿宋" w:eastAsia="仿宋_GB2312"/>
          <w:sz w:val="32"/>
          <w:szCs w:val="32"/>
          <w:lang w:val="en-US" w:eastAsia="zh-CN"/>
        </w:rPr>
        <w:t>0.00</w:t>
      </w:r>
      <w:r>
        <w:rPr>
          <w:rFonts w:hint="eastAsia" w:ascii="仿宋_GB2312" w:hAnsi="仿宋" w:eastAsia="仿宋_GB2312"/>
          <w:sz w:val="32"/>
          <w:szCs w:val="32"/>
        </w:rPr>
        <w:t>万元，较</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年预算增加（减少）</w:t>
      </w:r>
      <w:r>
        <w:rPr>
          <w:rFonts w:hint="eastAsia" w:ascii="仿宋_GB2312" w:hAnsi="仿宋" w:eastAsia="仿宋_GB2312"/>
          <w:sz w:val="32"/>
          <w:szCs w:val="32"/>
          <w:lang w:val="en-US" w:eastAsia="zh-CN"/>
        </w:rPr>
        <w:t>0.00</w:t>
      </w:r>
      <w:r>
        <w:rPr>
          <w:rFonts w:hint="eastAsia" w:ascii="仿宋_GB2312" w:hAnsi="仿宋" w:eastAsia="仿宋_GB2312"/>
          <w:sz w:val="32"/>
          <w:szCs w:val="32"/>
        </w:rPr>
        <w:t>万元，增长（下降）</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p>
    <w:p w14:paraId="7D35BB7E">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六、一般公共预算财政拨款机关运行经费情况</w:t>
      </w:r>
    </w:p>
    <w:p w14:paraId="2A2D2CF6">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 xml:space="preserve">机关运行经费 </w:t>
      </w:r>
      <w:r>
        <w:rPr>
          <w:rFonts w:hint="eastAsia" w:ascii="仿宋_GB2312" w:hAnsi="仿宋" w:eastAsia="仿宋_GB2312"/>
          <w:sz w:val="32"/>
          <w:szCs w:val="32"/>
          <w:lang w:val="en-US" w:eastAsia="zh-CN"/>
        </w:rPr>
        <w:t>41.75</w:t>
      </w:r>
      <w:r>
        <w:rPr>
          <w:rFonts w:hint="eastAsia" w:ascii="仿宋_GB2312" w:hAnsi="仿宋" w:eastAsia="仿宋_GB2312"/>
          <w:sz w:val="32"/>
          <w:szCs w:val="32"/>
        </w:rPr>
        <w:t>万元，较</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3.01</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7.2</w:t>
      </w:r>
      <w:r>
        <w:rPr>
          <w:rFonts w:hint="eastAsia" w:ascii="仿宋_GB2312" w:hAnsi="仿宋" w:eastAsia="仿宋_GB2312"/>
          <w:sz w:val="32"/>
          <w:szCs w:val="32"/>
        </w:rPr>
        <w:t>%，增长的主要原因是</w:t>
      </w:r>
      <w:r>
        <w:rPr>
          <w:rFonts w:hint="eastAsia" w:ascii="仿宋_GB2312" w:hAnsi="仿宋" w:eastAsia="仿宋_GB2312"/>
          <w:sz w:val="32"/>
          <w:szCs w:val="32"/>
          <w:lang w:val="en-US" w:eastAsia="zh-CN"/>
        </w:rPr>
        <w:t>公用经费增加</w:t>
      </w:r>
      <w:r>
        <w:rPr>
          <w:rFonts w:hint="eastAsia" w:ascii="仿宋_GB2312" w:hAnsi="仿宋" w:eastAsia="仿宋_GB2312"/>
          <w:sz w:val="32"/>
          <w:szCs w:val="32"/>
        </w:rPr>
        <w:t>。</w:t>
      </w:r>
    </w:p>
    <w:p w14:paraId="57B4FFAE">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七、政府采购安排情况</w:t>
      </w:r>
    </w:p>
    <w:p w14:paraId="73FD1C8A">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年，部门（单位）政府采购预算总额</w:t>
      </w:r>
      <w:r>
        <w:rPr>
          <w:rFonts w:hint="eastAsia" w:ascii="仿宋_GB2312" w:hAnsi="仿宋" w:eastAsia="仿宋_GB2312"/>
          <w:sz w:val="32"/>
          <w:szCs w:val="32"/>
          <w:lang w:val="en-US" w:eastAsia="zh-CN"/>
        </w:rPr>
        <w:t>10.35</w:t>
      </w:r>
      <w:r>
        <w:rPr>
          <w:rFonts w:hint="eastAsia" w:ascii="仿宋_GB2312" w:hAnsi="仿宋" w:eastAsia="仿宋_GB2312"/>
          <w:sz w:val="32"/>
          <w:szCs w:val="32"/>
        </w:rPr>
        <w:t>万元，其中：政府采购货物预算</w:t>
      </w:r>
      <w:r>
        <w:rPr>
          <w:rFonts w:hint="eastAsia" w:ascii="仿宋_GB2312" w:hAnsi="仿宋" w:eastAsia="仿宋_GB2312"/>
          <w:sz w:val="32"/>
          <w:szCs w:val="32"/>
          <w:lang w:val="en-US" w:eastAsia="zh-CN"/>
        </w:rPr>
        <w:t>5.35</w:t>
      </w:r>
      <w:r>
        <w:rPr>
          <w:rFonts w:hint="eastAsia" w:ascii="仿宋_GB2312" w:hAnsi="仿宋" w:eastAsia="仿宋_GB2312"/>
          <w:sz w:val="32"/>
          <w:szCs w:val="32"/>
        </w:rPr>
        <w:t>万元，政府采购工程预算</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万元，政府采购服务预算</w:t>
      </w:r>
      <w:r>
        <w:rPr>
          <w:rFonts w:hint="eastAsia" w:ascii="仿宋_GB2312" w:hAnsi="仿宋" w:eastAsia="仿宋_GB2312"/>
          <w:sz w:val="32"/>
          <w:szCs w:val="32"/>
          <w:lang w:val="en-US" w:eastAsia="zh-CN"/>
        </w:rPr>
        <w:t>5.00</w:t>
      </w:r>
      <w:r>
        <w:rPr>
          <w:rFonts w:hint="eastAsia" w:ascii="仿宋_GB2312" w:hAnsi="仿宋" w:eastAsia="仿宋_GB2312"/>
          <w:sz w:val="32"/>
          <w:szCs w:val="32"/>
        </w:rPr>
        <w:t>万元。</w:t>
      </w:r>
    </w:p>
    <w:p w14:paraId="51697EF6">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年，部门（单位）面向中小企业预留政府采购项目预算金额  万元，小微企业预留政府采购项目预算金额</w:t>
      </w:r>
      <w:r>
        <w:rPr>
          <w:rFonts w:hint="eastAsia" w:ascii="仿宋_GB2312" w:hAnsi="仿宋" w:eastAsia="仿宋_GB2312"/>
          <w:sz w:val="32"/>
          <w:szCs w:val="32"/>
          <w:lang w:val="en-US" w:eastAsia="zh-CN"/>
        </w:rPr>
        <w:t>10.35</w:t>
      </w:r>
      <w:r>
        <w:rPr>
          <w:rFonts w:hint="eastAsia" w:ascii="仿宋_GB2312" w:hAnsi="仿宋" w:eastAsia="仿宋_GB2312"/>
          <w:sz w:val="32"/>
          <w:szCs w:val="32"/>
        </w:rPr>
        <w:t>万元。</w:t>
      </w:r>
    </w:p>
    <w:p w14:paraId="6A193527">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八、国有资产占用情况</w:t>
      </w:r>
    </w:p>
    <w:p w14:paraId="7051FECE">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上年末固定资产金额为</w:t>
      </w:r>
      <w:r>
        <w:rPr>
          <w:rFonts w:hint="eastAsia" w:ascii="仿宋_GB2312" w:hAnsi="仿宋" w:eastAsia="仿宋_GB2312"/>
          <w:sz w:val="32"/>
          <w:szCs w:val="32"/>
          <w:lang w:val="en-US" w:eastAsia="zh-CN"/>
        </w:rPr>
        <w:t>742.67</w:t>
      </w:r>
      <w:r>
        <w:rPr>
          <w:rFonts w:hint="eastAsia" w:ascii="仿宋_GB2312" w:hAnsi="仿宋" w:eastAsia="仿宋_GB2312"/>
          <w:sz w:val="32"/>
          <w:szCs w:val="32"/>
        </w:rPr>
        <w:t>万元。其中：办公用房</w:t>
      </w:r>
      <w:r>
        <w:rPr>
          <w:rFonts w:hint="eastAsia" w:ascii="仿宋_GB2312" w:hAnsi="仿宋" w:eastAsia="仿宋_GB2312"/>
          <w:sz w:val="32"/>
          <w:szCs w:val="32"/>
          <w:lang w:val="en-US" w:eastAsia="zh-CN"/>
        </w:rPr>
        <w:t>2339.7</w:t>
      </w:r>
      <w:r>
        <w:rPr>
          <w:rFonts w:hint="eastAsia" w:ascii="仿宋_GB2312" w:hAnsi="仿宋" w:eastAsia="仿宋_GB2312"/>
          <w:sz w:val="32"/>
          <w:szCs w:val="32"/>
        </w:rPr>
        <w:t>平方米。预算部门（单位）共有公务用车</w:t>
      </w:r>
      <w:r>
        <w:rPr>
          <w:rFonts w:hint="eastAsia" w:ascii="仿宋_GB2312" w:hAnsi="仿宋" w:eastAsia="仿宋_GB2312"/>
          <w:sz w:val="32"/>
          <w:szCs w:val="32"/>
          <w:lang w:val="en-US" w:eastAsia="zh-CN"/>
        </w:rPr>
        <w:t>0</w:t>
      </w:r>
      <w:r>
        <w:rPr>
          <w:rFonts w:hint="eastAsia" w:ascii="仿宋_GB2312" w:hAnsi="仿宋" w:eastAsia="仿宋_GB2312"/>
          <w:sz w:val="32"/>
          <w:szCs w:val="32"/>
        </w:rPr>
        <w:t>辆，价值</w:t>
      </w:r>
      <w:r>
        <w:rPr>
          <w:rFonts w:hint="eastAsia" w:ascii="仿宋_GB2312" w:hAnsi="仿宋" w:eastAsia="仿宋_GB2312"/>
          <w:sz w:val="32"/>
          <w:szCs w:val="32"/>
          <w:lang w:val="en-US" w:eastAsia="zh-CN"/>
        </w:rPr>
        <w:t>0.00</w:t>
      </w:r>
      <w:r>
        <w:rPr>
          <w:rFonts w:hint="eastAsia" w:ascii="仿宋_GB2312" w:hAnsi="仿宋" w:eastAsia="仿宋_GB2312"/>
          <w:sz w:val="32"/>
          <w:szCs w:val="32"/>
        </w:rPr>
        <w:t>万元。单价20万元以上的设备价值</w:t>
      </w:r>
      <w:r>
        <w:rPr>
          <w:rFonts w:hint="eastAsia" w:ascii="仿宋_GB2312" w:hAnsi="仿宋" w:eastAsia="仿宋_GB2312"/>
          <w:sz w:val="32"/>
          <w:szCs w:val="32"/>
          <w:lang w:val="en-US" w:eastAsia="zh-CN"/>
        </w:rPr>
        <w:t>0.00</w:t>
      </w:r>
      <w:r>
        <w:rPr>
          <w:rFonts w:hint="eastAsia" w:ascii="仿宋_GB2312" w:hAnsi="仿宋" w:eastAsia="仿宋_GB2312"/>
          <w:sz w:val="32"/>
          <w:szCs w:val="32"/>
        </w:rPr>
        <w:t>万元。</w:t>
      </w:r>
      <w:r>
        <w:rPr>
          <w:rFonts w:hint="eastAsia" w:ascii="仿宋_GB2312" w:hAnsi="仿宋" w:eastAsia="仿宋_GB2312"/>
          <w:sz w:val="32"/>
          <w:szCs w:val="32"/>
          <w:lang w:eastAsia="zh-CN"/>
        </w:rPr>
        <w:t>2025</w:t>
      </w:r>
      <w:r>
        <w:rPr>
          <w:rFonts w:hint="eastAsia" w:ascii="仿宋_GB2312" w:hAnsi="仿宋" w:eastAsia="仿宋_GB2312"/>
          <w:sz w:val="32"/>
          <w:szCs w:val="32"/>
        </w:rPr>
        <w:t>年拟采购固定资产约</w:t>
      </w:r>
      <w:r>
        <w:rPr>
          <w:rFonts w:hint="eastAsia" w:ascii="仿宋_GB2312" w:hAnsi="仿宋" w:eastAsia="仿宋_GB2312"/>
          <w:sz w:val="32"/>
          <w:szCs w:val="32"/>
          <w:lang w:val="en-US" w:eastAsia="zh-CN"/>
        </w:rPr>
        <w:t>0.00</w:t>
      </w:r>
      <w:r>
        <w:rPr>
          <w:rFonts w:hint="eastAsia" w:ascii="仿宋_GB2312" w:hAnsi="仿宋" w:eastAsia="仿宋_GB2312"/>
          <w:sz w:val="32"/>
          <w:szCs w:val="32"/>
        </w:rPr>
        <w:t>万元。</w:t>
      </w:r>
    </w:p>
    <w:p w14:paraId="4AAB33A2">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九、其他重要事项情况说明</w:t>
      </w:r>
    </w:p>
    <w:p w14:paraId="4B4945E4">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（一）政府性基金预算支出情况</w:t>
      </w:r>
    </w:p>
    <w:p w14:paraId="2C0B5EAD">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5未安排</w:t>
      </w:r>
      <w:r>
        <w:rPr>
          <w:rFonts w:hint="eastAsia" w:ascii="仿宋_GB2312" w:hAnsi="仿宋" w:eastAsia="仿宋_GB2312"/>
          <w:sz w:val="32"/>
          <w:szCs w:val="32"/>
        </w:rPr>
        <w:t>政府性基金</w:t>
      </w:r>
      <w:r>
        <w:rPr>
          <w:rFonts w:hint="eastAsia" w:ascii="仿宋_GB2312" w:hAnsi="仿宋" w:eastAsia="仿宋_GB2312"/>
          <w:sz w:val="32"/>
          <w:szCs w:val="32"/>
          <w:lang w:eastAsia="zh-CN"/>
        </w:rPr>
        <w:t>，</w:t>
      </w:r>
      <w:r>
        <w:rPr>
          <w:rFonts w:hint="eastAsia" w:ascii="仿宋_GB2312" w:hAnsi="仿宋" w:eastAsia="仿宋_GB2312"/>
          <w:sz w:val="32"/>
          <w:szCs w:val="32"/>
        </w:rPr>
        <w:t>政府性基金预算支出情况表为空表。</w:t>
      </w:r>
    </w:p>
    <w:p w14:paraId="792B6F08">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（二）非税收入情况</w:t>
      </w:r>
    </w:p>
    <w:p w14:paraId="705F41CC">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本单位202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w:t>
      </w:r>
      <w:r>
        <w:rPr>
          <w:rFonts w:ascii="仿宋_GB2312" w:hAnsi="仿宋" w:eastAsia="仿宋_GB2312"/>
          <w:sz w:val="32"/>
          <w:szCs w:val="32"/>
        </w:rPr>
        <w:t>无非税收入</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非说收入</w:t>
      </w:r>
      <w:r>
        <w:rPr>
          <w:rFonts w:hint="eastAsia" w:ascii="仿宋_GB2312" w:hAnsi="仿宋" w:eastAsia="仿宋_GB2312"/>
          <w:sz w:val="32"/>
          <w:szCs w:val="32"/>
        </w:rPr>
        <w:t>支出情况表为空表。</w:t>
      </w:r>
    </w:p>
    <w:p w14:paraId="09CA2645">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（三）重点项目情况</w:t>
      </w:r>
    </w:p>
    <w:p w14:paraId="1CFB37AE">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选取1个</w:t>
      </w:r>
      <w:r>
        <w:rPr>
          <w:rFonts w:hint="eastAsia" w:ascii="仿宋_GB2312" w:hAnsi="仿宋" w:eastAsia="仿宋_GB2312"/>
          <w:sz w:val="32"/>
          <w:szCs w:val="32"/>
          <w:lang w:eastAsia="zh-CN"/>
        </w:rPr>
        <w:t>2025</w:t>
      </w:r>
      <w:r>
        <w:rPr>
          <w:rFonts w:hint="eastAsia" w:ascii="仿宋_GB2312" w:hAnsi="仿宋" w:eastAsia="仿宋_GB2312"/>
          <w:sz w:val="32"/>
          <w:szCs w:val="32"/>
        </w:rPr>
        <w:t>年部门/单位预算安排的经济社会发展类项目公开项目文本信息，包括项目名称、项目概况、立项依据、实施主体、实施周期、实施计划、年度预算安排、预期总体目标等内容。没有经济社会发展类项目支出的部门/单位可公开其他类项目。</w:t>
      </w:r>
    </w:p>
    <w:p w14:paraId="6B23741E">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项目名称：粮油风险基金</w:t>
      </w:r>
    </w:p>
    <w:p w14:paraId="32080736">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1、项目概况： 根据华政办发【2021】24号关于印发《华池县县级储备粮管理办法》《华池县县级储备成品粮管理办法》《华池县县级储备粮轮换管理办法》的通知规定，县级储备粮油补贴标准为：县级储备粮保管费用和贷款利息为每年每市斤0.12元、县级储备成品粮每年每市斤0.20元、县级储备油每年每市斤1.00元，按季度拨付。县级储备粮7000吨，年补贴1680000.00元、县级储备成品粮300吨，年补贴120000.00元、县级储备油50吨年补贴100000.00元。</w:t>
      </w:r>
    </w:p>
    <w:p w14:paraId="4A3CDD77">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2、立项依据：根据华政办发【2021】24号关于印发《华池县县级储备粮管理办法》《华池县县级储备成品粮管理办法》《华池县县级储备粮轮换管理办法》</w:t>
      </w:r>
    </w:p>
    <w:p w14:paraId="05BB61D9">
      <w:pPr>
        <w:widowControl/>
        <w:adjustRightInd w:val="0"/>
        <w:snapToGrid w:val="0"/>
        <w:spacing w:line="640" w:lineRule="exact"/>
        <w:ind w:firstLine="640" w:firstLineChars="200"/>
        <w:contextualSpacing/>
        <w:jc w:val="left"/>
        <w:rPr>
          <w:rFonts w:hint="default" w:ascii="仿宋_GB2312" w:hAnsi="仿宋" w:eastAsia="仿宋_GB2312"/>
          <w:sz w:val="32"/>
          <w:szCs w:val="32"/>
          <w:lang w:val="en-US" w:eastAsia="zh-CN"/>
        </w:rPr>
      </w:pPr>
      <w:r>
        <w:rPr>
          <w:rFonts w:hint="eastAsia" w:ascii="仿宋_GB2312" w:hAnsi="仿宋" w:eastAsia="仿宋_GB2312"/>
          <w:sz w:val="32"/>
          <w:szCs w:val="32"/>
        </w:rPr>
        <w:t>3、实施主体：</w:t>
      </w:r>
      <w:r>
        <w:rPr>
          <w:rFonts w:hint="eastAsia" w:ascii="仿宋_GB2312" w:hAnsi="仿宋" w:eastAsia="仿宋_GB2312"/>
          <w:sz w:val="32"/>
          <w:szCs w:val="32"/>
          <w:lang w:val="en-US" w:eastAsia="zh-CN"/>
        </w:rPr>
        <w:t>华池县欣荣粮食有限责任公司</w:t>
      </w:r>
    </w:p>
    <w:p w14:paraId="41AF4A40">
      <w:pPr>
        <w:widowControl/>
        <w:adjustRightInd w:val="0"/>
        <w:snapToGrid w:val="0"/>
        <w:spacing w:line="640" w:lineRule="exact"/>
        <w:ind w:firstLine="640" w:firstLineChars="200"/>
        <w:contextualSpacing/>
        <w:jc w:val="left"/>
        <w:rPr>
          <w:rFonts w:hint="eastAsia" w:ascii="仿宋_GB2312" w:hAnsi="仿宋" w:eastAsia="仿宋_GB2312"/>
          <w:sz w:val="32"/>
          <w:szCs w:val="32"/>
          <w:lang w:val="en-US" w:eastAsia="zh-CN"/>
        </w:rPr>
      </w:pPr>
      <w:r>
        <w:rPr>
          <w:rFonts w:hint="eastAsia" w:ascii="仿宋_GB2312" w:hAnsi="仿宋" w:eastAsia="仿宋_GB2312"/>
          <w:sz w:val="32"/>
          <w:szCs w:val="32"/>
        </w:rPr>
        <w:t>4、实施周期：</w:t>
      </w:r>
      <w:r>
        <w:rPr>
          <w:rFonts w:hint="eastAsia" w:ascii="仿宋_GB2312" w:hAnsi="仿宋" w:eastAsia="仿宋_GB2312"/>
          <w:sz w:val="32"/>
          <w:szCs w:val="32"/>
          <w:lang w:val="en-US" w:eastAsia="zh-CN"/>
        </w:rPr>
        <w:t>长期</w:t>
      </w:r>
    </w:p>
    <w:p w14:paraId="52D45E7B">
      <w:pPr>
        <w:widowControl/>
        <w:adjustRightInd w:val="0"/>
        <w:snapToGrid w:val="0"/>
        <w:spacing w:line="640" w:lineRule="exact"/>
        <w:ind w:firstLine="640" w:firstLineChars="200"/>
        <w:contextualSpacing/>
        <w:jc w:val="left"/>
        <w:rPr>
          <w:rFonts w:hint="default" w:ascii="仿宋_GB2312" w:hAnsi="仿宋" w:eastAsia="仿宋_GB2312"/>
          <w:sz w:val="32"/>
          <w:szCs w:val="32"/>
          <w:lang w:val="en-US" w:eastAsia="zh-CN"/>
        </w:rPr>
      </w:pPr>
      <w:r>
        <w:rPr>
          <w:rFonts w:hint="eastAsia" w:ascii="仿宋_GB2312" w:hAnsi="仿宋" w:eastAsia="仿宋_GB2312"/>
          <w:sz w:val="32"/>
          <w:szCs w:val="32"/>
        </w:rPr>
        <w:t>5、实施计划：</w:t>
      </w:r>
      <w:r>
        <w:rPr>
          <w:rFonts w:hint="eastAsia" w:ascii="仿宋_GB2312" w:hAnsi="仿宋" w:eastAsia="仿宋_GB2312"/>
          <w:sz w:val="32"/>
          <w:szCs w:val="32"/>
          <w:lang w:val="en-US" w:eastAsia="zh-CN"/>
        </w:rPr>
        <w:t>每年190万元</w:t>
      </w:r>
    </w:p>
    <w:p w14:paraId="23B1B4E0">
      <w:pPr>
        <w:widowControl/>
        <w:adjustRightInd w:val="0"/>
        <w:snapToGrid w:val="0"/>
        <w:spacing w:line="640" w:lineRule="exact"/>
        <w:ind w:firstLine="640" w:firstLineChars="200"/>
        <w:contextualSpacing/>
        <w:jc w:val="left"/>
        <w:rPr>
          <w:rFonts w:hint="default" w:ascii="仿宋_GB2312" w:hAnsi="仿宋" w:eastAsia="仿宋_GB2312"/>
          <w:sz w:val="32"/>
          <w:szCs w:val="32"/>
          <w:lang w:val="en-US" w:eastAsia="zh-CN"/>
        </w:rPr>
      </w:pPr>
      <w:r>
        <w:rPr>
          <w:rFonts w:hint="eastAsia" w:ascii="仿宋_GB2312" w:hAnsi="仿宋" w:eastAsia="仿宋_GB2312"/>
          <w:sz w:val="32"/>
          <w:szCs w:val="32"/>
        </w:rPr>
        <w:t>6、年度预算安排：</w:t>
      </w:r>
      <w:r>
        <w:rPr>
          <w:rFonts w:hint="eastAsia" w:ascii="仿宋_GB2312" w:hAnsi="仿宋" w:eastAsia="仿宋_GB2312"/>
          <w:sz w:val="32"/>
          <w:szCs w:val="32"/>
          <w:lang w:val="en-US" w:eastAsia="zh-CN"/>
        </w:rPr>
        <w:t>190万元</w:t>
      </w:r>
    </w:p>
    <w:p w14:paraId="176EC424">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7、预期总体目标：确保我县县级储备粮油数量真实、质量良好、储存安全，储得进、管得好、调得动、用得上。</w:t>
      </w:r>
    </w:p>
    <w:p w14:paraId="3437D95C">
      <w:pPr>
        <w:adjustRightInd w:val="0"/>
        <w:snapToGrid w:val="0"/>
        <w:spacing w:line="640" w:lineRule="exact"/>
        <w:ind w:firstLine="643" w:firstLineChars="200"/>
        <w:contextualSpacing/>
        <w:rPr>
          <w:rFonts w:hint="eastAsia" w:ascii="楷体_GB2312" w:hAnsi="楷体" w:eastAsia="楷体_GB2312" w:cs="宋体"/>
          <w:b/>
          <w:bCs/>
          <w:kern w:val="0"/>
          <w:sz w:val="32"/>
          <w:szCs w:val="32"/>
        </w:rPr>
      </w:pPr>
      <w:r>
        <w:rPr>
          <w:rFonts w:hint="eastAsia" w:ascii="楷体_GB2312" w:hAnsi="楷体" w:eastAsia="楷体_GB2312" w:cs="宋体"/>
          <w:b/>
          <w:bCs/>
          <w:kern w:val="0"/>
          <w:sz w:val="32"/>
          <w:szCs w:val="32"/>
        </w:rPr>
        <w:t>（四）部门管理转移支付情况</w:t>
      </w:r>
    </w:p>
    <w:p w14:paraId="502CF97E">
      <w:pPr>
        <w:adjustRightInd w:val="0"/>
        <w:snapToGrid w:val="0"/>
        <w:spacing w:line="640" w:lineRule="exact"/>
        <w:ind w:firstLine="640" w:firstLineChars="200"/>
        <w:contextualSpacing/>
        <w:rPr>
          <w:rFonts w:hint="eastAsia"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 xml:space="preserve"> 年</w:t>
      </w:r>
      <w:r>
        <w:rPr>
          <w:rFonts w:hint="eastAsia" w:ascii="仿宋_GB2312" w:hAnsi="仿宋" w:eastAsia="仿宋_GB2312"/>
          <w:sz w:val="32"/>
          <w:szCs w:val="32"/>
          <w:lang w:val="en-US" w:eastAsia="zh-CN"/>
        </w:rPr>
        <w:t>本</w:t>
      </w:r>
      <w:r>
        <w:rPr>
          <w:rFonts w:hint="eastAsia" w:ascii="仿宋_GB2312" w:hAnsi="仿宋" w:eastAsia="仿宋_GB2312"/>
          <w:sz w:val="32"/>
          <w:szCs w:val="32"/>
        </w:rPr>
        <w:t>单位</w:t>
      </w:r>
      <w:r>
        <w:rPr>
          <w:rFonts w:hint="eastAsia" w:ascii="仿宋_GB2312" w:hAnsi="仿宋" w:eastAsia="仿宋_GB2312"/>
          <w:sz w:val="32"/>
          <w:szCs w:val="32"/>
          <w:lang w:val="en-US" w:eastAsia="zh-CN"/>
        </w:rPr>
        <w:t>未安排</w:t>
      </w:r>
      <w:r>
        <w:rPr>
          <w:rFonts w:hint="eastAsia" w:ascii="仿宋_GB2312" w:hAnsi="仿宋" w:eastAsia="仿宋_GB2312"/>
          <w:sz w:val="32"/>
          <w:szCs w:val="32"/>
        </w:rPr>
        <w:t>管理转移支付预算，</w:t>
      </w:r>
      <w:r>
        <w:rPr>
          <w:rFonts w:hint="eastAsia" w:ascii="仿宋_GB2312" w:hAnsi="仿宋" w:eastAsia="仿宋_GB2312"/>
          <w:sz w:val="32"/>
          <w:szCs w:val="32"/>
          <w:lang w:val="en-US" w:eastAsia="zh-CN"/>
        </w:rPr>
        <w:t>本</w:t>
      </w:r>
      <w:r>
        <w:rPr>
          <w:rFonts w:hint="eastAsia" w:ascii="仿宋_GB2312" w:hAnsi="仿宋" w:eastAsia="仿宋_GB2312"/>
          <w:sz w:val="32"/>
          <w:szCs w:val="32"/>
        </w:rPr>
        <w:t>单位管理转移支付表为空表。</w:t>
      </w:r>
    </w:p>
    <w:p w14:paraId="57061121">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（五）国有资本经营预算支出情况</w:t>
      </w:r>
    </w:p>
    <w:p w14:paraId="08F282C7">
      <w:pPr>
        <w:adjustRightInd w:val="0"/>
        <w:snapToGrid w:val="0"/>
        <w:spacing w:line="640" w:lineRule="exact"/>
        <w:ind w:firstLine="640" w:firstLineChars="200"/>
        <w:contextualSpacing/>
        <w:rPr>
          <w:rFonts w:hint="eastAsia" w:ascii="仿宋_GB2312" w:hAnsi="楷体" w:eastAsia="仿宋_GB2312"/>
          <w:sz w:val="32"/>
          <w:szCs w:val="32"/>
        </w:rPr>
      </w:pPr>
      <w:r>
        <w:rPr>
          <w:rFonts w:hint="eastAsia" w:ascii="仿宋_GB2312" w:hAnsi="楷体" w:eastAsia="仿宋_GB2312"/>
          <w:sz w:val="32"/>
          <w:szCs w:val="32"/>
        </w:rPr>
        <w:t xml:space="preserve"> 202</w:t>
      </w:r>
      <w:r>
        <w:rPr>
          <w:rFonts w:hint="eastAsia" w:ascii="仿宋_GB2312" w:hAnsi="楷体" w:eastAsia="仿宋_GB2312"/>
          <w:sz w:val="32"/>
          <w:szCs w:val="32"/>
          <w:lang w:val="en-US" w:eastAsia="zh-CN"/>
        </w:rPr>
        <w:t>5</w:t>
      </w:r>
      <w:r>
        <w:rPr>
          <w:rFonts w:hint="eastAsia" w:ascii="仿宋_GB2312" w:hAnsi="楷体" w:eastAsia="仿宋_GB2312"/>
          <w:sz w:val="32"/>
          <w:szCs w:val="32"/>
        </w:rPr>
        <w:t>年</w:t>
      </w:r>
      <w:r>
        <w:rPr>
          <w:rFonts w:hint="eastAsia" w:ascii="仿宋_GB2312" w:hAnsi="楷体" w:eastAsia="仿宋_GB2312"/>
          <w:sz w:val="32"/>
          <w:szCs w:val="32"/>
          <w:lang w:val="en-US" w:eastAsia="zh-CN"/>
        </w:rPr>
        <w:t>本单位</w:t>
      </w:r>
      <w:r>
        <w:rPr>
          <w:rFonts w:hint="eastAsia" w:ascii="仿宋_GB2312" w:hAnsi="楷体" w:eastAsia="仿宋_GB2312"/>
          <w:sz w:val="32"/>
          <w:szCs w:val="32"/>
        </w:rPr>
        <w:t>未安排国有资本经营预算支出预算，国有资本经营预算支出情况表为空表。</w:t>
      </w:r>
    </w:p>
    <w:p w14:paraId="1ED9B130">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十、预算绩效管理情况</w:t>
      </w:r>
    </w:p>
    <w:p w14:paraId="1C62EBEC">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w:t>
      </w:r>
      <w:r>
        <w:rPr>
          <w:rFonts w:hint="eastAsia" w:ascii="楷体_GB2312" w:hAnsi="楷体" w:eastAsia="楷体_GB2312" w:cs="宋体"/>
          <w:b/>
          <w:bCs/>
          <w:kern w:val="0"/>
          <w:sz w:val="32"/>
          <w:szCs w:val="32"/>
          <w:lang w:eastAsia="zh-CN"/>
        </w:rPr>
        <w:t>2024</w:t>
      </w:r>
      <w:r>
        <w:rPr>
          <w:rFonts w:hint="eastAsia" w:ascii="楷体_GB2312" w:hAnsi="楷体" w:eastAsia="楷体_GB2312" w:cs="宋体"/>
          <w:b/>
          <w:bCs/>
          <w:kern w:val="0"/>
          <w:sz w:val="32"/>
          <w:szCs w:val="32"/>
        </w:rPr>
        <w:t>年预算绩效管理工作情况。</w:t>
      </w:r>
    </w:p>
    <w:p w14:paraId="5B5CCF1F">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按照《中共中央 国务院关于全面实施预算绩效管理的意见》《中共甘肃省委 甘肃省人民政府关于全面实施预算绩效管理的实施意见》等相关要求，我们将绩效理念和方法融入预算编制、执行、决算和监督全过程认真开展各项工作。</w:t>
      </w:r>
    </w:p>
    <w:p w14:paraId="545CA32B">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1.绩效目标管理情况。</w:t>
      </w:r>
      <w:r>
        <w:rPr>
          <w:rFonts w:hint="eastAsia" w:ascii="仿宋_GB2312" w:hAnsi="仿宋" w:eastAsia="仿宋_GB2312"/>
          <w:sz w:val="32"/>
          <w:szCs w:val="32"/>
          <w:lang w:eastAsia="zh-CN"/>
        </w:rPr>
        <w:t>2024</w:t>
      </w:r>
      <w:r>
        <w:rPr>
          <w:rFonts w:hint="eastAsia" w:ascii="仿宋_GB2312" w:hAnsi="仿宋" w:eastAsia="仿宋_GB2312"/>
          <w:sz w:val="32"/>
          <w:szCs w:val="32"/>
        </w:rPr>
        <w:t>年度，按照“谁申请资金，谁设置目标”的原则，纳入部门预算管理的</w:t>
      </w:r>
      <w:r>
        <w:rPr>
          <w:rFonts w:hint="eastAsia" w:ascii="仿宋_GB2312" w:hAnsi="CIDFont+F6" w:eastAsia="仿宋_GB2312"/>
          <w:color w:val="000000"/>
          <w:sz w:val="32"/>
          <w:szCs w:val="32"/>
        </w:rPr>
        <w:t>部门/单位</w:t>
      </w:r>
      <w:r>
        <w:rPr>
          <w:rFonts w:hint="eastAsia" w:ascii="仿宋_GB2312" w:hAnsi="仿宋" w:eastAsia="仿宋_GB2312"/>
          <w:sz w:val="32"/>
          <w:szCs w:val="32"/>
        </w:rPr>
        <w:t>整体支出和项目绩效目标   个，按规定随年度预算一并公开项目</w:t>
      </w:r>
      <w:r>
        <w:rPr>
          <w:rFonts w:hint="eastAsia" w:ascii="仿宋_GB2312" w:hAnsi="仿宋" w:eastAsia="仿宋_GB2312"/>
          <w:sz w:val="32"/>
          <w:szCs w:val="32"/>
          <w:lang w:val="en-US" w:eastAsia="zh-CN"/>
        </w:rPr>
        <w:t>3</w:t>
      </w:r>
      <w:r>
        <w:rPr>
          <w:rFonts w:hint="eastAsia" w:ascii="仿宋_GB2312" w:hAnsi="仿宋" w:eastAsia="仿宋_GB2312"/>
          <w:sz w:val="32"/>
          <w:szCs w:val="32"/>
        </w:rPr>
        <w:t>个，公开率为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 xml:space="preserve"> %。</w:t>
      </w:r>
    </w:p>
    <w:p w14:paraId="0AF9D93A">
      <w:pPr>
        <w:widowControl/>
        <w:adjustRightInd w:val="0"/>
        <w:snapToGrid w:val="0"/>
        <w:spacing w:line="640" w:lineRule="exact"/>
        <w:ind w:firstLine="643" w:firstLineChars="200"/>
        <w:contextualSpacing/>
        <w:jc w:val="left"/>
        <w:rPr>
          <w:rFonts w:hint="eastAsia" w:ascii="仿宋_GB2312" w:hAnsi="仿宋" w:eastAsia="仿宋_GB2312"/>
          <w:sz w:val="32"/>
          <w:szCs w:val="32"/>
        </w:rPr>
      </w:pPr>
      <w:r>
        <w:rPr>
          <w:rFonts w:hint="eastAsia" w:ascii="仿宋_GB2312" w:hAnsi="仿宋" w:eastAsia="仿宋_GB2312"/>
          <w:b/>
          <w:sz w:val="32"/>
          <w:szCs w:val="32"/>
        </w:rPr>
        <w:t>2.绩效运行监控情况。</w:t>
      </w:r>
      <w:r>
        <w:rPr>
          <w:rFonts w:hint="eastAsia" w:ascii="仿宋_GB2312" w:hAnsi="仿宋" w:eastAsia="仿宋_GB2312"/>
          <w:sz w:val="32"/>
          <w:szCs w:val="32"/>
          <w:lang w:eastAsia="zh-CN"/>
        </w:rPr>
        <w:t>2024</w:t>
      </w:r>
      <w:r>
        <w:rPr>
          <w:rFonts w:hint="eastAsia" w:ascii="仿宋_GB2312" w:hAnsi="仿宋" w:eastAsia="仿宋_GB2312"/>
          <w:sz w:val="32"/>
          <w:szCs w:val="32"/>
        </w:rPr>
        <w:t>年7月，组织开展1-6月绩效运行监控项目</w:t>
      </w:r>
      <w:r>
        <w:rPr>
          <w:rFonts w:hint="eastAsia" w:ascii="仿宋_GB2312" w:hAnsi="仿宋" w:eastAsia="仿宋_GB2312"/>
          <w:sz w:val="32"/>
          <w:szCs w:val="32"/>
          <w:lang w:val="en-US" w:eastAsia="zh-CN"/>
        </w:rPr>
        <w:t>3</w:t>
      </w:r>
      <w:r>
        <w:rPr>
          <w:rFonts w:hint="eastAsia" w:ascii="仿宋_GB2312" w:hAnsi="仿宋" w:eastAsia="仿宋_GB2312"/>
          <w:sz w:val="32"/>
          <w:szCs w:val="32"/>
        </w:rPr>
        <w:t>个，占本</w:t>
      </w:r>
      <w:r>
        <w:rPr>
          <w:rFonts w:hint="eastAsia" w:ascii="仿宋_GB2312" w:hAnsi="CIDFont+F6" w:eastAsia="仿宋_GB2312"/>
          <w:color w:val="000000"/>
          <w:sz w:val="32"/>
          <w:szCs w:val="32"/>
        </w:rPr>
        <w:t>部门/单位</w:t>
      </w:r>
      <w:r>
        <w:rPr>
          <w:rFonts w:hint="eastAsia" w:ascii="仿宋_GB2312" w:hAnsi="仿宋" w:eastAsia="仿宋_GB2312"/>
          <w:sz w:val="32"/>
          <w:szCs w:val="32"/>
        </w:rPr>
        <w:t>项目的</w:t>
      </w:r>
      <w:r>
        <w:rPr>
          <w:rFonts w:hint="eastAsia" w:ascii="仿宋_GB2312" w:hAnsi="仿宋" w:eastAsia="仿宋_GB2312"/>
          <w:sz w:val="32"/>
          <w:szCs w:val="32"/>
          <w:lang w:val="en-US" w:eastAsia="zh-CN"/>
        </w:rPr>
        <w:t>100</w:t>
      </w:r>
      <w:r>
        <w:rPr>
          <w:rFonts w:hint="eastAsia" w:ascii="仿宋_GB2312" w:hAnsi="仿宋" w:eastAsia="仿宋_GB2312"/>
          <w:sz w:val="32"/>
          <w:szCs w:val="32"/>
        </w:rPr>
        <w:t xml:space="preserve"> %。截至7月底，如期完成预算执行和绩效目标指标值的项目</w:t>
      </w:r>
      <w:r>
        <w:rPr>
          <w:rFonts w:hint="eastAsia" w:ascii="仿宋_GB2312" w:hAnsi="仿宋" w:eastAsia="仿宋_GB2312"/>
          <w:sz w:val="32"/>
          <w:szCs w:val="32"/>
          <w:lang w:val="en-US" w:eastAsia="zh-CN"/>
        </w:rPr>
        <w:t>0</w:t>
      </w:r>
      <w:r>
        <w:rPr>
          <w:rFonts w:hint="eastAsia" w:ascii="仿宋_GB2312" w:hAnsi="仿宋" w:eastAsia="仿宋_GB2312"/>
          <w:sz w:val="32"/>
          <w:szCs w:val="32"/>
        </w:rPr>
        <w:t>个，完成率为</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%。“双监控”发现存在的问题和主要原因是：</w:t>
      </w:r>
      <w:r>
        <w:rPr>
          <w:rFonts w:hint="eastAsia" w:ascii="仿宋_GB2312" w:hAnsi="仿宋" w:eastAsia="仿宋_GB2312"/>
          <w:sz w:val="32"/>
          <w:szCs w:val="32"/>
          <w:lang w:val="en-US" w:eastAsia="zh-CN"/>
        </w:rPr>
        <w:t>财政资金困难，不能按时支付</w:t>
      </w:r>
      <w:r>
        <w:rPr>
          <w:rFonts w:hint="eastAsia" w:ascii="仿宋_GB2312" w:hAnsi="仿宋" w:eastAsia="仿宋_GB2312"/>
          <w:sz w:val="32"/>
          <w:szCs w:val="32"/>
        </w:rPr>
        <w:t>。开展1-9月绩效运行监控项目</w:t>
      </w:r>
      <w:r>
        <w:rPr>
          <w:rFonts w:hint="eastAsia" w:ascii="仿宋_GB2312" w:hAnsi="仿宋" w:eastAsia="仿宋_GB2312"/>
          <w:sz w:val="32"/>
          <w:szCs w:val="32"/>
          <w:lang w:val="en-US" w:eastAsia="zh-CN"/>
        </w:rPr>
        <w:t>3</w:t>
      </w:r>
      <w:r>
        <w:rPr>
          <w:rFonts w:hint="eastAsia" w:ascii="仿宋_GB2312" w:hAnsi="仿宋" w:eastAsia="仿宋_GB2312"/>
          <w:sz w:val="32"/>
          <w:szCs w:val="32"/>
        </w:rPr>
        <w:t>个，占本部门（单位）项目的</w:t>
      </w:r>
      <w:r>
        <w:rPr>
          <w:rFonts w:hint="eastAsia" w:ascii="仿宋_GB2312" w:hAnsi="仿宋" w:eastAsia="仿宋_GB2312"/>
          <w:sz w:val="32"/>
          <w:szCs w:val="32"/>
          <w:lang w:val="en-US" w:eastAsia="zh-CN"/>
        </w:rPr>
        <w:t>100</w:t>
      </w:r>
      <w:r>
        <w:rPr>
          <w:rFonts w:hint="eastAsia" w:ascii="仿宋_GB2312" w:hAnsi="仿宋" w:eastAsia="仿宋_GB2312"/>
          <w:sz w:val="32"/>
          <w:szCs w:val="32"/>
        </w:rPr>
        <w:t>%。截至10月底，如期完成预算执行和绩效目标指标值的项目</w:t>
      </w:r>
      <w:r>
        <w:rPr>
          <w:rFonts w:hint="eastAsia" w:ascii="仿宋_GB2312" w:hAnsi="仿宋" w:eastAsia="仿宋_GB2312"/>
          <w:sz w:val="32"/>
          <w:szCs w:val="32"/>
          <w:lang w:val="en-US" w:eastAsia="zh-CN"/>
        </w:rPr>
        <w:t>1</w:t>
      </w:r>
      <w:r>
        <w:rPr>
          <w:rFonts w:hint="eastAsia" w:ascii="仿宋_GB2312" w:hAnsi="仿宋" w:eastAsia="仿宋_GB2312"/>
          <w:sz w:val="32"/>
          <w:szCs w:val="32"/>
        </w:rPr>
        <w:t>个，完成率为</w:t>
      </w:r>
      <w:r>
        <w:rPr>
          <w:rFonts w:hint="eastAsia" w:ascii="仿宋_GB2312" w:hAnsi="仿宋" w:eastAsia="仿宋_GB2312"/>
          <w:sz w:val="32"/>
          <w:szCs w:val="32"/>
          <w:lang w:val="en-US" w:eastAsia="zh-CN"/>
        </w:rPr>
        <w:t>33.33</w:t>
      </w:r>
      <w:r>
        <w:rPr>
          <w:rFonts w:hint="eastAsia" w:ascii="仿宋_GB2312" w:hAnsi="仿宋" w:eastAsia="仿宋_GB2312"/>
          <w:sz w:val="32"/>
          <w:szCs w:val="32"/>
        </w:rPr>
        <w:t>%。“双监控”发现存在的问题和主要原因是：</w:t>
      </w:r>
      <w:r>
        <w:rPr>
          <w:rFonts w:hint="eastAsia" w:ascii="仿宋_GB2312" w:hAnsi="仿宋" w:eastAsia="仿宋_GB2312"/>
          <w:sz w:val="32"/>
          <w:szCs w:val="32"/>
          <w:lang w:val="en-US" w:eastAsia="zh-CN"/>
        </w:rPr>
        <w:t>财政资金困难，不能按时支付</w:t>
      </w:r>
      <w:r>
        <w:rPr>
          <w:rFonts w:hint="eastAsia" w:ascii="仿宋_GB2312" w:hAnsi="仿宋" w:eastAsia="仿宋_GB2312"/>
          <w:sz w:val="32"/>
          <w:szCs w:val="32"/>
        </w:rPr>
        <w:t>。</w:t>
      </w:r>
    </w:p>
    <w:p w14:paraId="034CF0D6">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3.绩效自评开展情况。</w:t>
      </w:r>
      <w:r>
        <w:rPr>
          <w:rFonts w:hint="eastAsia" w:ascii="仿宋_GB2312" w:hAnsi="仿宋" w:eastAsia="仿宋_GB2312"/>
          <w:sz w:val="32"/>
          <w:szCs w:val="32"/>
          <w:lang w:eastAsia="zh-CN"/>
        </w:rPr>
        <w:t>2024</w:t>
      </w:r>
      <w:r>
        <w:rPr>
          <w:rFonts w:hint="eastAsia" w:ascii="仿宋_GB2312" w:hAnsi="仿宋" w:eastAsia="仿宋_GB2312"/>
          <w:sz w:val="32"/>
          <w:szCs w:val="32"/>
        </w:rPr>
        <w:t>年度，组织开展绩效自评项目共</w:t>
      </w:r>
      <w:r>
        <w:rPr>
          <w:rFonts w:hint="eastAsia" w:ascii="仿宋_GB2312" w:hAnsi="仿宋" w:eastAsia="仿宋_GB2312"/>
          <w:sz w:val="32"/>
          <w:szCs w:val="32"/>
          <w:lang w:val="en-US" w:eastAsia="zh-CN"/>
        </w:rPr>
        <w:t>4</w:t>
      </w:r>
      <w:r>
        <w:rPr>
          <w:rFonts w:hint="eastAsia" w:ascii="仿宋_GB2312" w:hAnsi="仿宋" w:eastAsia="仿宋_GB2312"/>
          <w:sz w:val="32"/>
          <w:szCs w:val="32"/>
        </w:rPr>
        <w:t>个，其中，部门（单位）整体支出</w:t>
      </w:r>
      <w:r>
        <w:rPr>
          <w:rFonts w:hint="eastAsia" w:ascii="仿宋_GB2312" w:hAnsi="仿宋" w:eastAsia="仿宋_GB2312"/>
          <w:sz w:val="32"/>
          <w:szCs w:val="32"/>
          <w:lang w:val="en-US" w:eastAsia="zh-CN"/>
        </w:rPr>
        <w:t>1</w:t>
      </w:r>
      <w:r>
        <w:rPr>
          <w:rFonts w:hint="eastAsia" w:ascii="仿宋_GB2312" w:hAnsi="仿宋" w:eastAsia="仿宋_GB2312"/>
          <w:sz w:val="32"/>
          <w:szCs w:val="32"/>
        </w:rPr>
        <w:t>个，项目支出</w:t>
      </w:r>
      <w:r>
        <w:rPr>
          <w:rFonts w:hint="eastAsia" w:ascii="仿宋_GB2312" w:hAnsi="仿宋" w:eastAsia="仿宋_GB2312"/>
          <w:sz w:val="32"/>
          <w:szCs w:val="32"/>
          <w:lang w:val="en-US" w:eastAsia="zh-CN"/>
        </w:rPr>
        <w:t>3</w:t>
      </w:r>
      <w:r>
        <w:rPr>
          <w:rFonts w:hint="eastAsia" w:ascii="仿宋_GB2312" w:hAnsi="仿宋" w:eastAsia="仿宋_GB2312"/>
          <w:sz w:val="32"/>
          <w:szCs w:val="32"/>
        </w:rPr>
        <w:t>个，转移支付项目</w:t>
      </w:r>
      <w:r>
        <w:rPr>
          <w:rFonts w:hint="eastAsia" w:ascii="仿宋_GB2312" w:hAnsi="仿宋" w:eastAsia="仿宋_GB2312"/>
          <w:sz w:val="32"/>
          <w:szCs w:val="32"/>
          <w:lang w:val="en-US" w:eastAsia="zh-CN"/>
        </w:rPr>
        <w:t>0</w:t>
      </w:r>
      <w:r>
        <w:rPr>
          <w:rFonts w:hint="eastAsia" w:ascii="仿宋_GB2312" w:hAnsi="仿宋" w:eastAsia="仿宋_GB2312"/>
          <w:sz w:val="32"/>
          <w:szCs w:val="32"/>
        </w:rPr>
        <w:t>个，绩效自评覆盖率为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%。绩效自评结果随部门决算报送财政和随决算公开情况。</w:t>
      </w:r>
    </w:p>
    <w:p w14:paraId="1B5CB531">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4.绩效结果应用情况。</w:t>
      </w:r>
      <w:r>
        <w:rPr>
          <w:rFonts w:hint="eastAsia" w:ascii="仿宋_GB2312" w:hAnsi="仿宋" w:eastAsia="仿宋_GB2312"/>
          <w:sz w:val="32"/>
          <w:szCs w:val="32"/>
        </w:rPr>
        <w:t>根据</w:t>
      </w:r>
      <w:r>
        <w:rPr>
          <w:rFonts w:hint="eastAsia" w:ascii="仿宋_GB2312" w:hAnsi="仿宋" w:eastAsia="仿宋_GB2312"/>
          <w:sz w:val="32"/>
          <w:szCs w:val="32"/>
          <w:lang w:eastAsia="zh-CN"/>
        </w:rPr>
        <w:t>2024</w:t>
      </w:r>
      <w:r>
        <w:rPr>
          <w:rFonts w:hint="eastAsia" w:ascii="仿宋_GB2312" w:hAnsi="仿宋" w:eastAsia="仿宋_GB2312"/>
          <w:sz w:val="32"/>
          <w:szCs w:val="32"/>
        </w:rPr>
        <w:t>年度绩效运行监控、绩效自评等情况，当年盘活财政资金</w:t>
      </w:r>
      <w:r>
        <w:rPr>
          <w:rFonts w:hint="eastAsia" w:ascii="仿宋_GB2312" w:hAnsi="仿宋" w:eastAsia="仿宋_GB2312"/>
          <w:sz w:val="32"/>
          <w:szCs w:val="32"/>
          <w:lang w:val="en-US" w:eastAsia="zh-CN"/>
        </w:rPr>
        <w:t>0.00</w:t>
      </w:r>
      <w:r>
        <w:rPr>
          <w:rFonts w:hint="eastAsia" w:ascii="仿宋_GB2312" w:hAnsi="仿宋" w:eastAsia="仿宋_GB2312"/>
          <w:sz w:val="32"/>
          <w:szCs w:val="32"/>
        </w:rPr>
        <w:t>万元，</w:t>
      </w:r>
      <w:r>
        <w:rPr>
          <w:rFonts w:hint="eastAsia" w:ascii="仿宋_GB2312" w:hAnsi="仿宋" w:eastAsia="仿宋_GB2312"/>
          <w:sz w:val="32"/>
          <w:szCs w:val="32"/>
          <w:lang w:eastAsia="zh-CN"/>
        </w:rPr>
        <w:t>2025</w:t>
      </w:r>
      <w:r>
        <w:rPr>
          <w:rFonts w:hint="eastAsia" w:ascii="仿宋_GB2312" w:hAnsi="仿宋" w:eastAsia="仿宋_GB2312"/>
          <w:sz w:val="32"/>
          <w:szCs w:val="32"/>
        </w:rPr>
        <w:t>年度增加（减少）部门预算项目</w:t>
      </w:r>
      <w:r>
        <w:rPr>
          <w:rFonts w:hint="eastAsia" w:ascii="仿宋_GB2312" w:hAnsi="仿宋" w:eastAsia="仿宋_GB2312"/>
          <w:sz w:val="32"/>
          <w:szCs w:val="32"/>
          <w:lang w:val="en-US" w:eastAsia="zh-CN"/>
        </w:rPr>
        <w:t>0</w:t>
      </w:r>
      <w:r>
        <w:rPr>
          <w:rFonts w:hint="eastAsia" w:ascii="仿宋_GB2312" w:hAnsi="仿宋" w:eastAsia="仿宋_GB2312"/>
          <w:sz w:val="32"/>
          <w:szCs w:val="32"/>
        </w:rPr>
        <w:t>个，增长率/压减率</w:t>
      </w:r>
      <w:r>
        <w:rPr>
          <w:rFonts w:hint="eastAsia" w:ascii="仿宋_GB2312" w:hAnsi="仿宋" w:eastAsia="仿宋_GB2312"/>
          <w:sz w:val="32"/>
          <w:szCs w:val="32"/>
          <w:lang w:val="en-US" w:eastAsia="zh-CN"/>
        </w:rPr>
        <w:t>0</w:t>
      </w:r>
      <w:r>
        <w:rPr>
          <w:rFonts w:hint="eastAsia" w:ascii="仿宋_GB2312" w:hAnsi="仿宋" w:eastAsia="仿宋_GB2312"/>
          <w:sz w:val="32"/>
          <w:szCs w:val="32"/>
        </w:rPr>
        <w:t>%。同时对政策和项目资金管理作出调整的</w:t>
      </w:r>
      <w:r>
        <w:rPr>
          <w:rFonts w:hint="eastAsia" w:ascii="仿宋_GB2312" w:hAnsi="仿宋" w:eastAsia="仿宋_GB2312"/>
          <w:sz w:val="32"/>
          <w:szCs w:val="32"/>
          <w:lang w:val="en-US" w:eastAsia="zh-CN"/>
        </w:rPr>
        <w:t>0</w:t>
      </w:r>
      <w:r>
        <w:rPr>
          <w:rFonts w:hint="eastAsia" w:ascii="仿宋_GB2312" w:hAnsi="仿宋" w:eastAsia="仿宋_GB2312"/>
          <w:sz w:val="32"/>
          <w:szCs w:val="32"/>
        </w:rPr>
        <w:t>个。</w:t>
      </w:r>
    </w:p>
    <w:p w14:paraId="7067FDF0">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w:t>
      </w:r>
      <w:r>
        <w:rPr>
          <w:rFonts w:hint="eastAsia" w:ascii="楷体_GB2312" w:hAnsi="楷体" w:eastAsia="楷体_GB2312" w:cs="宋体"/>
          <w:b/>
          <w:bCs/>
          <w:kern w:val="0"/>
          <w:sz w:val="32"/>
          <w:szCs w:val="32"/>
          <w:lang w:eastAsia="zh-CN"/>
        </w:rPr>
        <w:t>2025</w:t>
      </w:r>
      <w:r>
        <w:rPr>
          <w:rFonts w:hint="eastAsia" w:ascii="楷体_GB2312" w:hAnsi="楷体" w:eastAsia="楷体_GB2312" w:cs="宋体"/>
          <w:b/>
          <w:bCs/>
          <w:kern w:val="0"/>
          <w:sz w:val="32"/>
          <w:szCs w:val="32"/>
        </w:rPr>
        <w:t>年绩效目标编制情况</w:t>
      </w:r>
    </w:p>
    <w:p w14:paraId="005435A0">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年，纳入部门/单位预算绩效目标管理的项目</w:t>
      </w:r>
      <w:r>
        <w:rPr>
          <w:rFonts w:hint="eastAsia" w:ascii="仿宋_GB2312" w:hAnsi="仿宋" w:eastAsia="仿宋_GB2312"/>
          <w:sz w:val="32"/>
          <w:szCs w:val="32"/>
          <w:lang w:val="en-US" w:eastAsia="zh-CN"/>
        </w:rPr>
        <w:t>5</w:t>
      </w:r>
      <w:r>
        <w:rPr>
          <w:rFonts w:hint="eastAsia" w:ascii="仿宋_GB2312" w:hAnsi="仿宋" w:eastAsia="仿宋_GB2312"/>
          <w:sz w:val="32"/>
          <w:szCs w:val="32"/>
        </w:rPr>
        <w:t>个。其中，部门整体支出绩效目标围绕部门管理、履职效果、能力建设三个维度，设置二级指标</w:t>
      </w:r>
      <w:r>
        <w:rPr>
          <w:rFonts w:hint="eastAsia" w:ascii="仿宋_GB2312" w:hAnsi="仿宋" w:eastAsia="仿宋_GB2312"/>
          <w:sz w:val="32"/>
          <w:szCs w:val="32"/>
          <w:lang w:val="en-US" w:eastAsia="zh-CN"/>
        </w:rPr>
        <w:t>3</w:t>
      </w:r>
      <w:r>
        <w:rPr>
          <w:rFonts w:hint="eastAsia" w:ascii="仿宋_GB2312" w:hAnsi="仿宋" w:eastAsia="仿宋_GB2312"/>
          <w:sz w:val="32"/>
          <w:szCs w:val="32"/>
        </w:rPr>
        <w:t>个、三级指标</w:t>
      </w:r>
      <w:r>
        <w:rPr>
          <w:rFonts w:hint="eastAsia" w:ascii="仿宋_GB2312" w:hAnsi="仿宋" w:eastAsia="仿宋_GB2312"/>
          <w:sz w:val="32"/>
          <w:szCs w:val="32"/>
          <w:lang w:val="en-US" w:eastAsia="zh-CN"/>
        </w:rPr>
        <w:t>3</w:t>
      </w:r>
      <w:r>
        <w:rPr>
          <w:rFonts w:hint="eastAsia" w:ascii="仿宋_GB2312" w:hAnsi="仿宋" w:eastAsia="仿宋_GB2312"/>
          <w:sz w:val="32"/>
          <w:szCs w:val="32"/>
        </w:rPr>
        <w:t>个；项目支出绩效目标围绕成本指标、产出指标、效益指标、满意度指标四个维度，设置二级指标</w:t>
      </w:r>
      <w:r>
        <w:rPr>
          <w:rFonts w:hint="eastAsia" w:ascii="仿宋_GB2312" w:hAnsi="仿宋" w:eastAsia="仿宋_GB2312"/>
          <w:sz w:val="32"/>
          <w:szCs w:val="32"/>
          <w:lang w:val="en-US" w:eastAsia="zh-CN"/>
        </w:rPr>
        <w:t>3</w:t>
      </w:r>
      <w:r>
        <w:rPr>
          <w:rFonts w:hint="eastAsia" w:ascii="仿宋_GB2312" w:hAnsi="仿宋" w:eastAsia="仿宋_GB2312"/>
          <w:sz w:val="32"/>
          <w:szCs w:val="32"/>
        </w:rPr>
        <w:t>个、三级指标</w:t>
      </w:r>
      <w:r>
        <w:rPr>
          <w:rFonts w:hint="eastAsia" w:ascii="仿宋_GB2312" w:hAnsi="仿宋" w:eastAsia="仿宋_GB2312"/>
          <w:sz w:val="32"/>
          <w:szCs w:val="32"/>
          <w:lang w:val="en-US" w:eastAsia="zh-CN"/>
        </w:rPr>
        <w:t>3</w:t>
      </w:r>
      <w:r>
        <w:rPr>
          <w:rFonts w:hint="eastAsia" w:ascii="仿宋_GB2312" w:hAnsi="仿宋" w:eastAsia="仿宋_GB2312"/>
          <w:sz w:val="32"/>
          <w:szCs w:val="32"/>
        </w:rPr>
        <w:t>个。各项绩效目标内容指向明确、细化量化、合理可行，符合规定的格式要求。</w:t>
      </w:r>
    </w:p>
    <w:p w14:paraId="1B6BE290">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十一、名词解释</w:t>
      </w:r>
    </w:p>
    <w:p w14:paraId="476EBD1E">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1、财政拨款:</w:t>
      </w:r>
      <w:r>
        <w:rPr>
          <w:rFonts w:hint="eastAsia" w:ascii="仿宋_GB2312" w:hAnsi="CIDFont+F6" w:eastAsia="仿宋_GB2312"/>
          <w:color w:val="000000"/>
          <w:sz w:val="32"/>
          <w:szCs w:val="32"/>
        </w:rPr>
        <w:t>指由一般公共预算、政府性基金预算、国有资本经营预算安排的财政拨款数。</w:t>
      </w:r>
    </w:p>
    <w:p w14:paraId="4CC6C57A">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2、一般公共预算:</w:t>
      </w:r>
      <w:r>
        <w:rPr>
          <w:rFonts w:hint="eastAsia" w:ascii="仿宋_GB2312" w:hAnsi="CIDFont+F6" w:eastAsia="仿宋_GB2312"/>
          <w:color w:val="000000"/>
          <w:sz w:val="32"/>
          <w:szCs w:val="32"/>
        </w:rPr>
        <w:t>包括公共财政拨款（补助）资金、专项收入。</w:t>
      </w:r>
    </w:p>
    <w:p w14:paraId="7908A71B">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3、财政专户管理资金:</w:t>
      </w:r>
      <w:r>
        <w:rPr>
          <w:rFonts w:hint="eastAsia" w:ascii="仿宋_GB2312" w:hAnsi="CIDFont+F6" w:eastAsia="仿宋_GB2312"/>
          <w:color w:val="000000"/>
          <w:sz w:val="32"/>
          <w:szCs w:val="32"/>
        </w:rPr>
        <w:t>包括专户管理行政事业性收费（主要是教育收费）、其他非税收入。</w:t>
      </w:r>
    </w:p>
    <w:p w14:paraId="4CE172D2">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4、其他资金:</w:t>
      </w:r>
      <w:r>
        <w:rPr>
          <w:rFonts w:hint="eastAsia" w:ascii="仿宋_GB2312" w:hAnsi="CIDFont+F6" w:eastAsia="仿宋_GB2312"/>
          <w:color w:val="000000"/>
          <w:sz w:val="32"/>
          <w:szCs w:val="32"/>
        </w:rPr>
        <w:t>包括事业收入、事业经营收入、其他收入等。</w:t>
      </w:r>
    </w:p>
    <w:p w14:paraId="6D5803A7">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5、基本支出:</w:t>
      </w:r>
      <w:r>
        <w:rPr>
          <w:rFonts w:hint="eastAsia" w:ascii="仿宋_GB2312" w:hAnsi="CIDFont+F6" w:eastAsia="仿宋_GB2312"/>
          <w:color w:val="000000"/>
          <w:sz w:val="32"/>
          <w:szCs w:val="32"/>
        </w:rPr>
        <w:t>包括人员经费、公用经费（定额）。其中，人员经费包括工资福利支出、对个人和家庭的补助。</w:t>
      </w:r>
    </w:p>
    <w:p w14:paraId="696C919E">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6、项目支出:</w:t>
      </w:r>
      <w:r>
        <w:rPr>
          <w:rFonts w:hint="eastAsia" w:ascii="仿宋_GB2312" w:hAnsi="CIDFont+F6" w:eastAsia="仿宋_GB2312"/>
          <w:color w:val="000000"/>
          <w:sz w:val="32"/>
          <w:szCs w:val="32"/>
        </w:rPr>
        <w:t>部门（单位）支出预算的组成部分，是各部门（单位）为完成其特定的行政任务或事业发展目标，在基本支出预算之外编制的年度项目支出计划。</w:t>
      </w:r>
    </w:p>
    <w:p w14:paraId="3E4D9AA1">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7、“三公”经费:</w:t>
      </w:r>
      <w:r>
        <w:rPr>
          <w:rFonts w:hint="eastAsia" w:ascii="仿宋_GB2312" w:hAnsi="CIDFont+F6" w:eastAsia="仿宋_GB2312"/>
          <w:color w:val="000000"/>
          <w:sz w:val="32"/>
          <w:szCs w:val="32"/>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14:paraId="4004D867">
      <w:pPr>
        <w:adjustRightInd w:val="0"/>
        <w:snapToGrid w:val="0"/>
        <w:spacing w:line="640" w:lineRule="exact"/>
        <w:ind w:right="1120"/>
        <w:contextualSpacing/>
        <w:jc w:val="center"/>
        <w:rPr>
          <w:rFonts w:hint="eastAsia" w:ascii="仿宋_GB2312" w:hAnsi="CIDFont+F6" w:eastAsia="仿宋_GB2312"/>
          <w:color w:val="000000"/>
          <w:sz w:val="32"/>
          <w:szCs w:val="32"/>
          <w:lang w:val="en-US" w:eastAsia="zh-CN"/>
        </w:rPr>
      </w:pPr>
    </w:p>
    <w:p w14:paraId="7AC07568">
      <w:pPr>
        <w:adjustRightInd w:val="0"/>
        <w:snapToGrid w:val="0"/>
        <w:spacing w:line="640" w:lineRule="exact"/>
        <w:ind w:right="1120"/>
        <w:contextualSpacing/>
        <w:jc w:val="center"/>
        <w:rPr>
          <w:rFonts w:hint="eastAsia" w:ascii="仿宋_GB2312" w:hAnsi="CIDFont+F6" w:eastAsia="仿宋_GB2312"/>
          <w:color w:val="000000"/>
          <w:sz w:val="32"/>
          <w:szCs w:val="32"/>
          <w:lang w:val="en-US" w:eastAsia="zh-CN"/>
        </w:rPr>
      </w:pPr>
    </w:p>
    <w:p w14:paraId="01997491">
      <w:pPr>
        <w:adjustRightInd w:val="0"/>
        <w:snapToGrid w:val="0"/>
        <w:spacing w:line="640" w:lineRule="exact"/>
        <w:ind w:right="1120"/>
        <w:contextualSpacing/>
        <w:jc w:val="center"/>
        <w:rPr>
          <w:rFonts w:hint="eastAsia" w:ascii="仿宋_GB2312" w:hAnsi="CIDFont+F6" w:eastAsia="仿宋_GB2312"/>
          <w:color w:val="000000"/>
          <w:sz w:val="32"/>
          <w:szCs w:val="32"/>
          <w:lang w:val="en-US" w:eastAsia="zh-CN"/>
        </w:rPr>
      </w:pPr>
    </w:p>
    <w:p w14:paraId="0DA22613">
      <w:pPr>
        <w:adjustRightInd w:val="0"/>
        <w:snapToGrid w:val="0"/>
        <w:spacing w:line="640" w:lineRule="exact"/>
        <w:ind w:right="1120"/>
        <w:contextualSpacing/>
        <w:jc w:val="center"/>
        <w:rPr>
          <w:rFonts w:hint="eastAsia" w:ascii="仿宋_GB2312" w:hAnsi="CIDFont+F6" w:eastAsia="仿宋_GB2312"/>
          <w:color w:val="000000"/>
          <w:sz w:val="32"/>
          <w:szCs w:val="32"/>
          <w:lang w:val="en-US" w:eastAsia="zh-CN"/>
        </w:rPr>
      </w:pPr>
      <w:r>
        <w:rPr>
          <w:rFonts w:hint="eastAsia" w:ascii="仿宋_GB2312" w:hAnsi="CIDFont+F6" w:eastAsia="仿宋_GB2312"/>
          <w:color w:val="000000"/>
          <w:sz w:val="32"/>
          <w:szCs w:val="32"/>
          <w:lang w:val="en-US" w:eastAsia="zh-CN"/>
        </w:rPr>
        <w:t xml:space="preserve">           </w:t>
      </w:r>
    </w:p>
    <w:p w14:paraId="58A510F7">
      <w:pPr>
        <w:adjustRightInd w:val="0"/>
        <w:snapToGrid w:val="0"/>
        <w:spacing w:line="640" w:lineRule="exact"/>
        <w:ind w:right="1120"/>
        <w:contextualSpacing/>
        <w:jc w:val="center"/>
        <w:rPr>
          <w:rFonts w:hint="eastAsia" w:ascii="仿宋_GB2312" w:hAnsi="CIDFont+F6" w:eastAsia="仿宋_GB2312"/>
          <w:color w:val="000000"/>
          <w:sz w:val="32"/>
          <w:szCs w:val="32"/>
          <w:lang w:val="en-US" w:eastAsia="zh-CN"/>
        </w:rPr>
      </w:pPr>
      <w:r>
        <w:rPr>
          <w:rFonts w:hint="eastAsia" w:ascii="仿宋_GB2312" w:hAnsi="CIDFont+F6" w:eastAsia="仿宋_GB2312"/>
          <w:color w:val="000000"/>
          <w:sz w:val="32"/>
          <w:szCs w:val="32"/>
          <w:lang w:val="en-US" w:eastAsia="zh-CN"/>
        </w:rPr>
        <w:t xml:space="preserve">                 华池县发展和改革局</w:t>
      </w:r>
    </w:p>
    <w:p w14:paraId="05DDC0D0">
      <w:pPr>
        <w:adjustRightInd w:val="0"/>
        <w:snapToGrid w:val="0"/>
        <w:spacing w:line="640" w:lineRule="exact"/>
        <w:ind w:right="1120"/>
        <w:contextualSpacing/>
        <w:jc w:val="center"/>
        <w:rPr>
          <w:rFonts w:ascii="仿宋_GB2312" w:eastAsia="仿宋_GB2312"/>
          <w:sz w:val="32"/>
          <w:szCs w:val="32"/>
        </w:rPr>
      </w:pPr>
      <w:r>
        <w:rPr>
          <w:rFonts w:hint="eastAsia" w:ascii="仿宋_GB2312" w:hAnsi="CIDFont+F6" w:eastAsia="仿宋_GB2312"/>
          <w:color w:val="000000"/>
          <w:sz w:val="32"/>
          <w:szCs w:val="32"/>
          <w:lang w:val="en-US" w:eastAsia="zh-CN"/>
        </w:rPr>
        <w:t xml:space="preserve">                 2025</w:t>
      </w:r>
      <w:r>
        <w:rPr>
          <w:rFonts w:hint="eastAsia" w:ascii="仿宋_GB2312" w:hAnsi="CIDFont+F6" w:eastAsia="仿宋_GB2312"/>
          <w:color w:val="000000"/>
          <w:sz w:val="32"/>
          <w:szCs w:val="32"/>
        </w:rPr>
        <w:t xml:space="preserve">年 </w:t>
      </w:r>
      <w:r>
        <w:rPr>
          <w:rFonts w:hint="eastAsia" w:ascii="仿宋_GB2312" w:hAnsi="CIDFont+F6" w:eastAsia="仿宋_GB2312"/>
          <w:color w:val="000000"/>
          <w:sz w:val="32"/>
          <w:szCs w:val="32"/>
          <w:lang w:val="en-US" w:eastAsia="zh-CN"/>
        </w:rPr>
        <w:t>2</w:t>
      </w:r>
      <w:r>
        <w:rPr>
          <w:rFonts w:hint="eastAsia" w:ascii="仿宋_GB2312" w:hAnsi="CIDFont+F6" w:eastAsia="仿宋_GB2312"/>
          <w:color w:val="000000"/>
          <w:sz w:val="32"/>
          <w:szCs w:val="32"/>
        </w:rPr>
        <w:t xml:space="preserve"> 月 </w:t>
      </w:r>
      <w:r>
        <w:rPr>
          <w:rFonts w:hint="eastAsia" w:ascii="仿宋_GB2312" w:hAnsi="CIDFont+F6" w:eastAsia="仿宋_GB2312"/>
          <w:color w:val="000000"/>
          <w:sz w:val="32"/>
          <w:szCs w:val="32"/>
          <w:lang w:val="en-US" w:eastAsia="zh-CN"/>
        </w:rPr>
        <w:t>11</w:t>
      </w:r>
      <w:r>
        <w:rPr>
          <w:rFonts w:hint="eastAsia" w:ascii="仿宋_GB2312" w:hAnsi="CIDFont+F6" w:eastAsia="仿宋_GB2312"/>
          <w:color w:val="000000"/>
          <w:sz w:val="32"/>
          <w:szCs w:val="32"/>
        </w:rPr>
        <w:t xml:space="preserve"> 日</w:t>
      </w:r>
    </w:p>
    <w:p w14:paraId="7A9DC281">
      <w:pPr>
        <w:adjustRightInd w:val="0"/>
        <w:snapToGrid w:val="0"/>
        <w:spacing w:line="640" w:lineRule="exact"/>
        <w:ind w:firstLine="640" w:firstLineChars="200"/>
        <w:contextualSpacing/>
        <w:rPr>
          <w:rFonts w:hint="eastAsia" w:ascii="仿宋_GB2312" w:hAnsi="宋体" w:eastAsia="仿宋_GB2312" w:cs="宋体"/>
          <w:kern w:val="0"/>
          <w:sz w:val="32"/>
          <w:szCs w:val="32"/>
        </w:rPr>
      </w:pPr>
    </w:p>
    <w:p w14:paraId="165B2EFC">
      <w:pPr>
        <w:adjustRightInd w:val="0"/>
        <w:snapToGrid w:val="0"/>
        <w:spacing w:line="640" w:lineRule="exact"/>
        <w:ind w:firstLine="640" w:firstLineChars="200"/>
        <w:contextualSpacing/>
        <w:rPr>
          <w:rFonts w:hint="eastAsia" w:ascii="仿宋_GB2312" w:hAnsi="宋体" w:eastAsia="仿宋_GB2312" w:cs="宋体"/>
          <w:kern w:val="0"/>
          <w:sz w:val="32"/>
          <w:szCs w:val="32"/>
        </w:rPr>
      </w:pPr>
    </w:p>
    <w:p w14:paraId="0358EE45">
      <w:pPr>
        <w:adjustRightInd w:val="0"/>
        <w:snapToGrid w:val="0"/>
        <w:spacing w:line="640" w:lineRule="exact"/>
        <w:ind w:firstLine="640" w:firstLineChars="200"/>
        <w:contextualSpacing/>
        <w:rPr>
          <w:rFonts w:ascii="仿宋_GB2312" w:hAnsi="宋体" w:eastAsia="仿宋_GB2312" w:cs="宋体"/>
          <w:spacing w:val="-20"/>
          <w:kern w:val="0"/>
          <w:sz w:val="32"/>
          <w:szCs w:val="32"/>
        </w:rPr>
      </w:pPr>
      <w:r>
        <w:rPr>
          <w:rFonts w:hint="eastAsia" w:ascii="仿宋_GB2312" w:hAnsi="宋体" w:eastAsia="仿宋_GB2312" w:cs="宋体"/>
          <w:kern w:val="0"/>
          <w:sz w:val="32"/>
          <w:szCs w:val="32"/>
        </w:rPr>
        <w:t>附件：</w:t>
      </w:r>
      <w:r>
        <w:rPr>
          <w:rFonts w:hint="eastAsia" w:ascii="仿宋_GB2312" w:hAnsi="宋体" w:eastAsia="仿宋_GB2312" w:cs="宋体"/>
          <w:spacing w:val="-20"/>
          <w:kern w:val="0"/>
          <w:sz w:val="32"/>
          <w:szCs w:val="32"/>
        </w:rPr>
        <w:t>1.</w:t>
      </w:r>
      <w:r>
        <w:rPr>
          <w:rFonts w:hint="eastAsia" w:ascii="仿宋_GB2312" w:hAnsi="宋体" w:eastAsia="仿宋_GB2312" w:cs="宋体"/>
          <w:spacing w:val="-20"/>
          <w:kern w:val="0"/>
          <w:sz w:val="32"/>
          <w:szCs w:val="32"/>
          <w:lang w:val="en-US" w:eastAsia="zh-CN"/>
        </w:rPr>
        <w:t>发改局</w:t>
      </w:r>
      <w:r>
        <w:rPr>
          <w:rFonts w:hint="eastAsia" w:ascii="仿宋_GB2312" w:hAnsi="宋体" w:eastAsia="仿宋_GB2312" w:cs="宋体"/>
          <w:spacing w:val="-20"/>
          <w:kern w:val="0"/>
          <w:sz w:val="32"/>
          <w:szCs w:val="32"/>
        </w:rPr>
        <w:t xml:space="preserve"> </w:t>
      </w:r>
      <w:r>
        <w:rPr>
          <w:rFonts w:hint="eastAsia" w:ascii="仿宋_GB2312" w:hAnsi="宋体" w:eastAsia="仿宋_GB2312" w:cs="宋体"/>
          <w:spacing w:val="-20"/>
          <w:kern w:val="0"/>
          <w:sz w:val="32"/>
          <w:szCs w:val="32"/>
          <w:lang w:val="en-US" w:eastAsia="zh-CN"/>
        </w:rPr>
        <w:t>2</w:t>
      </w:r>
      <w:r>
        <w:rPr>
          <w:rFonts w:hint="eastAsia" w:ascii="仿宋_GB2312" w:hAnsi="宋体" w:eastAsia="仿宋_GB2312" w:cs="宋体"/>
          <w:spacing w:val="-20"/>
          <w:kern w:val="0"/>
          <w:sz w:val="32"/>
          <w:szCs w:val="32"/>
          <w:lang w:eastAsia="zh-CN"/>
        </w:rPr>
        <w:t>025</w:t>
      </w:r>
      <w:r>
        <w:rPr>
          <w:rFonts w:hint="eastAsia" w:ascii="仿宋_GB2312" w:hAnsi="宋体" w:eastAsia="仿宋_GB2312" w:cs="宋体"/>
          <w:spacing w:val="-20"/>
          <w:kern w:val="0"/>
          <w:sz w:val="32"/>
          <w:szCs w:val="32"/>
        </w:rPr>
        <w:t>年</w:t>
      </w:r>
      <w:r>
        <w:rPr>
          <w:rFonts w:hint="eastAsia" w:ascii="仿宋_GB2312" w:hAnsi="宋体" w:eastAsia="仿宋_GB2312" w:cs="宋体"/>
          <w:spacing w:val="-20"/>
          <w:kern w:val="0"/>
          <w:sz w:val="32"/>
          <w:szCs w:val="32"/>
          <w:lang w:eastAsia="zh-CN"/>
        </w:rPr>
        <w:t>部门</w:t>
      </w:r>
      <w:r>
        <w:rPr>
          <w:rFonts w:hint="eastAsia" w:ascii="仿宋_GB2312" w:hAnsi="宋体" w:eastAsia="仿宋_GB2312" w:cs="宋体"/>
          <w:spacing w:val="-20"/>
          <w:kern w:val="0"/>
          <w:sz w:val="32"/>
          <w:szCs w:val="32"/>
        </w:rPr>
        <w:t>预算公开表</w:t>
      </w:r>
    </w:p>
    <w:p w14:paraId="22DB4760">
      <w:pPr>
        <w:adjustRightInd w:val="0"/>
        <w:snapToGrid w:val="0"/>
        <w:spacing w:line="640" w:lineRule="exact"/>
        <w:ind w:left="1796" w:leftChars="767" w:hanging="185" w:hangingChars="58"/>
        <w:contextualSpacing/>
        <w:rPr>
          <w:rFonts w:ascii="仿宋_GB2312" w:hAnsi="宋体" w:eastAsia="仿宋_GB2312" w:cs="宋体"/>
          <w:kern w:val="0"/>
          <w:sz w:val="32"/>
          <w:szCs w:val="32"/>
        </w:rPr>
      </w:pPr>
      <w:r>
        <w:rPr>
          <w:rFonts w:hint="eastAsia" w:ascii="仿宋_GB2312" w:hAnsi="宋体" w:eastAsia="仿宋_GB2312" w:cs="宋体"/>
          <w:kern w:val="0"/>
          <w:sz w:val="32"/>
          <w:szCs w:val="32"/>
        </w:rPr>
        <w:t>2.</w:t>
      </w:r>
      <w:r>
        <w:rPr>
          <w:rFonts w:hint="eastAsia" w:ascii="仿宋_GB2312" w:hAnsi="宋体" w:eastAsia="仿宋_GB2312" w:cs="宋体"/>
          <w:spacing w:val="-20"/>
          <w:kern w:val="0"/>
          <w:sz w:val="32"/>
          <w:szCs w:val="32"/>
          <w:lang w:val="en-US" w:eastAsia="zh-CN"/>
        </w:rPr>
        <w:t>发改局</w:t>
      </w:r>
      <w:r>
        <w:rPr>
          <w:rFonts w:hint="eastAsia" w:ascii="仿宋_GB2312" w:hAnsi="宋体" w:eastAsia="仿宋_GB2312" w:cs="宋体"/>
          <w:spacing w:val="-20"/>
          <w:kern w:val="0"/>
          <w:sz w:val="32"/>
          <w:szCs w:val="32"/>
        </w:rPr>
        <w:t xml:space="preserve"> </w:t>
      </w:r>
      <w:r>
        <w:rPr>
          <w:rFonts w:hint="eastAsia" w:ascii="仿宋_GB2312" w:hAnsi="宋体" w:eastAsia="仿宋_GB2312" w:cs="宋体"/>
          <w:kern w:val="0"/>
          <w:sz w:val="32"/>
          <w:szCs w:val="32"/>
          <w:lang w:eastAsia="zh-CN"/>
        </w:rPr>
        <w:t>2025</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eastAsia="zh-CN"/>
        </w:rPr>
        <w:t>部门</w:t>
      </w:r>
      <w:r>
        <w:rPr>
          <w:rFonts w:hint="eastAsia" w:ascii="仿宋_GB2312" w:hAnsi="宋体" w:eastAsia="仿宋_GB2312" w:cs="宋体"/>
          <w:kern w:val="0"/>
          <w:sz w:val="32"/>
          <w:szCs w:val="32"/>
        </w:rPr>
        <w:t>整体支出绩效目标及预算项目绩效目标表</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IDFont+F6">
    <w:altName w:val="Times New Roman"/>
    <w:panose1 w:val="00000000000000000000"/>
    <w:charset w:val="00"/>
    <w:family w:val="roman"/>
    <w:pitch w:val="default"/>
    <w:sig w:usb0="00000000" w:usb1="00000000" w:usb2="00000000" w:usb3="00000000" w:csb0="00000000" w:csb1="00000000"/>
  </w:font>
  <w:font w:name="CIDFont+F4">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BF69E">
    <w:pPr>
      <w:pStyle w:val="5"/>
      <w:jc w:val="center"/>
    </w:pPr>
  </w:p>
  <w:p w14:paraId="18AFAB9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C854A">
    <w:pPr>
      <w:pStyle w:val="5"/>
      <w:jc w:val="center"/>
    </w:pPr>
    <w:r>
      <w:fldChar w:fldCharType="begin"/>
    </w:r>
    <w:r>
      <w:instrText xml:space="preserve">PAGE   \* MERGEFORMAT</w:instrText>
    </w:r>
    <w:r>
      <w:fldChar w:fldCharType="separate"/>
    </w:r>
    <w:r>
      <w:rPr>
        <w:lang w:val="zh-CN"/>
      </w:rPr>
      <w:t>27</w:t>
    </w:r>
    <w:r>
      <w:fldChar w:fldCharType="end"/>
    </w:r>
  </w:p>
  <w:p w14:paraId="7F222DAC">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08226"/>
    <w:multiLevelType w:val="singleLevel"/>
    <w:tmpl w:val="8D908226"/>
    <w:lvl w:ilvl="0" w:tentative="0">
      <w:start w:val="4"/>
      <w:numFmt w:val="chineseCounting"/>
      <w:suff w:val="nothing"/>
      <w:lvlText w:val="%1、"/>
      <w:lvlJc w:val="left"/>
      <w:rPr>
        <w:rFonts w:hint="eastAsia"/>
      </w:rPr>
    </w:lvl>
  </w:abstractNum>
  <w:abstractNum w:abstractNumId="1">
    <w:nsid w:val="ACB17A76"/>
    <w:multiLevelType w:val="singleLevel"/>
    <w:tmpl w:val="ACB17A76"/>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jNDcxNWMxNzA4MWQ4MjRlNWExMTQwYmYzY2EyYmIifQ=="/>
  </w:docVars>
  <w:rsids>
    <w:rsidRoot w:val="00FB4362"/>
    <w:rsid w:val="00000C55"/>
    <w:rsid w:val="00001446"/>
    <w:rsid w:val="0001130C"/>
    <w:rsid w:val="00011F27"/>
    <w:rsid w:val="00012457"/>
    <w:rsid w:val="00021BBF"/>
    <w:rsid w:val="00030443"/>
    <w:rsid w:val="00030F4C"/>
    <w:rsid w:val="0003278A"/>
    <w:rsid w:val="000368FE"/>
    <w:rsid w:val="00042A06"/>
    <w:rsid w:val="00043601"/>
    <w:rsid w:val="000442B5"/>
    <w:rsid w:val="0004639D"/>
    <w:rsid w:val="000465E2"/>
    <w:rsid w:val="0005161F"/>
    <w:rsid w:val="000547D1"/>
    <w:rsid w:val="00055759"/>
    <w:rsid w:val="000612EE"/>
    <w:rsid w:val="00061BAF"/>
    <w:rsid w:val="0006337D"/>
    <w:rsid w:val="00074626"/>
    <w:rsid w:val="00076B62"/>
    <w:rsid w:val="00082093"/>
    <w:rsid w:val="000861D5"/>
    <w:rsid w:val="0009273A"/>
    <w:rsid w:val="000A20A7"/>
    <w:rsid w:val="000A655B"/>
    <w:rsid w:val="000B54DD"/>
    <w:rsid w:val="000C2055"/>
    <w:rsid w:val="000C2B7F"/>
    <w:rsid w:val="000C37BE"/>
    <w:rsid w:val="000C4C50"/>
    <w:rsid w:val="000D0130"/>
    <w:rsid w:val="000D2EEE"/>
    <w:rsid w:val="000D2F19"/>
    <w:rsid w:val="000E0CEA"/>
    <w:rsid w:val="000F3CBF"/>
    <w:rsid w:val="000F3F42"/>
    <w:rsid w:val="000F473D"/>
    <w:rsid w:val="001017F3"/>
    <w:rsid w:val="0011297B"/>
    <w:rsid w:val="00123768"/>
    <w:rsid w:val="00126B08"/>
    <w:rsid w:val="001272E5"/>
    <w:rsid w:val="00127D01"/>
    <w:rsid w:val="00130F5F"/>
    <w:rsid w:val="001374F5"/>
    <w:rsid w:val="00152FDC"/>
    <w:rsid w:val="001561FD"/>
    <w:rsid w:val="0015647B"/>
    <w:rsid w:val="00156619"/>
    <w:rsid w:val="00156C8B"/>
    <w:rsid w:val="00160A8C"/>
    <w:rsid w:val="001700B4"/>
    <w:rsid w:val="00171070"/>
    <w:rsid w:val="001A416A"/>
    <w:rsid w:val="001A6118"/>
    <w:rsid w:val="001B0364"/>
    <w:rsid w:val="001B0B8E"/>
    <w:rsid w:val="001B342F"/>
    <w:rsid w:val="001C1259"/>
    <w:rsid w:val="001D1DA7"/>
    <w:rsid w:val="001E17E4"/>
    <w:rsid w:val="001E2410"/>
    <w:rsid w:val="001E347C"/>
    <w:rsid w:val="001E6110"/>
    <w:rsid w:val="001F3C4D"/>
    <w:rsid w:val="002033EA"/>
    <w:rsid w:val="00214046"/>
    <w:rsid w:val="0022561F"/>
    <w:rsid w:val="00232DBE"/>
    <w:rsid w:val="002355E7"/>
    <w:rsid w:val="00235F73"/>
    <w:rsid w:val="0023681E"/>
    <w:rsid w:val="00241FEC"/>
    <w:rsid w:val="00243562"/>
    <w:rsid w:val="0025164A"/>
    <w:rsid w:val="00265C3D"/>
    <w:rsid w:val="00266C2E"/>
    <w:rsid w:val="00270DF8"/>
    <w:rsid w:val="002754B3"/>
    <w:rsid w:val="0028392B"/>
    <w:rsid w:val="002934F2"/>
    <w:rsid w:val="002A3A19"/>
    <w:rsid w:val="002A3ED4"/>
    <w:rsid w:val="002A7274"/>
    <w:rsid w:val="002B2833"/>
    <w:rsid w:val="002B7BA1"/>
    <w:rsid w:val="002C01BB"/>
    <w:rsid w:val="002C3FA4"/>
    <w:rsid w:val="002E2161"/>
    <w:rsid w:val="002E30F2"/>
    <w:rsid w:val="002E4E72"/>
    <w:rsid w:val="002F0CE0"/>
    <w:rsid w:val="002F4ED9"/>
    <w:rsid w:val="002F75FE"/>
    <w:rsid w:val="002F7FA5"/>
    <w:rsid w:val="003017F4"/>
    <w:rsid w:val="00301AAB"/>
    <w:rsid w:val="00306B68"/>
    <w:rsid w:val="003129FE"/>
    <w:rsid w:val="003322AC"/>
    <w:rsid w:val="00335342"/>
    <w:rsid w:val="00343A8E"/>
    <w:rsid w:val="00345713"/>
    <w:rsid w:val="003566B9"/>
    <w:rsid w:val="00356C98"/>
    <w:rsid w:val="0036367B"/>
    <w:rsid w:val="0036496C"/>
    <w:rsid w:val="00365414"/>
    <w:rsid w:val="00372734"/>
    <w:rsid w:val="00372A33"/>
    <w:rsid w:val="0037374A"/>
    <w:rsid w:val="00377A88"/>
    <w:rsid w:val="00392E2B"/>
    <w:rsid w:val="003A396F"/>
    <w:rsid w:val="003A68FD"/>
    <w:rsid w:val="003A7A18"/>
    <w:rsid w:val="003B3187"/>
    <w:rsid w:val="003B327A"/>
    <w:rsid w:val="003B4612"/>
    <w:rsid w:val="003B76D2"/>
    <w:rsid w:val="003D6D41"/>
    <w:rsid w:val="003E3B0A"/>
    <w:rsid w:val="0040581D"/>
    <w:rsid w:val="00417BF3"/>
    <w:rsid w:val="00425D21"/>
    <w:rsid w:val="00426463"/>
    <w:rsid w:val="00427875"/>
    <w:rsid w:val="004317A0"/>
    <w:rsid w:val="0043556D"/>
    <w:rsid w:val="0043739B"/>
    <w:rsid w:val="00441579"/>
    <w:rsid w:val="004418B5"/>
    <w:rsid w:val="00445789"/>
    <w:rsid w:val="00463FB8"/>
    <w:rsid w:val="00480A2F"/>
    <w:rsid w:val="00480B47"/>
    <w:rsid w:val="00481F19"/>
    <w:rsid w:val="00487BC0"/>
    <w:rsid w:val="00490FF8"/>
    <w:rsid w:val="004A1851"/>
    <w:rsid w:val="004B337A"/>
    <w:rsid w:val="004B5538"/>
    <w:rsid w:val="004C3127"/>
    <w:rsid w:val="004D27C3"/>
    <w:rsid w:val="004D44D2"/>
    <w:rsid w:val="004D491E"/>
    <w:rsid w:val="004E3E51"/>
    <w:rsid w:val="004E625A"/>
    <w:rsid w:val="004F73BD"/>
    <w:rsid w:val="00502474"/>
    <w:rsid w:val="00515110"/>
    <w:rsid w:val="00523062"/>
    <w:rsid w:val="00532434"/>
    <w:rsid w:val="00537019"/>
    <w:rsid w:val="0054271B"/>
    <w:rsid w:val="00545281"/>
    <w:rsid w:val="00551A39"/>
    <w:rsid w:val="00566585"/>
    <w:rsid w:val="00580A2F"/>
    <w:rsid w:val="005A2CB7"/>
    <w:rsid w:val="005B15C7"/>
    <w:rsid w:val="005B51EA"/>
    <w:rsid w:val="005C6B92"/>
    <w:rsid w:val="005F4CC9"/>
    <w:rsid w:val="0060056E"/>
    <w:rsid w:val="006039C9"/>
    <w:rsid w:val="00605602"/>
    <w:rsid w:val="00605D22"/>
    <w:rsid w:val="00620A03"/>
    <w:rsid w:val="00621126"/>
    <w:rsid w:val="0062145A"/>
    <w:rsid w:val="00633C60"/>
    <w:rsid w:val="00645C9F"/>
    <w:rsid w:val="00650775"/>
    <w:rsid w:val="0065388D"/>
    <w:rsid w:val="00655506"/>
    <w:rsid w:val="00674396"/>
    <w:rsid w:val="006849AD"/>
    <w:rsid w:val="006853A7"/>
    <w:rsid w:val="0069507F"/>
    <w:rsid w:val="006955DD"/>
    <w:rsid w:val="00697A98"/>
    <w:rsid w:val="006A0492"/>
    <w:rsid w:val="006A3DED"/>
    <w:rsid w:val="006A6E23"/>
    <w:rsid w:val="006B05FF"/>
    <w:rsid w:val="006C4D2E"/>
    <w:rsid w:val="006D3D60"/>
    <w:rsid w:val="006E1F9C"/>
    <w:rsid w:val="006E4A2C"/>
    <w:rsid w:val="006E721A"/>
    <w:rsid w:val="006F0E11"/>
    <w:rsid w:val="006F40C8"/>
    <w:rsid w:val="00700872"/>
    <w:rsid w:val="00706BB4"/>
    <w:rsid w:val="00714029"/>
    <w:rsid w:val="007203B6"/>
    <w:rsid w:val="007222C1"/>
    <w:rsid w:val="00725205"/>
    <w:rsid w:val="0074091B"/>
    <w:rsid w:val="00740927"/>
    <w:rsid w:val="00744302"/>
    <w:rsid w:val="00747C60"/>
    <w:rsid w:val="007732EA"/>
    <w:rsid w:val="00777EA3"/>
    <w:rsid w:val="007933F9"/>
    <w:rsid w:val="00793C7B"/>
    <w:rsid w:val="007954B6"/>
    <w:rsid w:val="007A5E22"/>
    <w:rsid w:val="007B3768"/>
    <w:rsid w:val="007B5395"/>
    <w:rsid w:val="007C38FB"/>
    <w:rsid w:val="007C6434"/>
    <w:rsid w:val="007D4E4C"/>
    <w:rsid w:val="007D5F13"/>
    <w:rsid w:val="007D69F8"/>
    <w:rsid w:val="007E4819"/>
    <w:rsid w:val="007E4E03"/>
    <w:rsid w:val="007E7289"/>
    <w:rsid w:val="00805F3F"/>
    <w:rsid w:val="00817A5D"/>
    <w:rsid w:val="00821209"/>
    <w:rsid w:val="00821491"/>
    <w:rsid w:val="00831411"/>
    <w:rsid w:val="00842536"/>
    <w:rsid w:val="00843692"/>
    <w:rsid w:val="0085135B"/>
    <w:rsid w:val="0085287C"/>
    <w:rsid w:val="008559B6"/>
    <w:rsid w:val="008559FD"/>
    <w:rsid w:val="00855E65"/>
    <w:rsid w:val="0085612E"/>
    <w:rsid w:val="00880868"/>
    <w:rsid w:val="00880D30"/>
    <w:rsid w:val="008811AD"/>
    <w:rsid w:val="008812FA"/>
    <w:rsid w:val="008B222B"/>
    <w:rsid w:val="008C138F"/>
    <w:rsid w:val="008C204C"/>
    <w:rsid w:val="008C2625"/>
    <w:rsid w:val="008C4FE2"/>
    <w:rsid w:val="008D4D6A"/>
    <w:rsid w:val="008F7014"/>
    <w:rsid w:val="009049E9"/>
    <w:rsid w:val="00907F9B"/>
    <w:rsid w:val="00911503"/>
    <w:rsid w:val="00917C2D"/>
    <w:rsid w:val="009209B6"/>
    <w:rsid w:val="00923CB4"/>
    <w:rsid w:val="009335E0"/>
    <w:rsid w:val="00941732"/>
    <w:rsid w:val="009510F3"/>
    <w:rsid w:val="00954018"/>
    <w:rsid w:val="00955590"/>
    <w:rsid w:val="00970435"/>
    <w:rsid w:val="009704EC"/>
    <w:rsid w:val="00971619"/>
    <w:rsid w:val="00982EAB"/>
    <w:rsid w:val="0098505E"/>
    <w:rsid w:val="00991480"/>
    <w:rsid w:val="009945A7"/>
    <w:rsid w:val="00995E63"/>
    <w:rsid w:val="0099643D"/>
    <w:rsid w:val="009969DC"/>
    <w:rsid w:val="00996BA5"/>
    <w:rsid w:val="009A0F79"/>
    <w:rsid w:val="009A3C75"/>
    <w:rsid w:val="009B03F2"/>
    <w:rsid w:val="009C4EE2"/>
    <w:rsid w:val="009D46B1"/>
    <w:rsid w:val="009E7F6E"/>
    <w:rsid w:val="009F2B6A"/>
    <w:rsid w:val="009F5541"/>
    <w:rsid w:val="00A01204"/>
    <w:rsid w:val="00A022BA"/>
    <w:rsid w:val="00A256AC"/>
    <w:rsid w:val="00A32BE3"/>
    <w:rsid w:val="00A4207A"/>
    <w:rsid w:val="00A5653E"/>
    <w:rsid w:val="00A63533"/>
    <w:rsid w:val="00A723C4"/>
    <w:rsid w:val="00A72D2B"/>
    <w:rsid w:val="00A820E9"/>
    <w:rsid w:val="00A82942"/>
    <w:rsid w:val="00A83E24"/>
    <w:rsid w:val="00AA20F8"/>
    <w:rsid w:val="00AA327B"/>
    <w:rsid w:val="00AA55AF"/>
    <w:rsid w:val="00AB19A5"/>
    <w:rsid w:val="00AC2FD6"/>
    <w:rsid w:val="00AC78FC"/>
    <w:rsid w:val="00AD4CFE"/>
    <w:rsid w:val="00AE79BA"/>
    <w:rsid w:val="00AF350E"/>
    <w:rsid w:val="00AF3D8F"/>
    <w:rsid w:val="00AF5273"/>
    <w:rsid w:val="00AF5D3D"/>
    <w:rsid w:val="00B0671C"/>
    <w:rsid w:val="00B13495"/>
    <w:rsid w:val="00B262DD"/>
    <w:rsid w:val="00B278DE"/>
    <w:rsid w:val="00B30287"/>
    <w:rsid w:val="00B30EBD"/>
    <w:rsid w:val="00B351C3"/>
    <w:rsid w:val="00B36AC9"/>
    <w:rsid w:val="00B36E7A"/>
    <w:rsid w:val="00B542CD"/>
    <w:rsid w:val="00B6465B"/>
    <w:rsid w:val="00B772D7"/>
    <w:rsid w:val="00B85451"/>
    <w:rsid w:val="00B86006"/>
    <w:rsid w:val="00B86D86"/>
    <w:rsid w:val="00BA2A96"/>
    <w:rsid w:val="00BA5FE5"/>
    <w:rsid w:val="00BC1FD9"/>
    <w:rsid w:val="00BC30FF"/>
    <w:rsid w:val="00BC500D"/>
    <w:rsid w:val="00BD7FD7"/>
    <w:rsid w:val="00BF1606"/>
    <w:rsid w:val="00BF1647"/>
    <w:rsid w:val="00BF5A25"/>
    <w:rsid w:val="00C06428"/>
    <w:rsid w:val="00C11347"/>
    <w:rsid w:val="00C35018"/>
    <w:rsid w:val="00C40A34"/>
    <w:rsid w:val="00C4484E"/>
    <w:rsid w:val="00C46F7C"/>
    <w:rsid w:val="00C519B5"/>
    <w:rsid w:val="00C55EDB"/>
    <w:rsid w:val="00C573E9"/>
    <w:rsid w:val="00C729DA"/>
    <w:rsid w:val="00C764B7"/>
    <w:rsid w:val="00C90B56"/>
    <w:rsid w:val="00CA3F25"/>
    <w:rsid w:val="00CB5B9D"/>
    <w:rsid w:val="00CB6428"/>
    <w:rsid w:val="00CC01A5"/>
    <w:rsid w:val="00CC2134"/>
    <w:rsid w:val="00CD255A"/>
    <w:rsid w:val="00D126EC"/>
    <w:rsid w:val="00D14955"/>
    <w:rsid w:val="00D24CD6"/>
    <w:rsid w:val="00D24FA6"/>
    <w:rsid w:val="00D544D2"/>
    <w:rsid w:val="00D660F8"/>
    <w:rsid w:val="00D744C5"/>
    <w:rsid w:val="00D827AF"/>
    <w:rsid w:val="00D8451F"/>
    <w:rsid w:val="00D8474D"/>
    <w:rsid w:val="00D84D5B"/>
    <w:rsid w:val="00D86771"/>
    <w:rsid w:val="00D90C73"/>
    <w:rsid w:val="00D90F17"/>
    <w:rsid w:val="00D9480E"/>
    <w:rsid w:val="00D94FFD"/>
    <w:rsid w:val="00DA7038"/>
    <w:rsid w:val="00DB4AF2"/>
    <w:rsid w:val="00DB572A"/>
    <w:rsid w:val="00DC14B3"/>
    <w:rsid w:val="00DC399C"/>
    <w:rsid w:val="00DC7D6D"/>
    <w:rsid w:val="00DD2999"/>
    <w:rsid w:val="00DD2B43"/>
    <w:rsid w:val="00DD2CF8"/>
    <w:rsid w:val="00DD5C58"/>
    <w:rsid w:val="00DE240B"/>
    <w:rsid w:val="00DE529C"/>
    <w:rsid w:val="00DE6D9E"/>
    <w:rsid w:val="00DF3482"/>
    <w:rsid w:val="00DF450F"/>
    <w:rsid w:val="00E04A58"/>
    <w:rsid w:val="00E07425"/>
    <w:rsid w:val="00E07A05"/>
    <w:rsid w:val="00E16025"/>
    <w:rsid w:val="00E167FD"/>
    <w:rsid w:val="00E16F50"/>
    <w:rsid w:val="00E24179"/>
    <w:rsid w:val="00E31783"/>
    <w:rsid w:val="00E36636"/>
    <w:rsid w:val="00E43A34"/>
    <w:rsid w:val="00E44D37"/>
    <w:rsid w:val="00E52850"/>
    <w:rsid w:val="00E609A5"/>
    <w:rsid w:val="00E61928"/>
    <w:rsid w:val="00E656D2"/>
    <w:rsid w:val="00E7276C"/>
    <w:rsid w:val="00E84382"/>
    <w:rsid w:val="00E9180B"/>
    <w:rsid w:val="00EA0646"/>
    <w:rsid w:val="00EA2BA4"/>
    <w:rsid w:val="00EA3103"/>
    <w:rsid w:val="00EB15C1"/>
    <w:rsid w:val="00EC325A"/>
    <w:rsid w:val="00EC3A8E"/>
    <w:rsid w:val="00EC57F0"/>
    <w:rsid w:val="00ED68AF"/>
    <w:rsid w:val="00EF2E7C"/>
    <w:rsid w:val="00F01A6E"/>
    <w:rsid w:val="00F11811"/>
    <w:rsid w:val="00F20178"/>
    <w:rsid w:val="00F23C6C"/>
    <w:rsid w:val="00F24BC8"/>
    <w:rsid w:val="00F25045"/>
    <w:rsid w:val="00F30F3E"/>
    <w:rsid w:val="00F32002"/>
    <w:rsid w:val="00F4605D"/>
    <w:rsid w:val="00F51EF5"/>
    <w:rsid w:val="00F74928"/>
    <w:rsid w:val="00F8197E"/>
    <w:rsid w:val="00F833B1"/>
    <w:rsid w:val="00F87D90"/>
    <w:rsid w:val="00F90495"/>
    <w:rsid w:val="00FA4179"/>
    <w:rsid w:val="00FB4362"/>
    <w:rsid w:val="00FB53A1"/>
    <w:rsid w:val="00FD30CF"/>
    <w:rsid w:val="00FE0E46"/>
    <w:rsid w:val="00FF0AEC"/>
    <w:rsid w:val="00FF1DF4"/>
    <w:rsid w:val="00FF4165"/>
    <w:rsid w:val="02E03DF9"/>
    <w:rsid w:val="09C53944"/>
    <w:rsid w:val="0D8A75CE"/>
    <w:rsid w:val="113741D2"/>
    <w:rsid w:val="11912A79"/>
    <w:rsid w:val="13387E1C"/>
    <w:rsid w:val="14C65C71"/>
    <w:rsid w:val="18330BA7"/>
    <w:rsid w:val="1B395F40"/>
    <w:rsid w:val="1D34261E"/>
    <w:rsid w:val="1E4F45EB"/>
    <w:rsid w:val="1F7C6641"/>
    <w:rsid w:val="24A24508"/>
    <w:rsid w:val="256F6ED4"/>
    <w:rsid w:val="2C4A6670"/>
    <w:rsid w:val="3F6251B6"/>
    <w:rsid w:val="3FB0468A"/>
    <w:rsid w:val="42A05423"/>
    <w:rsid w:val="48D32C81"/>
    <w:rsid w:val="4C433C79"/>
    <w:rsid w:val="50526B81"/>
    <w:rsid w:val="527E074E"/>
    <w:rsid w:val="56393C72"/>
    <w:rsid w:val="579503FF"/>
    <w:rsid w:val="60535296"/>
    <w:rsid w:val="60B62814"/>
    <w:rsid w:val="68A05F80"/>
    <w:rsid w:val="68DB3760"/>
    <w:rsid w:val="6DC67B7D"/>
    <w:rsid w:val="72FD2525"/>
    <w:rsid w:val="735760D9"/>
    <w:rsid w:val="774626EC"/>
    <w:rsid w:val="78106856"/>
    <w:rsid w:val="7AD207C0"/>
    <w:rsid w:val="7ECE7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7"/>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autoRedefine/>
    <w:qFormat/>
    <w:uiPriority w:val="0"/>
    <w:pPr>
      <w:jc w:val="left"/>
    </w:pPr>
  </w:style>
  <w:style w:type="paragraph" w:styleId="4">
    <w:name w:val="Balloon Text"/>
    <w:basedOn w:val="1"/>
    <w:link w:val="16"/>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20"/>
    <w:autoRedefine/>
    <w:qFormat/>
    <w:uiPriority w:val="0"/>
    <w:rPr>
      <w:b/>
      <w:bCs/>
    </w:rPr>
  </w:style>
  <w:style w:type="character" w:styleId="10">
    <w:name w:val="Strong"/>
    <w:basedOn w:val="9"/>
    <w:qFormat/>
    <w:uiPriority w:val="22"/>
    <w:rPr>
      <w:b/>
    </w:rPr>
  </w:style>
  <w:style w:type="character" w:styleId="11">
    <w:name w:val="line number"/>
    <w:autoRedefine/>
    <w:qFormat/>
    <w:uiPriority w:val="0"/>
  </w:style>
  <w:style w:type="character" w:styleId="12">
    <w:name w:val="annotation reference"/>
    <w:autoRedefine/>
    <w:qFormat/>
    <w:uiPriority w:val="0"/>
    <w:rPr>
      <w:sz w:val="21"/>
      <w:szCs w:val="21"/>
    </w:rPr>
  </w:style>
  <w:style w:type="character" w:customStyle="1" w:styleId="13">
    <w:name w:val="页脚 Char"/>
    <w:link w:val="5"/>
    <w:qFormat/>
    <w:uiPriority w:val="0"/>
    <w:rPr>
      <w:sz w:val="18"/>
      <w:szCs w:val="18"/>
    </w:rPr>
  </w:style>
  <w:style w:type="character" w:customStyle="1" w:styleId="14">
    <w:name w:val="页眉 Char"/>
    <w:link w:val="6"/>
    <w:autoRedefine/>
    <w:qFormat/>
    <w:uiPriority w:val="0"/>
    <w:rPr>
      <w:sz w:val="18"/>
      <w:szCs w:val="18"/>
    </w:rPr>
  </w:style>
  <w:style w:type="paragraph" w:styleId="15">
    <w:name w:val="List Paragraph"/>
    <w:basedOn w:val="1"/>
    <w:qFormat/>
    <w:uiPriority w:val="0"/>
    <w:pPr>
      <w:ind w:firstLine="420" w:firstLineChars="200"/>
    </w:pPr>
  </w:style>
  <w:style w:type="character" w:customStyle="1" w:styleId="16">
    <w:name w:val="批注框文本 Char"/>
    <w:link w:val="4"/>
    <w:qFormat/>
    <w:uiPriority w:val="0"/>
    <w:rPr>
      <w:kern w:val="2"/>
      <w:sz w:val="18"/>
      <w:szCs w:val="18"/>
    </w:rPr>
  </w:style>
  <w:style w:type="character" w:customStyle="1" w:styleId="17">
    <w:name w:val="标题 1 Char"/>
    <w:link w:val="2"/>
    <w:autoRedefine/>
    <w:qFormat/>
    <w:uiPriority w:val="0"/>
    <w:rPr>
      <w:rFonts w:ascii="Times New Roman" w:hAnsi="Times New Roman"/>
      <w:b/>
      <w:bCs/>
      <w:kern w:val="44"/>
      <w:sz w:val="44"/>
      <w:szCs w:val="44"/>
    </w:rPr>
  </w:style>
  <w:style w:type="paragraph" w:customStyle="1" w:styleId="18">
    <w:name w:val="TOC Heading"/>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19">
    <w:name w:val="批注文字 Char"/>
    <w:link w:val="3"/>
    <w:qFormat/>
    <w:uiPriority w:val="0"/>
    <w:rPr>
      <w:kern w:val="2"/>
      <w:sz w:val="21"/>
      <w:szCs w:val="22"/>
    </w:rPr>
  </w:style>
  <w:style w:type="character" w:customStyle="1" w:styleId="20">
    <w:name w:val="批注主题 Char"/>
    <w:link w:val="7"/>
    <w:qFormat/>
    <w:uiPriority w:val="0"/>
    <w:rPr>
      <w:b/>
      <w:bCs/>
      <w:kern w:val="2"/>
      <w:sz w:val="21"/>
      <w:szCs w:val="22"/>
    </w:rPr>
  </w:style>
  <w:style w:type="character" w:customStyle="1" w:styleId="21">
    <w:name w:val="fontstyle01"/>
    <w:autoRedefine/>
    <w:qFormat/>
    <w:uiPriority w:val="0"/>
    <w:rPr>
      <w:rFonts w:hint="eastAsia" w:ascii="仿宋_GB2312" w:eastAsia="仿宋_GB2312"/>
      <w:color w:val="000000"/>
      <w:sz w:val="32"/>
      <w:szCs w:val="32"/>
    </w:rPr>
  </w:style>
  <w:style w:type="character" w:customStyle="1" w:styleId="22">
    <w:name w:val="fontstyle21"/>
    <w:autoRedefine/>
    <w:qFormat/>
    <w:uiPriority w:val="0"/>
    <w:rPr>
      <w:rFonts w:hint="default" w:ascii="TimesNewRomanPSMT" w:hAnsi="TimesNewRomanPSMT"/>
      <w:color w:val="000000"/>
      <w:sz w:val="32"/>
      <w:szCs w:val="32"/>
    </w:rPr>
  </w:style>
  <w:style w:type="character" w:customStyle="1" w:styleId="23">
    <w:name w:val="fontstyle11"/>
    <w:autoRedefine/>
    <w:qFormat/>
    <w:uiPriority w:val="0"/>
    <w:rPr>
      <w:rFonts w:hint="eastAsia" w:ascii="仿宋_GB2312" w:eastAsia="仿宋_GB2312"/>
      <w:color w:val="000000"/>
      <w:sz w:val="32"/>
      <w:szCs w:val="32"/>
    </w:rPr>
  </w:style>
  <w:style w:type="character" w:customStyle="1" w:styleId="24">
    <w:name w:val="fontstyle31"/>
    <w:autoRedefine/>
    <w:qFormat/>
    <w:uiPriority w:val="0"/>
    <w:rPr>
      <w:rFonts w:hint="default" w:ascii="TimesNewRomanPSMT" w:hAnsi="TimesNewRomanPSMT"/>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beijing</Company>
  <Pages>14</Pages>
  <Words>5309</Words>
  <Characters>5745</Characters>
  <Lines>68</Lines>
  <Paragraphs>19</Paragraphs>
  <TotalTime>31</TotalTime>
  <ScaleCrop>false</ScaleCrop>
  <LinksUpToDate>false</LinksUpToDate>
  <CharactersWithSpaces>5826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2024-01-30T09:03:00Z</dcterms:created>
  <dc:creator>home</dc:creator>
  <cp:lastModifiedBy>Administrator</cp:lastModifiedBy>
  <cp:lastPrinted>2025-02-12T14:25:49Z</cp:lastPrinted>
  <dcterms:modified xsi:type="dcterms:W3CDTF">2025-02-12T14:31:55Z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E2F1992F3BF4484CB392EA96A937E25A_13</vt:lpwstr>
  </property>
  <property fmtid="{D5CDD505-2E9C-101B-9397-08002B2CF9AE}" pid="4" name="KSOTemplateDocerSaveRecord">
    <vt:lpwstr>eyJoZGlkIjoiY2Y2YjE5OTliNjQ2ZGY1OTZmOWQyYTFmMjBhNWI2NmEifQ==</vt:lpwstr>
  </property>
</Properties>
</file>