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4453F425">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华池县发展和改革局</w:t>
      </w:r>
      <w:bookmarkStart w:id="0" w:name="_GoBack"/>
      <w:bookmarkEnd w:id="0"/>
    </w:p>
    <w:p w14:paraId="3378D891">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年单位预算公开情况说明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46F7C297">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134" w:left="1276" w:header="851" w:footer="992" w:gutter="0"/>
          <w:paperSrc/>
          <w:pgNumType w:start="1"/>
          <w:cols w:space="0" w:num="1"/>
          <w:rtlGutter w:val="0"/>
          <w:docGrid w:type="lines" w:linePitch="312" w:charSpace="0"/>
        </w:sectPr>
      </w:pPr>
    </w:p>
    <w:p w14:paraId="00E51EE1">
      <w:pPr>
        <w:spacing w:line="600" w:lineRule="exact"/>
        <w:ind w:firstLine="643" w:firstLineChars="200"/>
        <w:rPr>
          <w:rFonts w:hint="eastAsia" w:ascii="仿宋_GB2312" w:hAnsi="黑体" w:eastAsia="仿宋_GB2312" w:cs="宋体"/>
          <w:b/>
          <w:kern w:val="0"/>
          <w:sz w:val="32"/>
          <w:szCs w:val="32"/>
        </w:rPr>
      </w:pPr>
    </w:p>
    <w:p w14:paraId="05CD5983">
      <w:pPr>
        <w:spacing w:line="600" w:lineRule="exact"/>
        <w:ind w:firstLine="643" w:firstLineChars="200"/>
        <w:rPr>
          <w:rFonts w:hint="eastAsia" w:ascii="仿宋_GB2312" w:hAnsi="黑体" w:eastAsia="仿宋_GB2312" w:cs="宋体"/>
          <w:b/>
          <w:kern w:val="0"/>
          <w:sz w:val="32"/>
          <w:szCs w:val="32"/>
        </w:r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4323632E">
      <w:pPr>
        <w:spacing w:line="600" w:lineRule="exact"/>
        <w:ind w:left="319" w:leftChars="152" w:firstLine="320" w:firstLineChars="100"/>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本单位是</w:t>
      </w:r>
      <w:r>
        <w:rPr>
          <w:rFonts w:hint="eastAsia" w:ascii="仿宋_GB2312" w:hAnsi="仿宋" w:eastAsia="仿宋_GB2312" w:cs="宋体"/>
          <w:kern w:val="0"/>
          <w:sz w:val="32"/>
          <w:szCs w:val="32"/>
        </w:rPr>
        <w:t>政府正科级组成部门,加挂华池县粮食和物资储备局牌子，承担军民融合具体工作。主要职责为：一是拟订并组织实施全县国民经济和社会发展中长期规划和年度计划，统筹协调全县经济社会发展，研判经济发展趋势，提出国民经济发展、价格总水平调控和优化重大经济结构的目标、政策，提出综合运用各种经济手段和政策的建议，受县政府委托向县人民代表大会及其常委会提交全县国民经济和社会发展计划的报告。二是负责监测全县经济和社会发展态势，承担预测预警和信息引导的职责，研究宏观经济运行、总量平衡、经济安全等重大问题并提出相关政策建议；承担规划全县重大项目和生产力布局职责，提出全社会固定资产投资总规模;研究确定和管理重大建设项目，协调解决重大项目建设中的问题;按规定权限审批、核准、备案、申报建设项目;按规定权限负责全县政府投资项目（除工业和通信业项目外）的可行性研究报告申报、实施管理和竣工验收工作;负责项目培训、考核工作;引导民间投资方向。三是指导和综合协调推进全县经济体制改革工作，组织拟订综合性经济体制改革方案，审定专项经济体制改革方案;指导协调全县经济体制综合配套改革试点工作。四是研究全县国民经济与国防建设的关系，组织编制国民经济动员规划、计划，拟订推进经济建设与国防建设协调发展的战略和规划，协调相关重大问题，组织实施全县国民经济动员有关工作。五是拟订并组织实施全县价格和收费政策及管理目录，依法进行监督管理;负责制定、调整县域内价格和收费标准，指导全县价格与收费的监督检查;指导成本调查、市场价格监测、信息发布、价格鉴定、价格认证等工作。六是提出全县利用外资的总规模和投向，指导和监督国外贷款资金的使用和项目的实施，同时，对全县重大建设项目招投标进行监督检查等。</w:t>
      </w:r>
    </w:p>
    <w:p w14:paraId="720E48B4">
      <w:pPr>
        <w:spacing w:line="600" w:lineRule="exact"/>
        <w:ind w:left="319" w:leftChars="152" w:firstLine="320" w:firstLineChars="1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42C767FA">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仿宋" w:eastAsia="仿宋_GB2312" w:cs="仿宋"/>
          <w:sz w:val="32"/>
          <w:szCs w:val="32"/>
        </w:rPr>
      </w:pPr>
      <w:r>
        <w:rPr>
          <w:rFonts w:hint="default" w:ascii="仿宋_GB2312" w:hAnsi="Calibri" w:eastAsia="仿宋_GB2312" w:cs="仿宋_GB2312"/>
          <w:kern w:val="0"/>
          <w:sz w:val="32"/>
          <w:szCs w:val="32"/>
          <w:lang w:val="en-US" w:eastAsia="zh-CN" w:bidi="ar"/>
        </w:rPr>
        <w:t>华池县发改局内设机构</w:t>
      </w:r>
      <w:r>
        <w:rPr>
          <w:rFonts w:hint="eastAsia" w:ascii="仿宋_GB2312" w:eastAsia="仿宋_GB2312" w:cs="仿宋_GB2312"/>
          <w:kern w:val="0"/>
          <w:sz w:val="32"/>
          <w:szCs w:val="32"/>
          <w:lang w:val="en-US" w:eastAsia="zh-CN" w:bidi="ar"/>
        </w:rPr>
        <w:t>8</w:t>
      </w:r>
      <w:r>
        <w:rPr>
          <w:rFonts w:hint="default" w:ascii="仿宋_GB2312" w:hAnsi="Calibri" w:eastAsia="仿宋_GB2312" w:cs="仿宋_GB2312"/>
          <w:kern w:val="0"/>
          <w:sz w:val="32"/>
          <w:szCs w:val="32"/>
          <w:lang w:val="en-US" w:eastAsia="zh-CN" w:bidi="ar"/>
        </w:rPr>
        <w:t>个股室，人秘股主办人秘、后勤管理、财贸口及二级单位等业务，承担市发改委人秘科交办或对应的其他业务；农经股主办农村经济、易地扶贫搬迁等业务，承担市发改委农经科交办或对应的其他业务、以工代赈、巩固退耕还林成果等业务，承办市发改委以工代赈办交办或对应的业务；投资股主办城镇基础设施建设、党群、政法、商贸流通审批，中央预算内投资、专项基金业务，负责全县固定资产投资计划拟定、统计，承办市发改委投资科、综合科、环资科交办或对应的业务、乡镇项目审批、稳评、环资、节能、安全生产、综合治理、招商引资等业务；交通能源股主办交通、能源、电力等业务，承办市发改委交通科交办或对应的业务；社会股主办社会事业、经济动员等业务，承办市发改委社会科交办或对应的业务；产业和体改股主办党支部、三项建设、纪检监察等业务，承担产业开发协调、经济体改</w:t>
      </w:r>
      <w:r>
        <w:rPr>
          <w:rFonts w:hint="eastAsia" w:ascii="仿宋_GB2312"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配合人秘股工作</w:t>
      </w:r>
      <w:r>
        <w:rPr>
          <w:rFonts w:hint="eastAsia" w:ascii="仿宋_GB2312"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粮食和物资储备管理股、价格和社会信用管理股</w:t>
      </w:r>
      <w:r>
        <w:rPr>
          <w:rFonts w:hint="eastAsia" w:ascii="仿宋_GB2312" w:eastAsia="仿宋_GB2312" w:cs="仿宋_GB2312"/>
          <w:kern w:val="0"/>
          <w:sz w:val="32"/>
          <w:szCs w:val="32"/>
          <w:lang w:val="en-US" w:eastAsia="zh-CN" w:bidi="ar"/>
        </w:rPr>
        <w:t>。</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791.94</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960" w:firstLineChars="3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791.94</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791.94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DC38958">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ABC9C5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 xml:space="preserve">0 </w:t>
      </w:r>
      <w:r>
        <w:rPr>
          <w:rFonts w:hint="eastAsia" w:ascii="仿宋_GB2312" w:hAnsi="仿宋" w:eastAsia="仿宋_GB2312"/>
          <w:sz w:val="32"/>
          <w:szCs w:val="32"/>
        </w:rPr>
        <w:t>%；</w:t>
      </w:r>
    </w:p>
    <w:p w14:paraId="745038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 xml:space="preserve">0 </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w:t>
      </w:r>
      <w:r>
        <w:rPr>
          <w:rFonts w:hint="eastAsia" w:ascii="仿宋_GB2312" w:hAnsi="仿宋" w:eastAsia="仿宋_GB2312"/>
          <w:sz w:val="32"/>
          <w:szCs w:val="32"/>
          <w:lang w:eastAsia="zh-CN"/>
        </w:rPr>
        <w:t>算</w:t>
      </w:r>
      <w:r>
        <w:rPr>
          <w:rFonts w:hint="eastAsia" w:ascii="仿宋_GB2312" w:hAnsi="仿宋" w:eastAsia="仿宋_GB2312"/>
          <w:sz w:val="32"/>
          <w:szCs w:val="32"/>
          <w:lang w:val="en-US" w:eastAsia="zh-CN"/>
        </w:rPr>
        <w:t>791.94</w:t>
      </w:r>
      <w:r>
        <w:rPr>
          <w:rFonts w:hint="eastAsia" w:ascii="仿宋_GB2312" w:hAnsi="仿宋" w:eastAsia="仿宋_GB2312"/>
          <w:sz w:val="32"/>
          <w:szCs w:val="32"/>
        </w:rPr>
        <w:t>万元（详见部门/单位预算公开表3）。</w:t>
      </w:r>
      <w:r>
        <w:rPr>
          <w:rStyle w:val="20"/>
          <w:rFonts w:hint="default" w:hAnsi="仿宋"/>
        </w:rPr>
        <w:t>其中：基本支出</w:t>
      </w:r>
      <w:r>
        <w:rPr>
          <w:rStyle w:val="21"/>
          <w:rFonts w:hint="eastAsia" w:ascii="仿宋_GB2312" w:hAnsi="仿宋" w:eastAsia="仿宋_GB2312"/>
          <w:lang w:val="en-US" w:eastAsia="zh-CN"/>
        </w:rPr>
        <w:t>491.94</w:t>
      </w:r>
      <w:r>
        <w:rPr>
          <w:rStyle w:val="20"/>
          <w:rFonts w:hint="default" w:hAnsi="仿宋"/>
        </w:rPr>
        <w:t>万元，占</w:t>
      </w:r>
      <w:r>
        <w:rPr>
          <w:rStyle w:val="20"/>
          <w:rFonts w:hint="eastAsia" w:hAnsi="仿宋" w:eastAsia="仿宋_GB2312"/>
          <w:lang w:val="en-US" w:eastAsia="zh-CN"/>
        </w:rPr>
        <w:t>62.37</w:t>
      </w:r>
      <w:r>
        <w:rPr>
          <w:rStyle w:val="21"/>
          <w:rFonts w:hint="eastAsia" w:ascii="仿宋_GB2312" w:hAnsi="仿宋" w:eastAsia="仿宋_GB2312"/>
        </w:rPr>
        <w:t>%</w:t>
      </w:r>
      <w:r>
        <w:rPr>
          <w:rStyle w:val="20"/>
          <w:rFonts w:hint="default" w:hAnsi="仿宋"/>
        </w:rPr>
        <w:t>；项目支出</w:t>
      </w:r>
      <w:r>
        <w:rPr>
          <w:rStyle w:val="20"/>
          <w:rFonts w:hint="eastAsia" w:hAnsi="仿宋" w:eastAsia="仿宋_GB2312"/>
          <w:lang w:val="en-US" w:eastAsia="zh-CN"/>
        </w:rPr>
        <w:t>298.00</w:t>
      </w:r>
      <w:r>
        <w:rPr>
          <w:rStyle w:val="20"/>
          <w:rFonts w:hint="default" w:hAnsi="仿宋"/>
        </w:rPr>
        <w:t>万元，占</w:t>
      </w:r>
      <w:r>
        <w:rPr>
          <w:rStyle w:val="21"/>
          <w:rFonts w:hint="eastAsia" w:ascii="仿宋_GB2312" w:hAnsi="仿宋" w:eastAsia="仿宋_GB2312"/>
          <w:lang w:val="en-US" w:eastAsia="zh-CN"/>
        </w:rPr>
        <w:t>37.63</w:t>
      </w:r>
      <w:r>
        <w:rPr>
          <w:rStyle w:val="21"/>
          <w:rFonts w:hint="eastAsia" w:ascii="仿宋_GB2312" w:hAnsi="仿宋" w:eastAsia="仿宋_GB2312"/>
        </w:rPr>
        <w:t>%</w:t>
      </w:r>
      <w:r>
        <w:rPr>
          <w:rStyle w:val="20"/>
          <w:rFonts w:hint="default" w:hAnsi="仿宋"/>
        </w:rPr>
        <w:t>； 上年结转</w:t>
      </w:r>
      <w:r>
        <w:rPr>
          <w:rStyle w:val="21"/>
          <w:rFonts w:hint="eastAsia" w:ascii="仿宋_GB2312" w:hAnsi="仿宋" w:eastAsia="仿宋_GB2312"/>
          <w:lang w:val="en-US" w:eastAsia="zh-CN"/>
        </w:rPr>
        <w:t>0.00</w:t>
      </w:r>
      <w:r>
        <w:rPr>
          <w:rStyle w:val="20"/>
          <w:rFonts w:hint="default" w:hAnsi="仿宋"/>
        </w:rPr>
        <w:t>万元，占</w:t>
      </w:r>
      <w:r>
        <w:rPr>
          <w:rStyle w:val="21"/>
          <w:rFonts w:hint="eastAsia" w:ascii="仿宋_GB2312" w:hAnsi="仿宋" w:eastAsia="仿宋_GB2312"/>
          <w:lang w:val="en-US" w:eastAsia="zh-CN"/>
        </w:rPr>
        <w:t>0</w:t>
      </w:r>
      <w:r>
        <w:rPr>
          <w:rStyle w:val="21"/>
          <w:rFonts w:hint="eastAsia" w:ascii="仿宋_GB2312" w:hAnsi="仿宋" w:eastAsia="仿宋_GB2312"/>
        </w:rPr>
        <w:t>%</w:t>
      </w:r>
      <w:r>
        <w:rPr>
          <w:rStyle w:val="20"/>
          <w:rFonts w:hint="default" w:hAnsi="仿宋"/>
        </w:rPr>
        <w:t>。</w:t>
      </w:r>
    </w:p>
    <w:p w14:paraId="1B210286">
      <w:pPr>
        <w:numPr>
          <w:ilvl w:val="0"/>
          <w:numId w:val="1"/>
        </w:num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一般公共预算情况</w:t>
      </w:r>
    </w:p>
    <w:p w14:paraId="0F3C656B">
      <w:pPr>
        <w:numPr>
          <w:ilvl w:val="0"/>
          <w:numId w:val="0"/>
        </w:numPr>
        <w:adjustRightInd w:val="0"/>
        <w:snapToGrid w:val="0"/>
        <w:spacing w:line="640" w:lineRule="exact"/>
        <w:ind w:firstLine="640" w:firstLineChars="200"/>
        <w:contextualSpacing/>
        <w:rPr>
          <w:rFonts w:ascii="仿宋_GB2312" w:hAnsi="仿宋" w:eastAsia="仿宋_GB2312"/>
          <w:sz w:val="32"/>
          <w:szCs w:val="32"/>
        </w:rPr>
      </w:pPr>
      <w:r>
        <w:rPr>
          <w:rStyle w:val="21"/>
          <w:rFonts w:hint="eastAsia" w:ascii="仿宋_GB2312" w:hAnsi="仿宋" w:eastAsia="仿宋_GB2312"/>
          <w:lang w:eastAsia="zh-CN"/>
        </w:rPr>
        <w:t>2025</w:t>
      </w:r>
      <w:r>
        <w:rPr>
          <w:rStyle w:val="21"/>
          <w:rFonts w:hint="eastAsia" w:ascii="仿宋_GB2312" w:hAnsi="仿宋" w:eastAsia="仿宋_GB2312"/>
        </w:rPr>
        <w:t xml:space="preserve"> </w:t>
      </w:r>
      <w:r>
        <w:rPr>
          <w:rStyle w:val="20"/>
          <w:rFonts w:hint="default" w:hAnsi="仿宋"/>
        </w:rPr>
        <w:t>年一般公共预算当年支出</w:t>
      </w:r>
      <w:r>
        <w:rPr>
          <w:rStyle w:val="21"/>
          <w:rFonts w:hint="eastAsia" w:ascii="仿宋_GB2312" w:hAnsi="仿宋" w:eastAsia="仿宋_GB2312"/>
          <w:lang w:val="en-US" w:eastAsia="zh-CN"/>
        </w:rPr>
        <w:t>791.94</w:t>
      </w:r>
      <w:r>
        <w:rPr>
          <w:rStyle w:val="20"/>
          <w:rFonts w:hint="default" w:hAnsi="仿宋"/>
        </w:rPr>
        <w:t>万元，包括：一般公共服务支出</w:t>
      </w:r>
      <w:r>
        <w:rPr>
          <w:rStyle w:val="21"/>
          <w:rFonts w:hint="eastAsia" w:ascii="仿宋_GB2312" w:hAnsi="仿宋" w:eastAsia="仿宋_GB2312"/>
          <w:lang w:val="en-US" w:eastAsia="zh-CN"/>
        </w:rPr>
        <w:t>469.64</w:t>
      </w:r>
      <w:r>
        <w:rPr>
          <w:rStyle w:val="20"/>
          <w:rFonts w:hint="default" w:hAnsi="仿宋"/>
        </w:rPr>
        <w:t>万元、公共安全支出</w:t>
      </w:r>
      <w:r>
        <w:rPr>
          <w:rStyle w:val="21"/>
          <w:rFonts w:hint="eastAsia" w:ascii="仿宋_GB2312" w:hAnsi="仿宋" w:eastAsia="仿宋_GB2312"/>
          <w:lang w:val="en-US" w:eastAsia="zh-CN"/>
        </w:rPr>
        <w:t>0.00</w:t>
      </w:r>
      <w:r>
        <w:rPr>
          <w:rStyle w:val="20"/>
          <w:rFonts w:hint="default" w:hAnsi="仿宋"/>
        </w:rPr>
        <w:t>万元、教育支出</w:t>
      </w:r>
      <w:r>
        <w:rPr>
          <w:rStyle w:val="21"/>
          <w:rFonts w:hint="eastAsia" w:ascii="仿宋_GB2312" w:hAnsi="仿宋" w:eastAsia="仿宋_GB2312"/>
          <w:lang w:val="en-US" w:eastAsia="zh-CN"/>
        </w:rPr>
        <w:t>0.00</w:t>
      </w:r>
      <w:r>
        <w:rPr>
          <w:rStyle w:val="20"/>
          <w:rFonts w:hint="default" w:hAnsi="仿宋"/>
        </w:rPr>
        <w:t>万元、科学技术支出</w:t>
      </w:r>
      <w:r>
        <w:rPr>
          <w:rStyle w:val="21"/>
          <w:rFonts w:hint="eastAsia" w:ascii="仿宋_GB2312" w:hAnsi="仿宋" w:eastAsia="仿宋_GB2312"/>
          <w:lang w:val="en-US" w:eastAsia="zh-CN"/>
        </w:rPr>
        <w:t>0.00</w:t>
      </w:r>
      <w:r>
        <w:rPr>
          <w:rStyle w:val="20"/>
          <w:rFonts w:hint="default" w:hAnsi="仿宋"/>
        </w:rPr>
        <w:t>万元、社会保障和就业支出</w:t>
      </w:r>
      <w:r>
        <w:rPr>
          <w:rStyle w:val="21"/>
          <w:rFonts w:hint="eastAsia" w:ascii="仿宋_GB2312" w:hAnsi="仿宋" w:eastAsia="仿宋_GB2312"/>
          <w:lang w:val="en-US" w:eastAsia="zh-CN"/>
        </w:rPr>
        <w:t>75.55</w:t>
      </w:r>
      <w:r>
        <w:rPr>
          <w:rStyle w:val="20"/>
          <w:rFonts w:hint="default" w:hAnsi="仿宋"/>
        </w:rPr>
        <w:t>万元</w:t>
      </w:r>
      <w:r>
        <w:rPr>
          <w:rStyle w:val="20"/>
          <w:rFonts w:hint="eastAsia" w:hAnsi="仿宋" w:eastAsia="仿宋_GB2312"/>
          <w:lang w:eastAsia="zh-CN"/>
        </w:rPr>
        <w:t>、</w:t>
      </w:r>
      <w:r>
        <w:rPr>
          <w:rStyle w:val="20"/>
          <w:rFonts w:hint="default" w:hAnsi="仿宋"/>
        </w:rPr>
        <w:t>卫生健康支出</w:t>
      </w:r>
      <w:r>
        <w:rPr>
          <w:rStyle w:val="20"/>
          <w:rFonts w:hint="eastAsia" w:hAnsi="仿宋" w:eastAsia="仿宋_GB2312"/>
          <w:lang w:val="en-US" w:eastAsia="zh-CN"/>
        </w:rPr>
        <w:t>24.04万元、住房保障支出32.71万元</w:t>
      </w:r>
      <w:r>
        <w:rPr>
          <w:rStyle w:val="20"/>
          <w:rFonts w:hint="default" w:hAnsi="仿宋"/>
        </w:rPr>
        <w:t>、粮油物资储备支出</w:t>
      </w:r>
      <w:r>
        <w:rPr>
          <w:rStyle w:val="20"/>
          <w:rFonts w:hint="eastAsia" w:hAnsi="仿宋" w:eastAsia="仿宋_GB2312"/>
          <w:lang w:val="en-US" w:eastAsia="zh-CN"/>
        </w:rPr>
        <w:t>190万元、</w:t>
      </w:r>
      <w:r>
        <w:rPr>
          <w:rStyle w:val="20"/>
          <w:rFonts w:hint="default" w:hAnsi="仿宋"/>
        </w:rPr>
        <w:t>其他支出</w:t>
      </w:r>
      <w:r>
        <w:rPr>
          <w:rStyle w:val="21"/>
          <w:rFonts w:hint="eastAsia" w:ascii="仿宋_GB2312" w:hAnsi="仿宋" w:eastAsia="仿宋_GB2312"/>
          <w:lang w:val="en-US" w:eastAsia="zh-CN"/>
        </w:rPr>
        <w:t>0.00</w:t>
      </w:r>
      <w:r>
        <w:rPr>
          <w:rStyle w:val="20"/>
          <w:rFonts w:hint="default" w:hAnsi="仿宋"/>
        </w:rPr>
        <w:t>万元</w:t>
      </w:r>
      <w:r>
        <w:rPr>
          <w:rStyle w:val="20"/>
          <w:rFonts w:hint="eastAsia" w:hAnsi="仿宋" w:eastAsia="仿宋_GB2312"/>
          <w:lang w:eastAsia="zh-CN"/>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000054EE">
      <w:pPr>
        <w:numPr>
          <w:ilvl w:val="0"/>
          <w:numId w:val="0"/>
        </w:numPr>
        <w:adjustRightInd w:val="0"/>
        <w:snapToGrid w:val="0"/>
        <w:spacing w:line="640" w:lineRule="exact"/>
        <w:ind w:firstLine="640" w:firstLineChars="200"/>
        <w:contextualSpacing/>
        <w:rPr>
          <w:rFonts w:ascii="仿宋_GB2312" w:hAnsi="仿宋" w:eastAsia="仿宋_GB2312"/>
          <w:sz w:val="32"/>
          <w:szCs w:val="32"/>
        </w:rPr>
      </w:pP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493.94</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4.72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0.98</w:t>
      </w:r>
      <w:r>
        <w:rPr>
          <w:rFonts w:hint="eastAsia" w:ascii="仿宋_GB2312" w:hAnsi="仿宋" w:eastAsia="仿宋_GB2312"/>
          <w:sz w:val="32"/>
          <w:szCs w:val="32"/>
        </w:rPr>
        <w:t>%，增长的主要原因是</w:t>
      </w:r>
      <w:r>
        <w:rPr>
          <w:rFonts w:hint="eastAsia" w:ascii="仿宋_GB2312" w:hAnsi="仿宋" w:eastAsia="仿宋_GB2312"/>
          <w:sz w:val="32"/>
          <w:szCs w:val="32"/>
          <w:lang w:val="en-US" w:eastAsia="zh-CN"/>
        </w:rPr>
        <w:t>职工工资增加。</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444.72</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49.22</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5BA8818A">
      <w:pPr>
        <w:numPr>
          <w:ilvl w:val="0"/>
          <w:numId w:val="2"/>
        </w:numPr>
        <w:adjustRightInd w:val="0"/>
        <w:snapToGrid w:val="0"/>
        <w:spacing w:line="640" w:lineRule="exact"/>
        <w:ind w:firstLine="643" w:firstLineChars="200"/>
        <w:contextualSpacing/>
        <w:rPr>
          <w:rFonts w:ascii="仿宋_GB2312" w:hAnsi="仿宋" w:eastAsia="仿宋_GB2312"/>
          <w:sz w:val="32"/>
          <w:szCs w:val="32"/>
        </w:rPr>
      </w:pPr>
      <w:r>
        <w:rPr>
          <w:rFonts w:hint="eastAsia" w:ascii="楷体_GB2312" w:hAnsi="楷体" w:eastAsia="楷体_GB2312" w:cs="宋体"/>
          <w:b/>
          <w:bCs/>
          <w:kern w:val="0"/>
          <w:sz w:val="32"/>
          <w:szCs w:val="32"/>
        </w:rPr>
        <w:t>项目支出</w:t>
      </w:r>
    </w:p>
    <w:p w14:paraId="35973761">
      <w:pPr>
        <w:numPr>
          <w:ilvl w:val="0"/>
          <w:numId w:val="0"/>
        </w:numPr>
        <w:adjustRightInd w:val="0"/>
        <w:snapToGrid w:val="0"/>
        <w:spacing w:line="640" w:lineRule="exact"/>
        <w:ind w:firstLine="640" w:firstLineChars="200"/>
        <w:contextualSpacing/>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298.00</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55.00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22.63</w:t>
      </w:r>
      <w:r>
        <w:rPr>
          <w:rFonts w:hint="eastAsia" w:ascii="仿宋_GB2312" w:hAnsi="仿宋" w:eastAsia="仿宋_GB2312"/>
          <w:sz w:val="32"/>
          <w:szCs w:val="32"/>
        </w:rPr>
        <w:t>%，增长的主要原因是</w:t>
      </w:r>
      <w:r>
        <w:rPr>
          <w:rFonts w:hint="eastAsia" w:ascii="仿宋_GB2312" w:hAnsi="仿宋" w:eastAsia="仿宋_GB2312"/>
          <w:sz w:val="32"/>
          <w:szCs w:val="32"/>
          <w:lang w:eastAsia="zh-CN"/>
        </w:rPr>
        <w:t>新增设</w:t>
      </w:r>
      <w:r>
        <w:rPr>
          <w:rFonts w:hint="eastAsia" w:ascii="仿宋_GB2312" w:hAnsi="仿宋" w:eastAsia="仿宋_GB2312"/>
          <w:sz w:val="32"/>
          <w:szCs w:val="32"/>
          <w:lang w:val="en-US" w:eastAsia="zh-CN"/>
        </w:rPr>
        <w:t>1个项目。</w:t>
      </w:r>
    </w:p>
    <w:p w14:paraId="2DD7CC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其他项目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个，主要是项目1、粮油风险基金</w:t>
      </w:r>
      <w:r>
        <w:rPr>
          <w:rFonts w:hint="eastAsia" w:ascii="仿宋_GB2312" w:hAnsi="仿宋" w:eastAsia="仿宋_GB2312"/>
          <w:sz w:val="32"/>
          <w:szCs w:val="32"/>
          <w:lang w:eastAsia="zh-CN"/>
        </w:rPr>
        <w:t>；</w:t>
      </w:r>
      <w:r>
        <w:rPr>
          <w:rFonts w:hint="eastAsia" w:ascii="仿宋_GB2312" w:hAnsi="仿宋" w:eastAsia="仿宋_GB2312"/>
          <w:sz w:val="32"/>
          <w:szCs w:val="32"/>
        </w:rPr>
        <w:t>项目2、重要民生商品价格调控资金</w:t>
      </w:r>
      <w:r>
        <w:rPr>
          <w:rFonts w:hint="eastAsia" w:ascii="仿宋_GB2312" w:hAnsi="仿宋" w:eastAsia="仿宋_GB2312"/>
          <w:sz w:val="32"/>
          <w:szCs w:val="32"/>
          <w:lang w:eastAsia="zh-CN"/>
        </w:rPr>
        <w:t>；</w:t>
      </w:r>
      <w:r>
        <w:rPr>
          <w:rFonts w:hint="eastAsia" w:ascii="仿宋_GB2312" w:hAnsi="仿宋" w:eastAsia="仿宋_GB2312"/>
          <w:sz w:val="32"/>
          <w:szCs w:val="32"/>
        </w:rPr>
        <w:t>项目3</w:t>
      </w:r>
      <w:r>
        <w:rPr>
          <w:rFonts w:hint="eastAsia" w:ascii="仿宋_GB2312" w:hAnsi="仿宋" w:eastAsia="仿宋_GB2312"/>
          <w:sz w:val="32"/>
          <w:szCs w:val="32"/>
          <w:lang w:eastAsia="zh-CN"/>
        </w:rPr>
        <w:t>、</w:t>
      </w:r>
      <w:r>
        <w:rPr>
          <w:rFonts w:hint="eastAsia" w:ascii="仿宋_GB2312" w:hAnsi="仿宋" w:eastAsia="仿宋_GB2312"/>
          <w:sz w:val="32"/>
          <w:szCs w:val="32"/>
        </w:rPr>
        <w:t>华池县“十五五”国民经济和社会发展规划编制（含4个专项规划、6个课题研究）</w:t>
      </w:r>
      <w:r>
        <w:rPr>
          <w:rFonts w:hint="eastAsia" w:ascii="仿宋_GB2312" w:hAnsi="仿宋" w:eastAsia="仿宋_GB2312"/>
          <w:sz w:val="32"/>
          <w:szCs w:val="32"/>
          <w:lang w:eastAsia="zh-CN"/>
        </w:rPr>
        <w:t>；项目</w:t>
      </w:r>
      <w:r>
        <w:rPr>
          <w:rFonts w:hint="eastAsia" w:ascii="仿宋_GB2312" w:hAnsi="仿宋" w:eastAsia="仿宋_GB2312"/>
          <w:sz w:val="32"/>
          <w:szCs w:val="32"/>
          <w:lang w:val="en-US" w:eastAsia="zh-CN"/>
        </w:rPr>
        <w:t>4、2025年华池县县级应急抢险救灾物资储备补贴</w:t>
      </w:r>
      <w:r>
        <w:rPr>
          <w:rFonts w:hint="eastAsia" w:ascii="仿宋_GB2312" w:hAnsi="仿宋" w:eastAsia="仿宋_GB2312"/>
          <w:sz w:val="32"/>
          <w:szCs w:val="32"/>
        </w:rPr>
        <w:t>。</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6B52960A">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0.15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0.05</w:t>
      </w:r>
      <w:r>
        <w:rPr>
          <w:rFonts w:hint="eastAsia" w:ascii="仿宋_GB2312" w:hAnsi="仿宋" w:eastAsia="仿宋_GB2312"/>
          <w:sz w:val="32"/>
          <w:szCs w:val="32"/>
        </w:rPr>
        <w:t>万元。</w:t>
      </w:r>
    </w:p>
    <w:p w14:paraId="2C1E118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F5E9B4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0.15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25</w:t>
      </w:r>
      <w:r>
        <w:rPr>
          <w:rFonts w:hint="eastAsia" w:ascii="仿宋_GB2312" w:hAnsi="仿宋" w:eastAsia="仿宋_GB2312"/>
          <w:sz w:val="32"/>
          <w:szCs w:val="32"/>
        </w:rPr>
        <w:t>%，下降的主要原因是遵循八项规定，节约公务接待费开支。</w:t>
      </w:r>
    </w:p>
    <w:p w14:paraId="6CC6752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0.00</w:t>
      </w:r>
      <w:r>
        <w:rPr>
          <w:rFonts w:hint="eastAsia" w:ascii="仿宋_GB2312" w:hAnsi="仿宋" w:eastAsia="仿宋_GB2312"/>
          <w:sz w:val="32"/>
          <w:szCs w:val="32"/>
        </w:rPr>
        <w:t xml:space="preserve">万元（其中：公务用车购置    </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万元，公务用车运行维护费</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7ED815E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0.5</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0.65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56.52</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培训人数减少</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0C1AA7BE">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2A2D2C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机关运行经费 </w:t>
      </w:r>
      <w:r>
        <w:rPr>
          <w:rFonts w:hint="eastAsia" w:ascii="仿宋_GB2312" w:hAnsi="仿宋" w:eastAsia="仿宋_GB2312"/>
          <w:sz w:val="32"/>
          <w:szCs w:val="32"/>
          <w:lang w:val="en-US" w:eastAsia="zh-CN"/>
        </w:rPr>
        <w:t>28.08</w:t>
      </w:r>
      <w:r>
        <w:rPr>
          <w:rFonts w:hint="eastAsia" w:ascii="仿宋_GB2312" w:hAnsi="仿宋" w:eastAsia="仿宋_GB2312"/>
          <w:sz w:val="32"/>
          <w:szCs w:val="32"/>
        </w:rPr>
        <w:t>万元，较</w:t>
      </w:r>
      <w:r>
        <w:rPr>
          <w:rFonts w:hint="eastAsia" w:ascii="仿宋_GB2312" w:hAnsi="仿宋" w:eastAsia="仿宋_GB2312"/>
          <w:sz w:val="32"/>
          <w:szCs w:val="32"/>
          <w:lang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2.95</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9.5</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的主要原因是</w:t>
      </w:r>
      <w:r>
        <w:rPr>
          <w:rFonts w:hint="eastAsia" w:ascii="仿宋_GB2312" w:hAnsi="仿宋" w:eastAsia="仿宋_GB2312"/>
          <w:sz w:val="32"/>
          <w:szCs w:val="32"/>
          <w:lang w:val="en-US" w:eastAsia="zh-CN"/>
        </w:rPr>
        <w:t>减少公用经费</w:t>
      </w:r>
      <w:r>
        <w:rPr>
          <w:rFonts w:hint="eastAsia" w:ascii="仿宋_GB2312" w:hAnsi="仿宋" w:eastAsia="仿宋_GB2312"/>
          <w:sz w:val="32"/>
          <w:szCs w:val="32"/>
        </w:rPr>
        <w:t>。</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73FD1C8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10.35</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5.35</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5.00</w:t>
      </w:r>
      <w:r>
        <w:rPr>
          <w:rFonts w:hint="eastAsia" w:ascii="仿宋_GB2312" w:hAnsi="仿宋" w:eastAsia="仿宋_GB2312"/>
          <w:sz w:val="32"/>
          <w:szCs w:val="32"/>
        </w:rPr>
        <w:t>万元。</w:t>
      </w:r>
    </w:p>
    <w:p w14:paraId="51697EF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年，部门（单位）面向中小企业预留政府采购项目预算金额  万元，小微企业预留政府采购项目预算金额</w:t>
      </w:r>
      <w:r>
        <w:rPr>
          <w:rFonts w:hint="eastAsia" w:ascii="仿宋_GB2312" w:hAnsi="仿宋" w:eastAsia="仿宋_GB2312"/>
          <w:sz w:val="32"/>
          <w:szCs w:val="32"/>
          <w:lang w:val="en-US" w:eastAsia="zh-CN"/>
        </w:rPr>
        <w:t>10.35</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051FEC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708.51</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1679.70</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50.62</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年拟采购固定资产约</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2C0B5EAD">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5未安排</w:t>
      </w:r>
      <w:r>
        <w:rPr>
          <w:rFonts w:hint="eastAsia" w:ascii="仿宋_GB2312" w:hAnsi="仿宋" w:eastAsia="仿宋_GB2312"/>
          <w:sz w:val="32"/>
          <w:szCs w:val="32"/>
        </w:rPr>
        <w:t>政府性基金</w:t>
      </w:r>
      <w:r>
        <w:rPr>
          <w:rFonts w:hint="eastAsia" w:ascii="仿宋_GB2312" w:hAnsi="仿宋" w:eastAsia="仿宋_GB2312"/>
          <w:sz w:val="32"/>
          <w:szCs w:val="32"/>
          <w:lang w:eastAsia="zh-CN"/>
        </w:rPr>
        <w:t>，</w:t>
      </w:r>
      <w:r>
        <w:rPr>
          <w:rFonts w:hint="eastAsia" w:ascii="仿宋_GB2312" w:hAnsi="仿宋" w:eastAsia="仿宋_GB2312"/>
          <w:sz w:val="32"/>
          <w:szCs w:val="32"/>
        </w:rPr>
        <w:t>政府性基金预算支出情况表为空表。</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705F41CC">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非说收入</w:t>
      </w:r>
      <w:r>
        <w:rPr>
          <w:rFonts w:hint="eastAsia" w:ascii="仿宋_GB2312" w:hAnsi="仿宋" w:eastAsia="仿宋_GB2312"/>
          <w:sz w:val="32"/>
          <w:szCs w:val="32"/>
        </w:rPr>
        <w:t>支出情况表为空表。</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1CFB37A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选取1个</w:t>
      </w:r>
      <w:r>
        <w:rPr>
          <w:rFonts w:hint="eastAsia" w:ascii="仿宋_GB2312" w:hAnsi="仿宋" w:eastAsia="仿宋_GB2312"/>
          <w:sz w:val="32"/>
          <w:szCs w:val="32"/>
          <w:lang w:eastAsia="zh-CN"/>
        </w:rPr>
        <w:t>2025</w:t>
      </w:r>
      <w:r>
        <w:rPr>
          <w:rFonts w:hint="eastAsia" w:ascii="仿宋_GB2312" w:hAnsi="仿宋" w:eastAsia="仿宋_GB2312"/>
          <w:sz w:val="32"/>
          <w:szCs w:val="32"/>
        </w:rPr>
        <w:t>年部门/单位预算安排的经济社会发展类项目公开项目文本信息，包括项目名称、项目概况、立项依据、实施主体、实施周期、实施计划、年度预算安排、预期总体目标等内容。没有经济社会发展类项目支出的部门/单位可公开其他类项目。</w:t>
      </w:r>
    </w:p>
    <w:p w14:paraId="6B23741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项目名称：粮油风险基金</w:t>
      </w:r>
    </w:p>
    <w:p w14:paraId="3208073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1、项目概况： 根据华政办发【2021】24号关于印发《华池县县级储备粮管理办法》《华池县县级储备成品粮管理办法》《华池县县级储备粮轮换管理办法》的通知规定，县级储备粮油补贴标准为：县级储备粮保管费用和贷款利息为每年每市斤0.12元、县级储备成品粮每年每市斤0.20元、县级储备油每年每市斤1.00元，按季度拨付。县级储备粮7000吨，年补贴1680000.00元、县级储备成品粮300吨，年补贴120000.00元、县级储备油50吨年补贴100000.00元。</w:t>
      </w:r>
    </w:p>
    <w:p w14:paraId="4A3CDD7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2、立项依据：根据华政办发【2021】24号关于印发《华池县县级储备粮管理办法》《华池县县级储备成品粮管理办法》《华池县县级储备粮轮换管理办法》</w:t>
      </w:r>
    </w:p>
    <w:p w14:paraId="05BB61D9">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3、实施主体：</w:t>
      </w:r>
      <w:r>
        <w:rPr>
          <w:rFonts w:hint="eastAsia" w:ascii="仿宋_GB2312" w:hAnsi="仿宋" w:eastAsia="仿宋_GB2312"/>
          <w:sz w:val="32"/>
          <w:szCs w:val="32"/>
          <w:lang w:val="en-US" w:eastAsia="zh-CN"/>
        </w:rPr>
        <w:t>华池县欣荣粮食有限责任公司</w:t>
      </w:r>
    </w:p>
    <w:p w14:paraId="41AF4A40">
      <w:pPr>
        <w:widowControl/>
        <w:adjustRightInd w:val="0"/>
        <w:snapToGrid w:val="0"/>
        <w:spacing w:line="640" w:lineRule="exact"/>
        <w:ind w:firstLine="640" w:firstLineChars="200"/>
        <w:contextualSpacing/>
        <w:jc w:val="left"/>
        <w:rPr>
          <w:rFonts w:hint="eastAsia" w:ascii="仿宋_GB2312" w:hAnsi="仿宋" w:eastAsia="仿宋_GB2312"/>
          <w:sz w:val="32"/>
          <w:szCs w:val="32"/>
          <w:lang w:val="en-US" w:eastAsia="zh-CN"/>
        </w:rPr>
      </w:pPr>
      <w:r>
        <w:rPr>
          <w:rFonts w:hint="eastAsia" w:ascii="仿宋_GB2312" w:hAnsi="仿宋" w:eastAsia="仿宋_GB2312"/>
          <w:sz w:val="32"/>
          <w:szCs w:val="32"/>
        </w:rPr>
        <w:t>4、实施周期：</w:t>
      </w:r>
      <w:r>
        <w:rPr>
          <w:rFonts w:hint="eastAsia" w:ascii="仿宋_GB2312" w:hAnsi="仿宋" w:eastAsia="仿宋_GB2312"/>
          <w:sz w:val="32"/>
          <w:szCs w:val="32"/>
          <w:lang w:val="en-US" w:eastAsia="zh-CN"/>
        </w:rPr>
        <w:t>长期</w:t>
      </w:r>
    </w:p>
    <w:p w14:paraId="52D45E7B">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5、实施计划：</w:t>
      </w:r>
      <w:r>
        <w:rPr>
          <w:rFonts w:hint="eastAsia" w:ascii="仿宋_GB2312" w:hAnsi="仿宋" w:eastAsia="仿宋_GB2312"/>
          <w:sz w:val="32"/>
          <w:szCs w:val="32"/>
          <w:lang w:val="en-US" w:eastAsia="zh-CN"/>
        </w:rPr>
        <w:t>每年190万元</w:t>
      </w:r>
    </w:p>
    <w:p w14:paraId="23B1B4E0">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val="en-US" w:eastAsia="zh-CN"/>
        </w:rPr>
        <w:t>190万元</w:t>
      </w:r>
    </w:p>
    <w:p w14:paraId="176EC42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7、预期总体目标：确保我县县级储备粮油数量真实、质量良好、储存安全，储得进、管得好、调得动、用得上。</w:t>
      </w:r>
    </w:p>
    <w:p w14:paraId="3437D95C">
      <w:pPr>
        <w:adjustRightInd w:val="0"/>
        <w:snapToGrid w:val="0"/>
        <w:spacing w:line="640" w:lineRule="exact"/>
        <w:ind w:firstLine="643" w:firstLineChars="200"/>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02CF97E">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 xml:space="preserve"> 年</w:t>
      </w:r>
      <w:r>
        <w:rPr>
          <w:rFonts w:hint="eastAsia" w:ascii="仿宋_GB2312" w:hAnsi="仿宋" w:eastAsia="仿宋_GB2312"/>
          <w:sz w:val="32"/>
          <w:szCs w:val="32"/>
          <w:lang w:val="en-US" w:eastAsia="zh-CN"/>
        </w:rPr>
        <w:t>本</w:t>
      </w:r>
      <w:r>
        <w:rPr>
          <w:rFonts w:hint="eastAsia" w:ascii="仿宋_GB2312" w:hAnsi="仿宋" w:eastAsia="仿宋_GB2312"/>
          <w:sz w:val="32"/>
          <w:szCs w:val="32"/>
        </w:rPr>
        <w:t>单位</w:t>
      </w:r>
      <w:r>
        <w:rPr>
          <w:rFonts w:hint="eastAsia" w:ascii="仿宋_GB2312" w:hAnsi="仿宋" w:eastAsia="仿宋_GB2312"/>
          <w:sz w:val="32"/>
          <w:szCs w:val="32"/>
          <w:lang w:val="en-US" w:eastAsia="zh-CN"/>
        </w:rPr>
        <w:t>未安排</w:t>
      </w:r>
      <w:r>
        <w:rPr>
          <w:rFonts w:hint="eastAsia" w:ascii="仿宋_GB2312" w:hAnsi="仿宋" w:eastAsia="仿宋_GB2312"/>
          <w:sz w:val="32"/>
          <w:szCs w:val="32"/>
        </w:rPr>
        <w:t>管理转移支付预算，</w:t>
      </w:r>
      <w:r>
        <w:rPr>
          <w:rFonts w:hint="eastAsia" w:ascii="仿宋_GB2312" w:hAnsi="仿宋" w:eastAsia="仿宋_GB2312"/>
          <w:sz w:val="32"/>
          <w:szCs w:val="32"/>
          <w:lang w:val="en-US" w:eastAsia="zh-CN"/>
        </w:rPr>
        <w:t>本</w:t>
      </w:r>
      <w:r>
        <w:rPr>
          <w:rFonts w:hint="eastAsia" w:ascii="仿宋_GB2312" w:hAnsi="仿宋" w:eastAsia="仿宋_GB2312"/>
          <w:sz w:val="32"/>
          <w:szCs w:val="32"/>
        </w:rPr>
        <w:t>单位管理转移支付表为空表。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08F282C7">
      <w:pPr>
        <w:adjustRightInd w:val="0"/>
        <w:snapToGrid w:val="0"/>
        <w:spacing w:line="640" w:lineRule="exact"/>
        <w:ind w:firstLine="640" w:firstLineChars="200"/>
        <w:contextualSpacing/>
        <w:rPr>
          <w:rFonts w:hint="eastAsia" w:ascii="仿宋_GB2312" w:hAnsi="楷体" w:eastAsia="仿宋_GB2312"/>
          <w:sz w:val="32"/>
          <w:szCs w:val="32"/>
        </w:rPr>
      </w:pPr>
      <w:r>
        <w:rPr>
          <w:rFonts w:hint="eastAsia" w:ascii="仿宋_GB2312" w:hAnsi="楷体" w:eastAsia="仿宋_GB2312"/>
          <w:sz w:val="32"/>
          <w:szCs w:val="32"/>
        </w:rPr>
        <w:t xml:space="preserve"> 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w:t>
      </w:r>
      <w:r>
        <w:rPr>
          <w:rFonts w:hint="eastAsia" w:ascii="仿宋_GB2312" w:hAnsi="楷体" w:eastAsia="仿宋_GB2312"/>
          <w:sz w:val="32"/>
          <w:szCs w:val="32"/>
          <w:lang w:val="en-US" w:eastAsia="zh-CN"/>
        </w:rPr>
        <w:t>本单位</w:t>
      </w:r>
      <w:r>
        <w:rPr>
          <w:rFonts w:hint="eastAsia" w:ascii="仿宋_GB2312" w:hAnsi="楷体" w:eastAsia="仿宋_GB2312"/>
          <w:sz w:val="32"/>
          <w:szCs w:val="32"/>
        </w:rPr>
        <w:t>未安排国有资本经营预算支出预算，国有资本经营预算支出情况表为空表。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14:paraId="545CA32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个，按规定随年度预算一并公开项目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14:paraId="0AF9D93A">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w:t>
      </w:r>
      <w:r>
        <w:rPr>
          <w:rFonts w:hint="eastAsia" w:ascii="仿宋_GB2312" w:hAnsi="CIDFont+F6" w:eastAsia="仿宋_GB2312"/>
          <w:color w:val="000000"/>
          <w:sz w:val="32"/>
          <w:szCs w:val="32"/>
        </w:rPr>
        <w:t>部门/单位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%。“双监控”发现存在的问题和主要原因是：</w:t>
      </w:r>
      <w:r>
        <w:rPr>
          <w:rFonts w:hint="eastAsia" w:ascii="仿宋_GB2312" w:hAnsi="仿宋" w:eastAsia="仿宋_GB2312"/>
          <w:sz w:val="32"/>
          <w:szCs w:val="32"/>
          <w:lang w:val="en-US" w:eastAsia="zh-CN"/>
        </w:rPr>
        <w:t>财政资金困难，不能按时支付</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33.33</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val="en-US" w:eastAsia="zh-CN"/>
        </w:rPr>
        <w:t>财政资金困难，不能按时支付</w:t>
      </w:r>
      <w:r>
        <w:rPr>
          <w:rFonts w:hint="eastAsia" w:ascii="仿宋_GB2312" w:hAnsi="仿宋" w:eastAsia="仿宋_GB2312"/>
          <w:sz w:val="32"/>
          <w:szCs w:val="32"/>
        </w:rPr>
        <w:t>。</w:t>
      </w:r>
    </w:p>
    <w:p w14:paraId="034CF0D6">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3</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p>
    <w:p w14:paraId="1B5CB53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0.00</w:t>
      </w:r>
      <w:r>
        <w:rPr>
          <w:rFonts w:hint="eastAsia" w:ascii="仿宋_GB2312" w:hAnsi="仿宋" w:eastAsia="仿宋_GB2312"/>
          <w:sz w:val="32"/>
          <w:szCs w:val="32"/>
        </w:rPr>
        <w:t>万元，</w:t>
      </w:r>
      <w:r>
        <w:rPr>
          <w:rFonts w:hint="eastAsia" w:ascii="仿宋_GB2312" w:hAnsi="仿宋" w:eastAsia="仿宋_GB2312"/>
          <w:sz w:val="32"/>
          <w:szCs w:val="32"/>
          <w:lang w:eastAsia="zh-CN"/>
        </w:rPr>
        <w:t>2025</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005435A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004D867">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p>
    <w:p w14:paraId="7AC07568">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p>
    <w:p w14:paraId="01997491">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p>
    <w:p w14:paraId="0DA22613">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 xml:space="preserve">           </w:t>
      </w:r>
    </w:p>
    <w:p w14:paraId="58A510F7">
      <w:pPr>
        <w:adjustRightInd w:val="0"/>
        <w:snapToGrid w:val="0"/>
        <w:spacing w:line="640" w:lineRule="exact"/>
        <w:ind w:right="1120"/>
        <w:contextualSpacing/>
        <w:jc w:val="center"/>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 xml:space="preserve">                 华池县发展和改革局</w:t>
      </w:r>
    </w:p>
    <w:p w14:paraId="05DDC0D0">
      <w:pPr>
        <w:adjustRightInd w:val="0"/>
        <w:snapToGrid w:val="0"/>
        <w:spacing w:line="640" w:lineRule="exact"/>
        <w:ind w:right="1120"/>
        <w:contextualSpacing/>
        <w:jc w:val="center"/>
        <w:rPr>
          <w:rFonts w:ascii="仿宋_GB2312" w:eastAsia="仿宋_GB2312"/>
          <w:sz w:val="32"/>
          <w:szCs w:val="32"/>
        </w:rPr>
      </w:pPr>
      <w:r>
        <w:rPr>
          <w:rFonts w:hint="eastAsia" w:ascii="仿宋_GB2312" w:hAnsi="CIDFont+F6" w:eastAsia="仿宋_GB2312"/>
          <w:color w:val="000000"/>
          <w:sz w:val="32"/>
          <w:szCs w:val="32"/>
          <w:lang w:val="en-US" w:eastAsia="zh-CN"/>
        </w:rPr>
        <w:t xml:space="preserve">                 2025</w:t>
      </w:r>
      <w:r>
        <w:rPr>
          <w:rFonts w:hint="eastAsia" w:ascii="仿宋_GB2312" w:hAnsi="CIDFont+F6" w:eastAsia="仿宋_GB2312"/>
          <w:color w:val="000000"/>
          <w:sz w:val="32"/>
          <w:szCs w:val="32"/>
        </w:rPr>
        <w:t xml:space="preserve">年 </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 月 </w:t>
      </w:r>
      <w:r>
        <w:rPr>
          <w:rFonts w:hint="eastAsia" w:ascii="仿宋_GB2312" w:hAnsi="CIDFont+F6" w:eastAsia="仿宋_GB2312"/>
          <w:color w:val="000000"/>
          <w:sz w:val="32"/>
          <w:szCs w:val="32"/>
          <w:lang w:val="en-US" w:eastAsia="zh-CN"/>
        </w:rPr>
        <w:t>11</w:t>
      </w:r>
      <w:r>
        <w:rPr>
          <w:rFonts w:hint="eastAsia" w:ascii="仿宋_GB2312" w:hAnsi="CIDFont+F6" w:eastAsia="仿宋_GB2312"/>
          <w:color w:val="000000"/>
          <w:sz w:val="32"/>
          <w:szCs w:val="32"/>
        </w:rPr>
        <w:t xml:space="preserve"> 日</w:t>
      </w:r>
    </w:p>
    <w:p w14:paraId="7A9DC281">
      <w:pPr>
        <w:adjustRightInd w:val="0"/>
        <w:snapToGrid w:val="0"/>
        <w:spacing w:line="640" w:lineRule="exact"/>
        <w:ind w:firstLine="640" w:firstLineChars="200"/>
        <w:contextualSpacing/>
        <w:rPr>
          <w:rFonts w:hint="eastAsia" w:ascii="仿宋_GB2312" w:hAnsi="宋体" w:eastAsia="仿宋_GB2312" w:cs="宋体"/>
          <w:kern w:val="0"/>
          <w:sz w:val="32"/>
          <w:szCs w:val="32"/>
        </w:rPr>
      </w:pPr>
    </w:p>
    <w:p w14:paraId="165B2EFC">
      <w:pPr>
        <w:adjustRightInd w:val="0"/>
        <w:snapToGrid w:val="0"/>
        <w:spacing w:line="640" w:lineRule="exact"/>
        <w:ind w:firstLine="640" w:firstLineChars="200"/>
        <w:contextualSpacing/>
        <w:rPr>
          <w:rFonts w:hint="eastAsia"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val="en-US" w:eastAsia="zh-CN"/>
        </w:rPr>
        <w:t>发改局</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spacing w:val="-20"/>
          <w:kern w:val="0"/>
          <w:sz w:val="32"/>
          <w:szCs w:val="32"/>
          <w:lang w:val="en-US" w:eastAsia="zh-CN"/>
        </w:rPr>
        <w:t>2</w:t>
      </w:r>
      <w:r>
        <w:rPr>
          <w:rFonts w:hint="eastAsia" w:ascii="仿宋_GB2312" w:hAnsi="宋体" w:eastAsia="仿宋_GB2312" w:cs="宋体"/>
          <w:spacing w:val="-20"/>
          <w:kern w:val="0"/>
          <w:sz w:val="32"/>
          <w:szCs w:val="32"/>
          <w:lang w:eastAsia="zh-CN"/>
        </w:rPr>
        <w:t>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14:paraId="22DB4760">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spacing w:val="-20"/>
          <w:kern w:val="0"/>
          <w:sz w:val="32"/>
          <w:szCs w:val="32"/>
          <w:lang w:val="en-US" w:eastAsia="zh-CN"/>
        </w:rPr>
        <w:t>发改局</w:t>
      </w:r>
      <w:r>
        <w:rPr>
          <w:rFonts w:hint="eastAsia" w:ascii="仿宋_GB2312" w:hAnsi="宋体" w:eastAsia="仿宋_GB2312" w:cs="宋体"/>
          <w:spacing w:val="-20"/>
          <w:kern w:val="0"/>
          <w:sz w:val="32"/>
          <w:szCs w:val="32"/>
        </w:rPr>
        <w:t xml:space="preserve">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8226"/>
    <w:multiLevelType w:val="singleLevel"/>
    <w:tmpl w:val="8D908226"/>
    <w:lvl w:ilvl="0" w:tentative="0">
      <w:start w:val="4"/>
      <w:numFmt w:val="chineseCounting"/>
      <w:suff w:val="nothing"/>
      <w:lvlText w:val="%1、"/>
      <w:lvlJc w:val="left"/>
      <w:rPr>
        <w:rFonts w:hint="eastAsia"/>
      </w:rPr>
    </w:lvl>
  </w:abstractNum>
  <w:abstractNum w:abstractNumId="1">
    <w:nsid w:val="ACB17A76"/>
    <w:multiLevelType w:val="singleLevel"/>
    <w:tmpl w:val="ACB17A7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052102F4"/>
    <w:rsid w:val="0AD41F0A"/>
    <w:rsid w:val="0D8A75CE"/>
    <w:rsid w:val="0E784E94"/>
    <w:rsid w:val="113741D2"/>
    <w:rsid w:val="18330BA7"/>
    <w:rsid w:val="1C7A7DA2"/>
    <w:rsid w:val="1D34261E"/>
    <w:rsid w:val="1E4F45EB"/>
    <w:rsid w:val="256F6ED4"/>
    <w:rsid w:val="2C4A6670"/>
    <w:rsid w:val="330119F1"/>
    <w:rsid w:val="3E23065E"/>
    <w:rsid w:val="3F6251B6"/>
    <w:rsid w:val="42A05423"/>
    <w:rsid w:val="44000272"/>
    <w:rsid w:val="4C433C79"/>
    <w:rsid w:val="527E074E"/>
    <w:rsid w:val="52BE22AC"/>
    <w:rsid w:val="56393C72"/>
    <w:rsid w:val="579503FF"/>
    <w:rsid w:val="5C38738C"/>
    <w:rsid w:val="60535296"/>
    <w:rsid w:val="68A05F80"/>
    <w:rsid w:val="72FD2525"/>
    <w:rsid w:val="78106856"/>
    <w:rsid w:val="7AD207C0"/>
    <w:rsid w:val="7E1D7A9A"/>
    <w:rsid w:val="7ECE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autoRedefine/>
    <w:qFormat/>
    <w:uiPriority w:val="0"/>
    <w:rPr>
      <w:b/>
      <w:bCs/>
    </w:rPr>
  </w:style>
  <w:style w:type="character" w:styleId="10">
    <w:name w:val="line number"/>
    <w:autoRedefine/>
    <w:qFormat/>
    <w:uiPriority w:val="0"/>
  </w:style>
  <w:style w:type="character" w:styleId="11">
    <w:name w:val="annotation reference"/>
    <w:autoRedefin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autoRedefine/>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autoRedefine/>
    <w:qFormat/>
    <w:uiPriority w:val="0"/>
    <w:rPr>
      <w:rFonts w:hint="eastAsia" w:ascii="仿宋_GB2312" w:eastAsia="仿宋_GB2312"/>
      <w:color w:val="000000"/>
      <w:sz w:val="32"/>
      <w:szCs w:val="32"/>
    </w:rPr>
  </w:style>
  <w:style w:type="character" w:customStyle="1" w:styleId="21">
    <w:name w:val="fontstyle21"/>
    <w:autoRedefine/>
    <w:qFormat/>
    <w:uiPriority w:val="0"/>
    <w:rPr>
      <w:rFonts w:hint="default" w:ascii="TimesNewRomanPSMT" w:hAnsi="TimesNewRomanPSMT"/>
      <w:color w:val="000000"/>
      <w:sz w:val="32"/>
      <w:szCs w:val="32"/>
    </w:rPr>
  </w:style>
  <w:style w:type="character" w:customStyle="1" w:styleId="22">
    <w:name w:val="fontstyle11"/>
    <w:autoRedefine/>
    <w:qFormat/>
    <w:uiPriority w:val="0"/>
    <w:rPr>
      <w:rFonts w:hint="eastAsia" w:ascii="仿宋_GB2312" w:eastAsia="仿宋_GB2312"/>
      <w:color w:val="000000"/>
      <w:sz w:val="32"/>
      <w:szCs w:val="32"/>
    </w:rPr>
  </w:style>
  <w:style w:type="character" w:customStyle="1" w:styleId="23">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14</Pages>
  <Words>5309</Words>
  <Characters>5745</Characters>
  <Lines>68</Lines>
  <Paragraphs>19</Paragraphs>
  <TotalTime>7</TotalTime>
  <ScaleCrop>false</ScaleCrop>
  <LinksUpToDate>false</LinksUpToDate>
  <CharactersWithSpaces>5826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2025-02-12T14:19:38Z</cp:lastPrinted>
  <dcterms:modified xsi:type="dcterms:W3CDTF">2025-02-12T14:25:08Z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8FC2DCD426EE465CB1570510BD89C6FA_13</vt:lpwstr>
  </property>
  <property fmtid="{D5CDD505-2E9C-101B-9397-08002B2CF9AE}" pid="4" name="KSOTemplateDocerSaveRecord">
    <vt:lpwstr>eyJoZGlkIjoiY2Y2YjE5OTliNjQ2ZGY1OTZmOWQyYTFmMjBhNWI2NmEifQ==</vt:lpwstr>
  </property>
</Properties>
</file>