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448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063841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4FD2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5FBFC3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华池县上里塬乡人民政府</w:t>
      </w:r>
    </w:p>
    <w:p w14:paraId="1DEA22A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2025年单位预算公开情况说明 </w:t>
      </w:r>
    </w:p>
    <w:p w14:paraId="509B589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3130450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E726AF1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1C183EE4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21FBEBB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1FE9BA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F3E4390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2025年部门/单位预算情况说明</w:t>
      </w:r>
    </w:p>
    <w:p w14:paraId="39ABAE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三、收支总体情况</w:t>
      </w:r>
    </w:p>
    <w:p w14:paraId="3B154E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四、一般公共预算情况</w:t>
      </w:r>
    </w:p>
    <w:p w14:paraId="3730AA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五、一般公共预算财政拨款“三公”经费、培训费、会议费等情况</w:t>
      </w:r>
    </w:p>
    <w:p w14:paraId="5A7C0BF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六、一般公共预算财政拨款机关运行经费情况</w:t>
      </w:r>
    </w:p>
    <w:p w14:paraId="653F0D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七、政府采购安排情况</w:t>
      </w:r>
    </w:p>
    <w:p w14:paraId="198D3A8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八、国有资产占用情况</w:t>
      </w:r>
    </w:p>
    <w:p w14:paraId="62D76A8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九、其他重要事项情况说明</w:t>
      </w:r>
    </w:p>
    <w:p w14:paraId="425BD70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十、预算绩效管理情况</w:t>
      </w:r>
    </w:p>
    <w:p w14:paraId="757E8EA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十一、名词解释</w:t>
      </w:r>
    </w:p>
    <w:p w14:paraId="4D498EB0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2025年部门（单位）预算公开表</w:t>
      </w:r>
    </w:p>
    <w:p w14:paraId="47BF03A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D4B45A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7D4C5DE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4471E6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190C92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7F22665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233537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7506C4A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2ED689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495C290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1CAFE79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1BEDD8E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FD5E9E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12C3066B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135074B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3684A1D1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33733BA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2683F49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241AAF5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1.贯彻执行党的路线、方针、政策和国家法律法规，贯彻执行上级行政机关的决议、命令及镇党委的决定，执行乡人民代表大会的决议；</w:t>
      </w:r>
    </w:p>
    <w:p w14:paraId="594F98A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2.对乡人民代表大会及其主席团和县政府负责并报告工作；</w:t>
      </w:r>
    </w:p>
    <w:p w14:paraId="156D3CF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3.编制和执行乡国民经济和社会发展计划，编制并执行财政预算；</w:t>
      </w:r>
    </w:p>
    <w:p w14:paraId="61D1BFD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4.管理经济和各项社会事业的行政工作；</w:t>
      </w:r>
    </w:p>
    <w:p w14:paraId="64BE3C6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5.负责乡行政执法工作，维护社会秩序，保护公民人身、民主、财产等合法权利，保护各种经济组织的合法权益；</w:t>
      </w:r>
    </w:p>
    <w:p w14:paraId="4A10A8D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 w14:paraId="127CCAF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 w14:paraId="2504B9E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47D97CE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8B5B1B8"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里塬乡人民政府内设4个党政机构（1.党政综合办公室负责乡党委、人大、政府日常工作和组织人事机构编制工作；2.党建办公室负责乡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、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3个事业机构，分别为农业服务中心负责宣传贯彻农业农村相关法律、法规、政策、农业技术推广应用与指导，动植物病虫害、疫情的监测与防治，农产品质量监管服务；党群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镇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 w14:paraId="3C012E2D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5F002E3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按照预算管理有关规定，2025年部门（单位）收支包括机关预算和直属单位预算在内的汇总情况。</w:t>
      </w:r>
    </w:p>
    <w:p w14:paraId="1A706EC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部门收支总预算851.82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57281F04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2E01F987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2025年收入预算 851.82万元（详见部门/单位预算公开表1,2）。包括：</w:t>
      </w:r>
    </w:p>
    <w:p w14:paraId="6C8F0DC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 851.82万元，占100%；</w:t>
      </w:r>
    </w:p>
    <w:p w14:paraId="43FFC2D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  0万元，占0%；</w:t>
      </w:r>
    </w:p>
    <w:p w14:paraId="30AEE33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  0万元，占0 %；</w:t>
      </w:r>
    </w:p>
    <w:p w14:paraId="1D13B4B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 0万元，占0%。</w:t>
      </w:r>
    </w:p>
    <w:p w14:paraId="4C977CC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76CAFB4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2025年支出预算 851.82万元（详见部门/单位预算公开表3）。</w:t>
      </w:r>
      <w:r>
        <w:rPr>
          <w:rStyle w:val="20"/>
          <w:rFonts w:hint="default" w:hAnsi="仿宋"/>
        </w:rPr>
        <w:t xml:space="preserve">其中：基本支出851.82万元， 占 </w:t>
      </w:r>
      <w:r>
        <w:rPr>
          <w:rStyle w:val="21"/>
          <w:rFonts w:hint="eastAsia" w:ascii="仿宋_GB2312" w:hAnsi="仿宋" w:eastAsia="仿宋_GB2312"/>
        </w:rPr>
        <w:t xml:space="preserve"> 100 %</w:t>
      </w:r>
      <w:r>
        <w:rPr>
          <w:rStyle w:val="20"/>
          <w:rFonts w:hint="default" w:hAnsi="仿宋"/>
        </w:rPr>
        <w:t>； 项目支出 0万元，占0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</w:rPr>
        <w:t xml:space="preserve">  0</w:t>
      </w:r>
      <w:r>
        <w:rPr>
          <w:rStyle w:val="20"/>
          <w:rFonts w:hint="default" w:hAnsi="仿宋"/>
        </w:rPr>
        <w:t>万元， 占</w:t>
      </w:r>
      <w:r>
        <w:rPr>
          <w:rStyle w:val="21"/>
          <w:rFonts w:hint="eastAsia" w:ascii="仿宋_GB2312" w:hAnsi="仿宋" w:eastAsia="仿宋_GB2312"/>
        </w:rPr>
        <w:t xml:space="preserve"> 0%</w:t>
      </w:r>
      <w:r>
        <w:rPr>
          <w:rStyle w:val="20"/>
          <w:rFonts w:hint="default" w:hAnsi="仿宋"/>
        </w:rPr>
        <w:t>。</w:t>
      </w:r>
    </w:p>
    <w:p w14:paraId="67116CF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5170FDC8"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Style w:val="20"/>
          <w:rFonts w:hint="default" w:hAnsi="仿宋_GB2312" w:cs="仿宋_GB2312"/>
        </w:rPr>
      </w:pPr>
      <w:r>
        <w:rPr>
          <w:rStyle w:val="20"/>
          <w:rFonts w:hAnsi="仿宋_GB2312" w:cs="仿宋_GB2312"/>
        </w:rPr>
        <w:t xml:space="preserve">2025 </w:t>
      </w:r>
      <w:r>
        <w:rPr>
          <w:rStyle w:val="20"/>
          <w:rFonts w:hint="default" w:hAnsi="仿宋_GB2312" w:cs="仿宋_GB2312"/>
        </w:rPr>
        <w:t>年一般公共预算当年支出</w:t>
      </w:r>
      <w:r>
        <w:rPr>
          <w:rStyle w:val="20"/>
          <w:rFonts w:hAnsi="仿宋_GB2312" w:cs="仿宋_GB2312"/>
        </w:rPr>
        <w:t xml:space="preserve">  851.82 </w:t>
      </w:r>
      <w:r>
        <w:rPr>
          <w:rStyle w:val="20"/>
          <w:rFonts w:hint="default" w:hAnsi="仿宋_GB2312" w:cs="仿宋_GB2312"/>
        </w:rPr>
        <w:t>万元，包括农林水支</w:t>
      </w:r>
    </w:p>
    <w:p w14:paraId="521C9A46">
      <w:pPr>
        <w:widowControl/>
        <w:adjustRightInd w:val="0"/>
        <w:snapToGrid w:val="0"/>
        <w:spacing w:line="640" w:lineRule="exact"/>
        <w:ind w:firstLine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20"/>
          <w:rFonts w:hint="default" w:hAnsi="仿宋_GB2312" w:cs="仿宋_GB2312"/>
        </w:rPr>
        <w:t>出</w:t>
      </w:r>
      <w:r>
        <w:rPr>
          <w:rStyle w:val="20"/>
          <w:rFonts w:hint="eastAsia" w:hAnsi="仿宋_GB2312" w:eastAsia="仿宋_GB2312" w:cs="仿宋_GB2312"/>
          <w:lang w:val="en-US" w:eastAsia="zh-CN"/>
        </w:rPr>
        <w:t>635.86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36.84</w:t>
      </w:r>
      <w:r>
        <w:rPr>
          <w:rStyle w:val="20"/>
          <w:rFonts w:hint="default" w:hAnsi="仿宋"/>
        </w:rPr>
        <w:t>万元，社会保障和就业支出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123.61</w:t>
      </w:r>
      <w:r>
        <w:rPr>
          <w:rStyle w:val="20"/>
          <w:rFonts w:hint="default" w:hAnsi="仿宋_GB2312" w:cs="仿宋_GB2312"/>
        </w:rPr>
        <w:t>万元、住房保障支出</w:t>
      </w:r>
      <w:r>
        <w:rPr>
          <w:rStyle w:val="20"/>
          <w:rFonts w:hint="eastAsia" w:hAnsi="仿宋_GB2312" w:eastAsia="仿宋_GB2312" w:cs="仿宋_GB2312"/>
          <w:lang w:val="en-US" w:eastAsia="zh-CN"/>
        </w:rPr>
        <w:t>55.51</w:t>
      </w:r>
      <w:r>
        <w:rPr>
          <w:rStyle w:val="20"/>
          <w:rFonts w:hint="default" w:hAnsi="仿宋_GB2312" w:cs="仿宋_GB2312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433581C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546F72F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2025年基本支出  851.82  万元，比2024年预算增加98.71    万元，增长13.11 %，增长的主要原因是人员调动。</w:t>
      </w:r>
    </w:p>
    <w:p w14:paraId="1A7C453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 757.88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6AEFE5B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 93.94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F32E5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5EBCBC5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13E19AB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 3  万元，较2024年预算无变化。</w:t>
      </w:r>
    </w:p>
    <w:p w14:paraId="55B8DC0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1.公务接待费 0.1万元，较2024年预算无变化。</w:t>
      </w:r>
    </w:p>
    <w:p w14:paraId="18064AA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2.公务用车购置及运行维护费2.9万元（其中：务用车运行维护费 2.9万元），较2024年预算无变化。</w:t>
      </w:r>
    </w:p>
    <w:p w14:paraId="46E4BD0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B9DEBE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机关运行经费 </w:t>
      </w:r>
      <w:r>
        <w:rPr>
          <w:rFonts w:hint="eastAsia" w:ascii="仿宋_GB2312" w:hAnsi="仿宋_GB2312" w:eastAsia="仿宋_GB2312" w:cs="仿宋_GB2312"/>
          <w:sz w:val="32"/>
          <w:szCs w:val="32"/>
        </w:rPr>
        <w:t>52.06</w:t>
      </w:r>
      <w:r>
        <w:rPr>
          <w:rFonts w:hint="eastAsia" w:ascii="仿宋_GB2312" w:hAnsi="仿宋" w:eastAsia="仿宋_GB2312"/>
          <w:sz w:val="32"/>
          <w:szCs w:val="32"/>
        </w:rPr>
        <w:t>万元，较2024年预算减少2.77   万元，增下降5 %，下降的主要原因是电费减少。</w:t>
      </w:r>
    </w:p>
    <w:p w14:paraId="2DC948C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182BF4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2025年，部门（单位）政府采购预算总额 16.9万元，其中：政府采购货物预算 10万元，政府采购服务预算  6.9元。</w:t>
      </w:r>
    </w:p>
    <w:p w14:paraId="0408108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2025年，部门（单位）面向中小企业预留政府采购项目预算金额0万元，小微企业预留政府采购项目预算金额 0 万元。</w:t>
      </w:r>
    </w:p>
    <w:p w14:paraId="3CD6C94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CD9011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上年末固定资产金额为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636.25</w:t>
      </w:r>
      <w:r>
        <w:rPr>
          <w:rFonts w:hint="eastAsia" w:ascii="仿宋_GB2312" w:hAnsi="仿宋" w:eastAsia="仿宋_GB2312"/>
          <w:sz w:val="32"/>
          <w:szCs w:val="32"/>
        </w:rPr>
        <w:t xml:space="preserve">万元。其中：办公用房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3460</w:t>
      </w:r>
      <w:r>
        <w:rPr>
          <w:rFonts w:hint="eastAsia" w:ascii="仿宋_GB2312" w:hAnsi="仿宋" w:eastAsia="仿宋_GB2312"/>
          <w:sz w:val="32"/>
          <w:szCs w:val="32"/>
        </w:rPr>
        <w:t xml:space="preserve">   平方米，价值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562.27</w:t>
      </w:r>
      <w:r>
        <w:rPr>
          <w:rFonts w:hint="eastAsia" w:ascii="仿宋_GB2312" w:hAnsi="仿宋" w:eastAsia="仿宋_GB2312"/>
          <w:sz w:val="32"/>
          <w:szCs w:val="32"/>
        </w:rPr>
        <w:t xml:space="preserve"> 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40.43</w:t>
      </w:r>
      <w:r>
        <w:rPr>
          <w:rFonts w:hint="eastAsia" w:ascii="仿宋_GB2312" w:hAnsi="仿宋" w:eastAsia="仿宋_GB2312"/>
          <w:sz w:val="32"/>
          <w:szCs w:val="32"/>
        </w:rPr>
        <w:t>万元。2025年拟采购固定资产约3万元。</w:t>
      </w:r>
    </w:p>
    <w:p w14:paraId="661AF6E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29C2543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203FAD8"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未安排预算，政府性基金预算支出情况表为空表。</w:t>
      </w:r>
    </w:p>
    <w:p w14:paraId="30FF5CB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823BE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本单位2025年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。”</w:t>
      </w:r>
      <w:bookmarkStart w:id="0" w:name="_GoBack"/>
      <w:bookmarkEnd w:id="0"/>
    </w:p>
    <w:p w14:paraId="0A6954A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6F52A5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44213E5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523301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955D85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2FDE708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60B33FD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577666B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（一）2024年预算绩效管理工作情况。</w:t>
      </w:r>
    </w:p>
    <w:p w14:paraId="1ADEC52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C5DBFE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2024年度，按照“谁申请资金，谁设置目标”的原则，纳入部门预算管理的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整体支出和项目绩效目标1个，按规定随年度预算一并公开项目  1 个，公开率为  100  %。</w:t>
      </w:r>
    </w:p>
    <w:p w14:paraId="7D03B94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2024年7月，组织开展1-6月绩效运行监控项目1个，占本1单位项目的100%。截至7月底，如期完成预算执行和绩效目标指标值的项目1个，完成率为100 %。“双监控”发现存在的问题和主要原因是：填报绩效目标设置过于宏观，具体的量化指标不足，提现绩效目标的实现程度较为模糊。开展1-9月绩效运行监控项目1个，占本部门（单位）项目的100%。截至10月底，如期完成预算执行和绩效目标指标值的项目1个，完成率为100%。“双监控”发现存在的问题和主要原因是：绩效运行监控报表填报不规范，无法监控绩效目标的实现程度。</w:t>
      </w:r>
    </w:p>
    <w:p w14:paraId="58B68418">
      <w:pPr>
        <w:widowControl/>
        <w:adjustRightInd w:val="0"/>
        <w:snapToGrid w:val="0"/>
        <w:spacing w:line="64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2024年度，组织开展绩效自评项目共1个，其中，部门（单位）整体支出1个，项目支出0个，转移支付项目0个，绩效自评覆盖率为100 %。绩效自评结果随部门决算报送财政和随决算公开情况：根据年初设定的绩效目标，绩效自评得分为91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。</w:t>
      </w:r>
    </w:p>
    <w:p w14:paraId="14C67DA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根据2024年度绩效运行监控、绩效自评等情况，当年盘活财政资金0万元，2025年度增加（减少）部门预算项目0个。同时对政策和项目资金管理作出调整的0个。</w:t>
      </w:r>
    </w:p>
    <w:p w14:paraId="7848AE6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（二）2025年绩效目标编制情况</w:t>
      </w:r>
    </w:p>
    <w:p w14:paraId="205833D9"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2025年，纳入部门/单位预算绩效目标管理的项目1个。其中，部门整体支出绩效目标围绕部门管理、履职效果、能力建设三个维度，设置二级指标3个、三级指标15 个。各项绩效目标内容指向明确、细化量化、合理可行，符合规定的格式要求。</w:t>
      </w:r>
    </w:p>
    <w:p w14:paraId="326310D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0C8D9CF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039EFBB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2D70ED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390CBEF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30EAAD2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1C4B04C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0C22CBB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5A7EB7B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F14586A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CEC506B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31FEE45D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华池县上里塬乡人民政府</w:t>
      </w:r>
    </w:p>
    <w:p w14:paraId="28DEDD4E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2025年 2 月 13 日</w:t>
      </w:r>
    </w:p>
    <w:p w14:paraId="14B46E93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74812653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1.华池县上里塬乡人民政府2025年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02144350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华池县上里塬乡人民政府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1B9CC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30A24">
    <w:pPr>
      <w:pStyle w:val="5"/>
      <w:jc w:val="center"/>
    </w:pPr>
  </w:p>
  <w:p w14:paraId="6503C0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92E7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E5276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1E01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3320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3040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2D77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748B6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903BA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C78C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39953CE0"/>
    <w:rsid w:val="40980E51"/>
    <w:rsid w:val="42A05423"/>
    <w:rsid w:val="44BB18E4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4418</Words>
  <Characters>4673</Characters>
  <Lines>34</Lines>
  <Paragraphs>9</Paragraphs>
  <TotalTime>122</TotalTime>
  <ScaleCrop>false</ScaleCrop>
  <LinksUpToDate>false</LinksUpToDate>
  <CharactersWithSpaces>4759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了</cp:lastModifiedBy>
  <cp:lastPrinted>2025-02-13T05:51:08Z</cp:lastPrinted>
  <dcterms:modified xsi:type="dcterms:W3CDTF">2025-02-13T05:51:11Z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eyJoZGlkIjoiYTA4YzhkYzVhY2U5MzAwN2MxOGMwNjI2ZDUwNjk5NmYiLCJ1c2VySWQiOiIxMTU2ODc2Mzc1In0=</vt:lpwstr>
  </property>
</Properties>
</file>