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01CC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37E15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CD1DB5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9354AC">
      <w:pPr>
        <w:spacing w:line="6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华池县人社部门</w:t>
      </w:r>
    </w:p>
    <w:p w14:paraId="4AB5C47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年预算公开情况说明 </w:t>
      </w:r>
    </w:p>
    <w:p w14:paraId="79DE4F2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0974C7D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E50B3EB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B64EDE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部门基本概况</w:t>
      </w:r>
    </w:p>
    <w:p w14:paraId="642A7B7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一、部门职责</w:t>
      </w:r>
    </w:p>
    <w:p w14:paraId="565057D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C20D5E6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年部门预算情况说明</w:t>
      </w:r>
    </w:p>
    <w:p w14:paraId="3A850B5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37A66A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534D7FC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27EE160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1F345EF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37D3AFF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710F1C5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2F4F24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1886EC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5EFD836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年部门预算公开表</w:t>
      </w:r>
    </w:p>
    <w:p w14:paraId="588B29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一、部门收支总体情况表</w:t>
      </w:r>
    </w:p>
    <w:p w14:paraId="4D22AFE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二、部门收入总体情况表</w:t>
      </w:r>
    </w:p>
    <w:p w14:paraId="2C24413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三、部门支出总体情况表</w:t>
      </w:r>
    </w:p>
    <w:p w14:paraId="5E26B22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33F0EB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5C39C7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1CAD3E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0882ED9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595FAF7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E082AE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4AE1793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6E21CD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3B60706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十三、部门整体支出绩效目标表和项目支出绩效目标表</w:t>
      </w:r>
    </w:p>
    <w:p w14:paraId="4C52E0D3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8C5FD13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63D4EF41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37389100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 w14:paraId="38AFDE6D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4BA1D0E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（一）负责贯彻执行《劳动法》、《劳动合同法》和《劳动保障监察条例》等法律法规。</w:t>
      </w:r>
    </w:p>
    <w:p w14:paraId="6FE3931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（二）贯彻落实国家和省、市人力资源和社会保障系统的各项政策，拟订和修改全县人力资源和社会保障事业发展规划和政策，并组织实施和监督检查。</w:t>
      </w:r>
    </w:p>
    <w:p w14:paraId="0F36BCD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（三）负责组织实施全县事业单位工作人员公开招聘、培训、考核、奖惩、调配、退休、退职、权利保障等工作。</w:t>
      </w:r>
    </w:p>
    <w:p w14:paraId="1E4CC05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（四）负责专业技术人员职称资格审核申报（含以考代评）、考核，制定和修改专业技术人员管理办法，负责高层次专业技术人才选拔和培养工作，参与拟订引进储备高层次急需人才政策并组织实施。</w:t>
      </w:r>
    </w:p>
    <w:p w14:paraId="4F72347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负责协调劳动关系，处理劳动争议，执行劳动监察，建立健全劳动关系协调机制。统筹执行劳动人事争议仲裁制度，依法处理全县劳动人事争议案件。主管全县劳动保障监察工作，依法对县域机关企事业单位实施劳动保障监察，组织查处劳动保障违法违规案件，维护劳动者合法权益。</w:t>
      </w:r>
    </w:p>
    <w:p w14:paraId="3833070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负责会同有关部门拟订事业单位综合配套改革政策，指导落实全县事业单位人事制度改革工作，贯彻落实国家和省、市关于事业单位人员和机关工勤人员人事管理政策，会同有关部门加强事业单位人员宏观调配管理。</w:t>
      </w:r>
    </w:p>
    <w:p w14:paraId="118D228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（七）贯彻执行国家各项工资福利政策，承办全县事业单位职工转正定级，工资晋升，工资标准审核，调整企业离退休职工养老金及工资统计工作。</w:t>
      </w:r>
    </w:p>
    <w:p w14:paraId="326DAED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（八）负责全县各项社会保险、就业再就业安置和劳务输出工作。</w:t>
      </w:r>
    </w:p>
    <w:p w14:paraId="4DD81785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（九）负责全县事业单位一般干部、工人、专业技术人员档案、流动人才档案收集、整理、查阅利用等工作。</w:t>
      </w:r>
    </w:p>
    <w:p w14:paraId="7092D08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（十）承办县委、县政府及上级业务部门交办的其他事项。   </w:t>
      </w:r>
    </w:p>
    <w:p w14:paraId="57E7389B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37FA61F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1F3F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人社局机关内设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6个股室，分别为办公室、人事教育股、工资福利股、社会保障股、仲裁监察股、就业促进股。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人社部门共有职工119人，其中正式职工80人，临时工10人，退休21人，遗属8人。</w:t>
      </w:r>
    </w:p>
    <w:p w14:paraId="04F17614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3F3C832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参照公务员法管理单位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，分别为华池县社会保险事业管理中心、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华池县城乡就业服务局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、华池县劳动人事争议仲裁院。</w:t>
      </w:r>
    </w:p>
    <w:p w14:paraId="7A967FAC"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直属事业单位</w:t>
      </w:r>
    </w:p>
    <w:p w14:paraId="4CA53056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直属事业单位3个，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分别为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华池县人力资源市场管理中心、华池县城乡居民社会养老保险局、华池县劳动保障服务中心。</w:t>
      </w:r>
    </w:p>
    <w:p w14:paraId="1081DA27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三、部门收支总体情况</w:t>
      </w:r>
    </w:p>
    <w:p w14:paraId="2950220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2354.09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人社局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全部为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主要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包括：一般公共服务支出、社会保障和就业支出、卫生健康支出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、农林水支出、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住房保障支出。</w:t>
      </w:r>
    </w:p>
    <w:p w14:paraId="26BCB886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31563B0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2354.09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万元（详见部门预算公开表1,2）。包括：</w:t>
      </w:r>
    </w:p>
    <w:p w14:paraId="78AAA92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2354.09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587A14B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17234D0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2354.09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2"/>
          <w:rFonts w:hint="default" w:hAnsi="仿宋"/>
        </w:rPr>
        <w:t>其中：基本支出</w:t>
      </w:r>
      <w:r>
        <w:rPr>
          <w:rStyle w:val="23"/>
          <w:rFonts w:hint="eastAsia" w:ascii="仿宋_GB2312" w:hAnsi="仿宋" w:eastAsia="仿宋_GB2312"/>
          <w:lang w:val="en-US" w:eastAsia="zh-CN"/>
        </w:rPr>
        <w:t>1280.94</w:t>
      </w:r>
      <w:r>
        <w:rPr>
          <w:rStyle w:val="22"/>
          <w:rFonts w:hint="default" w:hAnsi="仿宋"/>
        </w:rPr>
        <w:t>万元， 占</w:t>
      </w:r>
      <w:r>
        <w:rPr>
          <w:rStyle w:val="22"/>
          <w:rFonts w:hint="eastAsia" w:hAnsi="仿宋" w:eastAsia="仿宋_GB2312"/>
          <w:lang w:val="en-US" w:eastAsia="zh-CN"/>
        </w:rPr>
        <w:t>54.4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default" w:hAnsi="仿宋"/>
        </w:rPr>
        <w:t>； 项目支出</w:t>
      </w:r>
      <w:r>
        <w:rPr>
          <w:rStyle w:val="22"/>
          <w:rFonts w:hint="eastAsia" w:hAnsi="仿宋" w:eastAsia="仿宋_GB2312"/>
          <w:lang w:val="en-US" w:eastAsia="zh-CN"/>
        </w:rPr>
        <w:t>1073.15</w:t>
      </w:r>
      <w:r>
        <w:rPr>
          <w:rStyle w:val="22"/>
          <w:rFonts w:hint="default" w:hAnsi="仿宋"/>
        </w:rPr>
        <w:t>万元，占</w:t>
      </w:r>
      <w:r>
        <w:rPr>
          <w:rStyle w:val="23"/>
          <w:rFonts w:hint="eastAsia" w:ascii="仿宋_GB2312" w:hAnsi="仿宋" w:eastAsia="仿宋_GB2312"/>
          <w:lang w:val="en-US" w:eastAsia="zh-CN"/>
        </w:rPr>
        <w:t>45.6</w:t>
      </w:r>
      <w:r>
        <w:rPr>
          <w:rStyle w:val="23"/>
          <w:rFonts w:hint="eastAsia" w:ascii="仿宋_GB2312" w:hAnsi="仿宋" w:eastAsia="仿宋_GB2312"/>
        </w:rPr>
        <w:t>%</w:t>
      </w:r>
      <w:r>
        <w:rPr>
          <w:rStyle w:val="22"/>
          <w:rFonts w:hint="eastAsia" w:hAnsi="仿宋" w:eastAsia="仿宋_GB2312"/>
          <w:lang w:eastAsia="zh-CN"/>
        </w:rPr>
        <w:t>。</w:t>
      </w:r>
    </w:p>
    <w:p w14:paraId="69AB4AF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4165F1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3"/>
          <w:rFonts w:hint="eastAsia" w:ascii="仿宋_GB2312" w:hAnsi="仿宋" w:eastAsia="仿宋_GB2312"/>
        </w:rPr>
        <w:t>202</w:t>
      </w:r>
      <w:r>
        <w:rPr>
          <w:rStyle w:val="23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2354.09</w:t>
      </w:r>
      <w:r>
        <w:rPr>
          <w:rStyle w:val="22"/>
          <w:rFonts w:hint="default" w:hAnsi="仿宋"/>
        </w:rPr>
        <w:t>万元，包括：一般公共服务支出</w:t>
      </w:r>
      <w:r>
        <w:rPr>
          <w:rStyle w:val="23"/>
          <w:rFonts w:hint="eastAsia" w:ascii="仿宋_GB2312" w:hAnsi="仿宋" w:eastAsia="仿宋_GB2312"/>
          <w:lang w:val="en-US" w:eastAsia="zh-CN"/>
        </w:rPr>
        <w:t>383.36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增加的原因主要是人员工资增加。</w:t>
      </w:r>
      <w:r>
        <w:rPr>
          <w:rStyle w:val="22"/>
          <w:rFonts w:hint="default" w:hAnsi="仿宋"/>
        </w:rPr>
        <w:t>社会保障和就业支出</w:t>
      </w:r>
      <w:r>
        <w:rPr>
          <w:rStyle w:val="22"/>
          <w:rFonts w:hint="eastAsia" w:hAnsi="仿宋" w:eastAsia="仿宋_GB2312"/>
          <w:lang w:val="en-US" w:eastAsia="zh-CN"/>
        </w:rPr>
        <w:t>1808.63</w:t>
      </w:r>
      <w:r>
        <w:rPr>
          <w:rStyle w:val="22"/>
          <w:rFonts w:hint="default" w:hAnsi="仿宋"/>
        </w:rPr>
        <w:t>万元</w:t>
      </w:r>
      <w:r>
        <w:rPr>
          <w:rStyle w:val="22"/>
          <w:rFonts w:hint="eastAsia" w:hAnsi="仿宋" w:eastAsia="仿宋_GB231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453.61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33.5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增长的原因主要是项目资金增加；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57.78万元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下降的原因主要是退休人员增加；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84.75万元，</w:t>
      </w:r>
      <w:r>
        <w:rPr>
          <w:rFonts w:hint="eastAsia" w:ascii="仿宋_GB2312" w:hAnsi="仿宋" w:eastAsia="仿宋_GB2312"/>
          <w:sz w:val="32"/>
          <w:szCs w:val="32"/>
        </w:rPr>
        <w:t>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1.93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增长的原因主要是人员工资增加，基数变大；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农林水支出19.57万元，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Style w:val="22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54CCD90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0B3FBA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1280.94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1.52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0.11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人员调出和退休增加。</w:t>
      </w: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1161.3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348.02万元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410.51万元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75.7万元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114.83万元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56.5万元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44.14万元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13.64万元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10.51万元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84.75万元</w:t>
      </w:r>
      <w:r>
        <w:rPr>
          <w:rFonts w:hint="eastAsia" w:ascii="仿宋_GB2312" w:hAnsi="仿宋" w:eastAsia="仿宋_GB2312"/>
          <w:sz w:val="32"/>
          <w:szCs w:val="32"/>
        </w:rPr>
        <w:t>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2.69万元</w:t>
      </w:r>
      <w:r>
        <w:rPr>
          <w:rFonts w:hint="eastAsia" w:ascii="仿宋_GB2312" w:hAnsi="仿宋" w:eastAsia="仿宋_GB2312"/>
          <w:sz w:val="32"/>
          <w:szCs w:val="32"/>
        </w:rPr>
        <w:t>、其他对个人和家庭的补助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59.53万元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4F431E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119.65</w:t>
      </w:r>
      <w:r>
        <w:rPr>
          <w:rFonts w:hint="eastAsia" w:ascii="仿宋_GB2312" w:hAnsi="仿宋" w:eastAsia="仿宋_GB2312"/>
          <w:sz w:val="32"/>
          <w:szCs w:val="32"/>
        </w:rPr>
        <w:t>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17.92万元</w:t>
      </w:r>
      <w:r>
        <w:rPr>
          <w:rFonts w:hint="eastAsia" w:ascii="仿宋_GB2312" w:hAnsi="仿宋" w:eastAsia="仿宋_GB2312"/>
          <w:sz w:val="32"/>
          <w:szCs w:val="32"/>
        </w:rPr>
        <w:t>、印刷费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7.11万元</w:t>
      </w:r>
      <w:r>
        <w:rPr>
          <w:rFonts w:hint="eastAsia" w:ascii="仿宋_GB2312" w:hAnsi="仿宋" w:eastAsia="仿宋_GB2312"/>
          <w:sz w:val="32"/>
          <w:szCs w:val="32"/>
        </w:rPr>
        <w:t>、手续费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0.03万元</w:t>
      </w:r>
      <w:r>
        <w:rPr>
          <w:rFonts w:hint="eastAsia" w:ascii="仿宋_GB2312" w:hAnsi="仿宋" w:eastAsia="仿宋_GB2312"/>
          <w:sz w:val="32"/>
          <w:szCs w:val="32"/>
        </w:rPr>
        <w:t>、水费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1.16万元</w:t>
      </w:r>
      <w:r>
        <w:rPr>
          <w:rFonts w:hint="eastAsia"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2.91万元</w:t>
      </w:r>
      <w:r>
        <w:rPr>
          <w:rFonts w:hint="eastAsia" w:ascii="仿宋_GB2312" w:hAnsi="仿宋" w:eastAsia="仿宋_GB2312"/>
          <w:sz w:val="32"/>
          <w:szCs w:val="32"/>
        </w:rPr>
        <w:t>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3.5万元</w:t>
      </w:r>
      <w:r>
        <w:rPr>
          <w:rFonts w:hint="eastAsia" w:ascii="仿宋_GB2312" w:hAnsi="仿宋" w:eastAsia="仿宋_GB2312"/>
          <w:sz w:val="32"/>
          <w:szCs w:val="32"/>
        </w:rPr>
        <w:t>、取暖费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9.88万元</w:t>
      </w:r>
      <w:r>
        <w:rPr>
          <w:rFonts w:hint="eastAsia" w:ascii="仿宋_GB2312" w:hAnsi="仿宋" w:eastAsia="仿宋_GB2312"/>
          <w:sz w:val="32"/>
          <w:szCs w:val="32"/>
        </w:rPr>
        <w:t>、差旅费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7.76万元</w:t>
      </w:r>
      <w:r>
        <w:rPr>
          <w:rFonts w:hint="eastAsia" w:ascii="仿宋_GB2312" w:hAnsi="仿宋" w:eastAsia="仿宋_GB2312"/>
          <w:sz w:val="32"/>
          <w:szCs w:val="32"/>
        </w:rPr>
        <w:t>、维修（护）费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0.86万元</w:t>
      </w:r>
      <w:r>
        <w:rPr>
          <w:rFonts w:hint="eastAsia" w:ascii="仿宋_GB2312" w:hAnsi="仿宋" w:eastAsia="仿宋_GB2312"/>
          <w:sz w:val="32"/>
          <w:szCs w:val="32"/>
        </w:rPr>
        <w:t>、会议费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0.16万元</w:t>
      </w:r>
      <w:r>
        <w:rPr>
          <w:rFonts w:hint="eastAsia" w:ascii="仿宋_GB2312" w:hAnsi="仿宋" w:eastAsia="仿宋_GB2312"/>
          <w:sz w:val="32"/>
          <w:szCs w:val="32"/>
        </w:rPr>
        <w:t>、公务接待费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0.99万元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劳务费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0.96万元、</w:t>
      </w:r>
      <w:r>
        <w:rPr>
          <w:rFonts w:hint="eastAsia" w:ascii="仿宋_GB2312" w:hAnsi="仿宋" w:eastAsia="仿宋_GB2312"/>
          <w:sz w:val="32"/>
          <w:szCs w:val="32"/>
        </w:rPr>
        <w:t>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8.15万元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16.98万元</w:t>
      </w:r>
      <w:r>
        <w:rPr>
          <w:rFonts w:hint="eastAsia" w:ascii="仿宋_GB2312" w:hAnsi="仿宋" w:eastAsia="仿宋_GB2312"/>
          <w:sz w:val="32"/>
          <w:szCs w:val="32"/>
        </w:rPr>
        <w:t>、其他交通费用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20.76万元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18.78万元，办公设备购置1.74万元。</w:t>
      </w:r>
    </w:p>
    <w:p w14:paraId="31353E9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EAD809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1073.15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467.58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77.2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项目数量和资金均增加。</w:t>
      </w:r>
    </w:p>
    <w:p w14:paraId="76DF11F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乡村公益性岗位补助项目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329AE0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金保专网维护费、劳动监察大队执法经费、就业服务经费、流动人员人事档案基本公共服务经费、养老保险金保专网运行费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DEBC8A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个，主要是普惠金融发展专项资金（利息补贴）；下岗职工生活补助费、改制企业遗属生活费、差额退休费；城乡居民基本养老保险县级补贴；村干部养老保险县级财政配套；企业养老保险基金缺口分担；城乡居民基本养老保险县级财政配套。</w:t>
      </w:r>
    </w:p>
    <w:p w14:paraId="302DE6F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五、部门一般公共预算财政拨款“三公”经费、培训费、会议费等情况</w:t>
      </w:r>
    </w:p>
    <w:p w14:paraId="475BEF7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25C932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0.99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0.195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D9CAAF2">
      <w:pPr>
        <w:widowControl/>
        <w:numPr>
          <w:ilvl w:val="0"/>
          <w:numId w:val="2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持平。</w:t>
      </w:r>
    </w:p>
    <w:p w14:paraId="6E45E6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contextualSpacing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0.99</w:t>
      </w:r>
      <w:r>
        <w:rPr>
          <w:rFonts w:hint="eastAsia" w:ascii="仿宋_GB2312" w:hAnsi="仿宋" w:eastAsia="仿宋_GB2312"/>
          <w:sz w:val="32"/>
          <w:szCs w:val="32"/>
        </w:rPr>
        <w:t xml:space="preserve"> 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0.195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公务接待活动减少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EA4B17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954E0A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1F4084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4.培训费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持平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C14E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4FE7B8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0.16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55.4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单位修建新会议室，会议费减少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8E2B2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4E5FFC0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119.65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0.59</w:t>
      </w:r>
      <w:r>
        <w:rPr>
          <w:rFonts w:hint="eastAsia" w:ascii="仿宋_GB2312" w:hAnsi="仿宋" w:eastAsia="仿宋_GB2312"/>
          <w:sz w:val="32"/>
          <w:szCs w:val="32"/>
        </w:rPr>
        <w:t xml:space="preserve"> 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人员减少，公用经费减少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A30D8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2B8F8F1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年，单位政府采购预算总额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26.55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万元，其中：政府采购货物预算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26.55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万元，政府采购工程预算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万元，政府采购服务预算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7.18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</w:p>
    <w:p w14:paraId="1A0049D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年，部门面向中小企业预留政府采购项目预算金额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万元，小微企业预留政府采购项目预算金额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14.55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万元。</w:t>
      </w:r>
    </w:p>
    <w:p w14:paraId="361C140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E5DD1C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1101.42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3113.92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1036.38</w:t>
      </w:r>
      <w:r>
        <w:rPr>
          <w:rFonts w:hint="eastAsia" w:ascii="仿宋_GB2312" w:hAnsi="仿宋" w:eastAsia="仿宋_GB2312"/>
          <w:sz w:val="32"/>
          <w:szCs w:val="32"/>
        </w:rPr>
        <w:t>万元。预算部门共有公务用车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单价20万元以上的设备。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年拟采购固定资产约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.5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万元。</w:t>
      </w:r>
    </w:p>
    <w:p w14:paraId="12C878B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九、其他重要事项情况说明</w:t>
      </w:r>
    </w:p>
    <w:p w14:paraId="159047D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5D70984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未安排</w:t>
      </w:r>
      <w:r>
        <w:rPr>
          <w:rFonts w:hint="eastAsia" w:ascii="仿宋_GB2312" w:hAnsi="仿宋" w:eastAsia="仿宋_GB2312"/>
          <w:sz w:val="32"/>
          <w:szCs w:val="32"/>
        </w:rPr>
        <w:t>政府性基金预算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，单位政府性基金预算支出情况表为空表。</w:t>
      </w:r>
    </w:p>
    <w:p w14:paraId="22EA0F8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BF2B6E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非税收入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9D4BF2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6F44F15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部门预算安排的经济社会发展类项目公开项目文本信息，包括项目名称、项目概况、立项依据、实施主体、实施周期、实施计划、年度预算安排、预期总体目标等内容。没有经济社会发展类项目支出的部门可公开其他类项目。</w:t>
      </w:r>
    </w:p>
    <w:p w14:paraId="20B87F7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乡村公益性岗位补助项目</w:t>
      </w:r>
    </w:p>
    <w:p w14:paraId="4631859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全县共开发乡村公益性岗位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385个，每人每月发放补助500元。</w:t>
      </w:r>
    </w:p>
    <w:p w14:paraId="152BFCD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省市关于开发乡村公益性岗位的有关文件</w:t>
      </w:r>
    </w:p>
    <w:p w14:paraId="231E099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各乡镇人民政府</w:t>
      </w:r>
    </w:p>
    <w:p w14:paraId="65E088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238069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每月按时发放补助</w:t>
      </w:r>
    </w:p>
    <w:p w14:paraId="7E0690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年度安排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县级配套资金37.45万元。</w:t>
      </w:r>
    </w:p>
    <w:p w14:paraId="754D530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7、预期总体目标：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为全县开发的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385个乡村公益性岗位人员按时发放补助，稳定已脱贫人口就业，持续增加收入，巩固脱贫攻坚成果。</w:t>
      </w:r>
    </w:p>
    <w:p w14:paraId="35F040B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41B0B7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6D74CB6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748A8FA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5CD87314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373BC17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0BEC00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4B2B65E9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49653C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问题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，截止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12月底，</w:t>
      </w:r>
      <w:r>
        <w:rPr>
          <w:rFonts w:hint="eastAsia" w:ascii="仿宋_GB2312" w:hAnsi="仿宋" w:eastAsia="仿宋_GB2312"/>
          <w:sz w:val="32"/>
          <w:szCs w:val="32"/>
        </w:rPr>
        <w:t>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“双监控”无问题。</w:t>
      </w:r>
    </w:p>
    <w:p w14:paraId="4D16FE3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个，其中，项目支出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6174BD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3个，</w:t>
      </w:r>
      <w:r>
        <w:rPr>
          <w:rFonts w:hint="eastAsia" w:ascii="仿宋_GB2312" w:hAnsi="仿宋" w:eastAsia="仿宋_GB2312"/>
          <w:sz w:val="32"/>
          <w:szCs w:val="32"/>
        </w:rPr>
        <w:t>对项目资金作出调整的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DBE780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4615508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个。其中，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个。各项绩效目标内容指向明确、细化量化、合理可行，符合规定的格式要求。</w:t>
      </w:r>
    </w:p>
    <w:p w14:paraId="0F2E798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7F54C8B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28BA90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13FFB99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6522A7B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766AB37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7B4DCBC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部门支出预算的组成部分，是各部门为完成其特定的行政任务或事业发展目标，在基本支出预算之外编制的年度项目支出计划。</w:t>
      </w:r>
    </w:p>
    <w:p w14:paraId="00876A3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77DC42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300E88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E8DDEAA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华池县人力资源和社会保障局</w:t>
      </w:r>
    </w:p>
    <w:p w14:paraId="7D9F571E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3E931028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7440047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华池人社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CE3F34D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华池人社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BDB80A2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F1FE">
    <w:pPr>
      <w:pStyle w:val="7"/>
      <w:jc w:val="center"/>
    </w:pPr>
  </w:p>
  <w:p w14:paraId="171D56A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9F2C1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17CEE267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FCF7B"/>
    <w:multiLevelType w:val="singleLevel"/>
    <w:tmpl w:val="D39FC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F7B59A"/>
    <w:multiLevelType w:val="singleLevel"/>
    <w:tmpl w:val="03F7B59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zU2M2Q2NjFmMTZhNzBiNDBkYzZlZmQ4OTU5NWU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1163350"/>
    <w:rsid w:val="02E03DF9"/>
    <w:rsid w:val="04285D2B"/>
    <w:rsid w:val="061B1331"/>
    <w:rsid w:val="067F52D3"/>
    <w:rsid w:val="0A650C83"/>
    <w:rsid w:val="0CFA3905"/>
    <w:rsid w:val="0F2F71AE"/>
    <w:rsid w:val="113741D2"/>
    <w:rsid w:val="123B6D8B"/>
    <w:rsid w:val="14A4200E"/>
    <w:rsid w:val="154D0C92"/>
    <w:rsid w:val="198B2CA2"/>
    <w:rsid w:val="1BE7774A"/>
    <w:rsid w:val="1D34261E"/>
    <w:rsid w:val="1DB64C80"/>
    <w:rsid w:val="1EAA4A5F"/>
    <w:rsid w:val="1FF90217"/>
    <w:rsid w:val="204157CD"/>
    <w:rsid w:val="233F7FA0"/>
    <w:rsid w:val="255B2F57"/>
    <w:rsid w:val="2C293467"/>
    <w:rsid w:val="2F5A18D2"/>
    <w:rsid w:val="2F741E9F"/>
    <w:rsid w:val="30A90601"/>
    <w:rsid w:val="324B54F3"/>
    <w:rsid w:val="32C362B7"/>
    <w:rsid w:val="33E34843"/>
    <w:rsid w:val="345D1F0E"/>
    <w:rsid w:val="353F31D3"/>
    <w:rsid w:val="36F469E7"/>
    <w:rsid w:val="36F80606"/>
    <w:rsid w:val="396401D4"/>
    <w:rsid w:val="3967232B"/>
    <w:rsid w:val="3A445910"/>
    <w:rsid w:val="3D04269F"/>
    <w:rsid w:val="3E4923C6"/>
    <w:rsid w:val="3E5325C6"/>
    <w:rsid w:val="42213106"/>
    <w:rsid w:val="42823479"/>
    <w:rsid w:val="42A05423"/>
    <w:rsid w:val="4419436B"/>
    <w:rsid w:val="473C5011"/>
    <w:rsid w:val="47541888"/>
    <w:rsid w:val="4C433C79"/>
    <w:rsid w:val="4CF7705D"/>
    <w:rsid w:val="504802F5"/>
    <w:rsid w:val="50C72850"/>
    <w:rsid w:val="51723387"/>
    <w:rsid w:val="51FA0EDB"/>
    <w:rsid w:val="527E074E"/>
    <w:rsid w:val="540718DB"/>
    <w:rsid w:val="55FE2724"/>
    <w:rsid w:val="56393C72"/>
    <w:rsid w:val="5659795C"/>
    <w:rsid w:val="579503FF"/>
    <w:rsid w:val="581712D9"/>
    <w:rsid w:val="595F1126"/>
    <w:rsid w:val="5A207377"/>
    <w:rsid w:val="5AE929ED"/>
    <w:rsid w:val="5AFF350D"/>
    <w:rsid w:val="5BA23BFC"/>
    <w:rsid w:val="5ED3624D"/>
    <w:rsid w:val="60535296"/>
    <w:rsid w:val="62E04636"/>
    <w:rsid w:val="63FD075A"/>
    <w:rsid w:val="65222514"/>
    <w:rsid w:val="6804655B"/>
    <w:rsid w:val="68251F4E"/>
    <w:rsid w:val="697A2F79"/>
    <w:rsid w:val="6A1735C7"/>
    <w:rsid w:val="6B4C1B7B"/>
    <w:rsid w:val="6D627AC5"/>
    <w:rsid w:val="71341A93"/>
    <w:rsid w:val="722C6DDA"/>
    <w:rsid w:val="72B868C0"/>
    <w:rsid w:val="72F60DE9"/>
    <w:rsid w:val="72FD2525"/>
    <w:rsid w:val="733F135E"/>
    <w:rsid w:val="7387469C"/>
    <w:rsid w:val="767C6509"/>
    <w:rsid w:val="78106856"/>
    <w:rsid w:val="78505AD2"/>
    <w:rsid w:val="7A7255A6"/>
    <w:rsid w:val="7AAF0450"/>
    <w:rsid w:val="7BA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autoRedefine/>
    <w:qFormat/>
    <w:uiPriority w:val="0"/>
    <w:rPr>
      <w:b/>
      <w:bCs/>
    </w:rPr>
  </w:style>
  <w:style w:type="character" w:styleId="12">
    <w:name w:val="line number"/>
    <w:autoRedefine/>
    <w:qFormat/>
    <w:uiPriority w:val="0"/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7"/>
    <w:autoRedefine/>
    <w:qFormat/>
    <w:uiPriority w:val="0"/>
    <w:rPr>
      <w:sz w:val="18"/>
      <w:szCs w:val="18"/>
    </w:rPr>
  </w:style>
  <w:style w:type="character" w:customStyle="1" w:styleId="15">
    <w:name w:val="页眉 Char"/>
    <w:link w:val="8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7">
    <w:name w:val="批注框文本 Char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4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TOC Heading"/>
    <w:basedOn w:val="4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0">
    <w:name w:val="批注文字 Char"/>
    <w:link w:val="5"/>
    <w:autoRedefine/>
    <w:qFormat/>
    <w:uiPriority w:val="0"/>
    <w:rPr>
      <w:kern w:val="2"/>
      <w:sz w:val="21"/>
      <w:szCs w:val="22"/>
    </w:rPr>
  </w:style>
  <w:style w:type="character" w:customStyle="1" w:styleId="21">
    <w:name w:val="批注主题 Char"/>
    <w:link w:val="9"/>
    <w:autoRedefine/>
    <w:qFormat/>
    <w:uiPriority w:val="0"/>
    <w:rPr>
      <w:b/>
      <w:bCs/>
      <w:kern w:val="2"/>
      <w:sz w:val="21"/>
      <w:szCs w:val="22"/>
    </w:rPr>
  </w:style>
  <w:style w:type="character" w:customStyle="1" w:styleId="22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4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13</Pages>
  <Words>4723</Words>
  <Characters>5244</Characters>
  <Lines>68</Lines>
  <Paragraphs>19</Paragraphs>
  <TotalTime>14</TotalTime>
  <ScaleCrop>false</ScaleCrop>
  <LinksUpToDate>false</LinksUpToDate>
  <CharactersWithSpaces>5305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七色花</cp:lastModifiedBy>
  <cp:lastPrinted>2022-02-15T07:45:00Z</cp:lastPrinted>
  <dcterms:modified xsi:type="dcterms:W3CDTF">2025-02-12T01:38:06Z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eyJoZGlkIjoiNTdmNjBiM2NiOTdiZDI5ODgxMTIyMmI4MWI0NWEyNTAiLCJ1c2VySWQiOiI3MDAxOTMzMTQifQ==</vt:lpwstr>
  </property>
</Properties>
</file>