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华池县人力资源和社会保障局</w:t>
      </w:r>
    </w:p>
    <w:p w14:paraId="1761738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94B8F28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3627D9A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（一）负责贯彻执行《劳动法》、《劳动合同法》和《劳动保障监察条例》等法律法规。</w:t>
      </w:r>
    </w:p>
    <w:p w14:paraId="56BA387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（二）贯彻落实国家和省、市人力资源和社会保障系统的各项政策，拟订和修改全县人力资源和社会保障事业发展规划和政策，并组织实施和监督检查。</w:t>
      </w:r>
    </w:p>
    <w:p w14:paraId="068CDCF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（三）负责组织实施全县事业单位工作人员公开招聘、培训、考核、奖惩、调配、退休、退职、权利保障等工作。</w:t>
      </w:r>
    </w:p>
    <w:p w14:paraId="220ABF3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（四）负责专业技术人员职称资格审核申报（含以考代评）、考核，制定和修改专业技术人员管理办法，负责高层次专业技术人才选拔和培养工作，参与拟订引进储备高层次急需人才政策并组织实施。</w:t>
      </w:r>
    </w:p>
    <w:p w14:paraId="41993B1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负责协调劳动关系，处理劳动争议，执行劳动监察，建立健全劳动关系协调机制。统筹执行劳动人事争议仲裁制度，依法处理全县劳动人事争议案件。主管全县劳动保障监察工作，依法对县域机关企事业单位实施劳动保障监察，组织查处劳动保障违法违规案件，维护劳动者合法权益。</w:t>
      </w:r>
    </w:p>
    <w:p w14:paraId="0DB4A03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负责会同有关部门拟订事业单位综合配套改革政策，指导落实全县事业单位人事制度改革工作，贯彻落实国家和省、市关于事业单位人员和机关工勤人员人事管理政策，会同有关部门加强事业单位人员宏观调配管理。</w:t>
      </w:r>
    </w:p>
    <w:p w14:paraId="5864E87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（七）贯彻执行国家各项工资福利政策，承办全县事业单位职工转正定级，工资晋升，工资标准审核，调整企业离退休职工养老金及工资统计工作。</w:t>
      </w:r>
    </w:p>
    <w:p w14:paraId="1823B2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（八）负责全县各项社会保险、就业再就业安置和劳务输出工作。</w:t>
      </w:r>
    </w:p>
    <w:p w14:paraId="4D718A7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（九）负责全县事业单位一般干部、工人、专业技术人员档案、流动人才档案收集、整理、查阅利用等工作。</w:t>
      </w:r>
    </w:p>
    <w:p w14:paraId="0094A2E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（十）承办县委、县政府及上级业务部门交办的其他事项。 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0713B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机关内设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6个股室，分别为办公室、人事教育股、工资福利股、社会保障股、仲裁监察股、就业促进股。</w:t>
      </w:r>
    </w:p>
    <w:p w14:paraId="5E5271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人社局现有编制23个，其中行政编8个，机关工勤编3个，参公编3个，事业编9个。</w:t>
      </w:r>
    </w:p>
    <w:p w14:paraId="70836C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有职工48人，其中正式职工30人，临时工8，退休7人，遗属3人。</w:t>
      </w:r>
    </w:p>
    <w:p w14:paraId="316EA88B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参照公务员法管理单位</w:t>
      </w:r>
    </w:p>
    <w:p w14:paraId="0AFE254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参照公务员法管理单位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，为华池县劳动人事争议仲裁院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C771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直属事业单位2个，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分别为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华池县劳动保障服务中心、华池县信息管理服务中心。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538.02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所有收入和支出均纳入部门预算管理。收入包括：一般公共预算拨款收入；支出包括：一般公共服务支出、社会保障和就业支出、卫生健康支出、住房保障支出。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538.02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538.02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538.02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476.77</w:t>
      </w:r>
      <w:r>
        <w:rPr>
          <w:rStyle w:val="22"/>
          <w:rFonts w:hint="default" w:hAnsi="仿宋"/>
        </w:rPr>
        <w:t xml:space="preserve">万元， 占 </w:t>
      </w:r>
      <w:r>
        <w:rPr>
          <w:rStyle w:val="23"/>
          <w:rFonts w:hint="eastAsia" w:ascii="仿宋_GB2312" w:hAnsi="仿宋" w:eastAsia="仿宋_GB2312"/>
          <w:lang w:val="en-US" w:eastAsia="zh-CN"/>
        </w:rPr>
        <w:t>88.6</w:t>
      </w:r>
      <w:r>
        <w:rPr>
          <w:rStyle w:val="23"/>
          <w:rFonts w:hint="eastAsia" w:ascii="仿宋_GB2312" w:hAnsi="仿宋" w:eastAsia="仿宋_GB2312"/>
        </w:rPr>
        <w:t xml:space="preserve"> %</w:t>
      </w:r>
      <w:r>
        <w:rPr>
          <w:rStyle w:val="22"/>
          <w:rFonts w:hint="default" w:hAnsi="仿宋"/>
        </w:rPr>
        <w:t>； 项目支出</w:t>
      </w:r>
      <w:r>
        <w:rPr>
          <w:rStyle w:val="22"/>
          <w:rFonts w:hint="eastAsia" w:hAnsi="仿宋" w:eastAsia="仿宋_GB2312"/>
          <w:lang w:val="en-US" w:eastAsia="zh-CN"/>
        </w:rPr>
        <w:t>61.25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11.4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3"/>
          <w:rFonts w:hint="eastAsia" w:ascii="仿宋_GB2312" w:hAnsi="仿宋" w:eastAsia="仿宋_GB2312"/>
          <w:lang w:eastAsia="zh-CN"/>
        </w:rPr>
        <w:t>2025</w:t>
      </w:r>
      <w:r>
        <w:rPr>
          <w:rStyle w:val="23"/>
          <w:rFonts w:hint="eastAsia" w:ascii="仿宋_GB2312" w:hAnsi="仿宋" w:eastAsia="仿宋_GB2312"/>
        </w:rPr>
        <w:t xml:space="preserve"> </w:t>
      </w:r>
      <w:r>
        <w:rPr>
          <w:rStyle w:val="22"/>
          <w:rFonts w:hint="default" w:hAnsi="仿宋"/>
        </w:rPr>
        <w:t>年一般公共预算当年支出</w:t>
      </w:r>
      <w:r>
        <w:rPr>
          <w:rStyle w:val="23"/>
          <w:rFonts w:hint="eastAsia" w:ascii="仿宋_GB2312" w:hAnsi="仿宋" w:eastAsia="仿宋_GB2312"/>
          <w:lang w:val="en-US" w:eastAsia="zh-CN"/>
        </w:rPr>
        <w:t>538.02</w:t>
      </w:r>
      <w:r>
        <w:rPr>
          <w:rStyle w:val="22"/>
          <w:rFonts w:hint="default" w:hAnsi="仿宋"/>
        </w:rPr>
        <w:t>万元，包括：一般公共服务支出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383.36</w:t>
      </w:r>
      <w:r>
        <w:rPr>
          <w:rStyle w:val="22"/>
          <w:rFonts w:hint="default" w:hAnsi="仿宋"/>
        </w:rPr>
        <w:t>万元、社会保障和就业支出</w:t>
      </w:r>
      <w:r>
        <w:rPr>
          <w:rStyle w:val="23"/>
          <w:rFonts w:hint="eastAsia" w:ascii="仿宋_GB2312" w:hAnsi="仿宋" w:eastAsia="仿宋_GB2312"/>
          <w:lang w:val="en-US" w:eastAsia="zh-CN"/>
        </w:rPr>
        <w:t>102.06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eastAsia="zh-CN"/>
        </w:rPr>
        <w:t>卫生健康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21.3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eastAsia="zh-CN"/>
        </w:rPr>
        <w:t>、住房保障支出</w:t>
      </w:r>
      <w:r>
        <w:rPr>
          <w:rStyle w:val="22"/>
          <w:rFonts w:hint="eastAsia" w:hAnsi="仿宋" w:eastAsia="仿宋_GB2312"/>
          <w:lang w:val="en-US" w:eastAsia="zh-CN"/>
        </w:rPr>
        <w:t>31.3万元</w:t>
      </w:r>
      <w:r>
        <w:rPr>
          <w:rStyle w:val="22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476.77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2.63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工资、社会保险等费用增长。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434.2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137.02万元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151.98万元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27.98万元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41.73万元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20.87万元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21.3万元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1.04万元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，对个人和家庭的补助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0.97万元。</w:t>
      </w:r>
      <w:bookmarkStart w:id="0" w:name="_GoBack"/>
      <w:bookmarkEnd w:id="0"/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42.57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5.22万元</w:t>
      </w:r>
      <w:r>
        <w:rPr>
          <w:rFonts w:hint="eastAsia" w:ascii="仿宋_GB2312" w:hAnsi="仿宋" w:eastAsia="仿宋_GB2312"/>
          <w:sz w:val="32"/>
          <w:szCs w:val="32"/>
        </w:rPr>
        <w:t>、印刷费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3.63万元</w:t>
      </w:r>
      <w:r>
        <w:rPr>
          <w:rFonts w:hint="eastAsia" w:ascii="仿宋_GB2312" w:hAnsi="仿宋" w:eastAsia="仿宋_GB2312"/>
          <w:sz w:val="32"/>
          <w:szCs w:val="32"/>
        </w:rPr>
        <w:t>、手续费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0.03万元</w:t>
      </w:r>
      <w:r>
        <w:rPr>
          <w:rFonts w:hint="eastAsia" w:ascii="仿宋_GB2312" w:hAnsi="仿宋" w:eastAsia="仿宋_GB2312"/>
          <w:sz w:val="32"/>
          <w:szCs w:val="32"/>
        </w:rPr>
        <w:t>、水费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0.44万元</w:t>
      </w:r>
      <w:r>
        <w:rPr>
          <w:rFonts w:hint="eastAsia"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1.16万元</w:t>
      </w:r>
      <w:r>
        <w:rPr>
          <w:rFonts w:hint="eastAsia" w:ascii="仿宋_GB2312" w:hAnsi="仿宋" w:eastAsia="仿宋_GB2312"/>
          <w:sz w:val="32"/>
          <w:szCs w:val="32"/>
        </w:rPr>
        <w:t>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1.3万元</w:t>
      </w:r>
      <w:r>
        <w:rPr>
          <w:rFonts w:hint="eastAsia" w:ascii="仿宋_GB2312" w:hAnsi="仿宋" w:eastAsia="仿宋_GB2312"/>
          <w:sz w:val="32"/>
          <w:szCs w:val="32"/>
        </w:rPr>
        <w:t>、取暖费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2.37万元</w:t>
      </w:r>
      <w:r>
        <w:rPr>
          <w:rFonts w:hint="eastAsia" w:ascii="仿宋_GB2312" w:hAnsi="仿宋" w:eastAsia="仿宋_GB2312"/>
          <w:sz w:val="32"/>
          <w:szCs w:val="32"/>
        </w:rPr>
        <w:t>、差旅费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1.55万元</w:t>
      </w:r>
      <w:r>
        <w:rPr>
          <w:rFonts w:hint="eastAsia" w:ascii="仿宋_GB2312" w:hAnsi="仿宋" w:eastAsia="仿宋_GB2312"/>
          <w:sz w:val="32"/>
          <w:szCs w:val="32"/>
        </w:rPr>
        <w:t>、维修（护）费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0.86万元</w:t>
      </w:r>
      <w:r>
        <w:rPr>
          <w:rFonts w:hint="eastAsia" w:ascii="仿宋_GB2312" w:hAnsi="仿宋" w:eastAsia="仿宋_GB2312"/>
          <w:sz w:val="32"/>
          <w:szCs w:val="32"/>
        </w:rPr>
        <w:t>、会议费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0.16万元</w:t>
      </w:r>
      <w:r>
        <w:rPr>
          <w:rFonts w:hint="eastAsia" w:ascii="仿宋_GB2312" w:hAnsi="仿宋" w:eastAsia="仿宋_GB2312"/>
          <w:sz w:val="32"/>
          <w:szCs w:val="32"/>
        </w:rPr>
        <w:t>、公务接待费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0.75万元</w:t>
      </w:r>
      <w:r>
        <w:rPr>
          <w:rFonts w:hint="eastAsia" w:ascii="仿宋_GB2312" w:hAnsi="仿宋" w:eastAsia="仿宋_GB2312"/>
          <w:sz w:val="32"/>
          <w:szCs w:val="32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3.01万元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6.27万元</w:t>
      </w:r>
      <w:r>
        <w:rPr>
          <w:rFonts w:hint="eastAsia" w:ascii="仿宋_GB2312" w:hAnsi="仿宋" w:eastAsia="仿宋_GB2312"/>
          <w:sz w:val="32"/>
          <w:szCs w:val="32"/>
        </w:rPr>
        <w:t>、其他交通费用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8.58万元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7.24万元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67078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61.25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增加干部人事档案管理专项经费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5万元。</w:t>
      </w:r>
    </w:p>
    <w:p w14:paraId="6BF337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乡村公益性岗位补助项目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C5B5CE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金保专网维护费、劳动监察大队执法经费和干部人事档案管理专项经费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A3BCDC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eastAsia="仿宋_GB2312"/>
          <w:lang w:eastAsia="zh-CN"/>
        </w:rPr>
      </w:pPr>
      <w:r>
        <w:rPr>
          <w:rStyle w:val="22"/>
          <w:rFonts w:hint="default" w:hAnsi="仿宋"/>
        </w:rPr>
        <w:t>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383.36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32.98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职工工资和社会保险等增加；</w:t>
      </w:r>
      <w:r>
        <w:rPr>
          <w:rStyle w:val="22"/>
          <w:rFonts w:hint="default" w:hAnsi="仿宋"/>
        </w:rPr>
        <w:t>社会保障和就业支出</w:t>
      </w:r>
      <w:r>
        <w:rPr>
          <w:rStyle w:val="23"/>
          <w:rFonts w:hint="eastAsia" w:ascii="仿宋_GB2312" w:hAnsi="仿宋" w:eastAsia="仿宋_GB2312"/>
          <w:lang w:val="en-US" w:eastAsia="zh-CN"/>
        </w:rPr>
        <w:t>102.06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3.37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职工工资增加，社会保险缴费基数变大，费用增加；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21.3万元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，增张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4.12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人员工资增加，扣缴基数变大。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31.3万元</w:t>
      </w:r>
      <w:r>
        <w:rPr>
          <w:rStyle w:val="22"/>
          <w:rFonts w:hint="eastAsia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2.02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</w:t>
      </w:r>
      <w:r>
        <w:rPr>
          <w:rFonts w:hint="eastAsia" w:ascii="仿宋_GB2312" w:hAnsi="仿宋" w:eastAsia="仿宋_GB2312"/>
          <w:sz w:val="32"/>
          <w:szCs w:val="32"/>
        </w:rPr>
        <w:t>%，主要原因是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职工工资增加，缴费基数变大，费用增加。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是公务接待活动减少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58A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0.16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会议减少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42.57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2.28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5.1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公务员减少，其他交通费用减少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年，单位政府采购预算总额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9.4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5.9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1101.42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3113.92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1036.38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0件。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97215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未安排</w:t>
      </w:r>
      <w:r>
        <w:rPr>
          <w:rFonts w:hint="eastAsia" w:ascii="仿宋_GB2312" w:hAnsi="仿宋" w:eastAsia="仿宋_GB2312"/>
          <w:sz w:val="32"/>
          <w:szCs w:val="32"/>
        </w:rPr>
        <w:t>政府性基金预算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，单位政府性基金预算支出情况表为空表。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4A4BF5A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非税收入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6B2374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乡村公益性岗位补助项目</w:t>
      </w:r>
    </w:p>
    <w:p w14:paraId="4693F9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全县共开发乡村公益性岗位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385个，每人每月发放补助500元。</w:t>
      </w:r>
    </w:p>
    <w:p w14:paraId="4A3CDD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省市关于开发乡村公益性岗位的有关文件</w:t>
      </w:r>
    </w:p>
    <w:p w14:paraId="752E55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各乡镇人民政府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75155F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每月按时发放补助</w:t>
      </w:r>
    </w:p>
    <w:p w14:paraId="7B870A6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年度安排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县级配套资金37.45万元。</w:t>
      </w:r>
    </w:p>
    <w:p w14:paraId="3F5B717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为全县开发的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385个乡村公益性岗位人员按时发放补助，稳定已脱贫人口就业，持续增加收入，巩固脱贫攻坚成果。</w:t>
      </w:r>
    </w:p>
    <w:p w14:paraId="176037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C80C11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0E4198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8D3A1A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发现问题。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个，其中，单位整体支出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随决算公开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，公开率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33.3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F643B3A">
      <w:pPr>
        <w:pStyle w:val="2"/>
        <w:rPr>
          <w:rFonts w:hint="eastAsia"/>
        </w:rPr>
      </w:pPr>
    </w:p>
    <w:p w14:paraId="4D75CE8A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华池县人力资源和社会保障局</w:t>
      </w:r>
    </w:p>
    <w:p w14:paraId="75691F81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1050A6D8">
      <w:pPr>
        <w:adjustRightInd w:val="0"/>
        <w:snapToGrid w:val="0"/>
        <w:spacing w:line="640" w:lineRule="exact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2C57CEB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人社局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人社局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7"/>
      <w:jc w:val="center"/>
    </w:pPr>
  </w:p>
  <w:p w14:paraId="18AFAB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EE6B6"/>
    <w:multiLevelType w:val="singleLevel"/>
    <w:tmpl w:val="4B5EE6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68B011B"/>
    <w:rsid w:val="0BC13552"/>
    <w:rsid w:val="113741D2"/>
    <w:rsid w:val="16AF47D7"/>
    <w:rsid w:val="18330BA7"/>
    <w:rsid w:val="1D34261E"/>
    <w:rsid w:val="1FCC026D"/>
    <w:rsid w:val="2CE66A79"/>
    <w:rsid w:val="42A05423"/>
    <w:rsid w:val="44787BFD"/>
    <w:rsid w:val="49DC3DB7"/>
    <w:rsid w:val="4A1E6C17"/>
    <w:rsid w:val="4AA743C5"/>
    <w:rsid w:val="4C433C79"/>
    <w:rsid w:val="527E074E"/>
    <w:rsid w:val="56393C72"/>
    <w:rsid w:val="579503FF"/>
    <w:rsid w:val="5FF14CD5"/>
    <w:rsid w:val="60535296"/>
    <w:rsid w:val="65623D40"/>
    <w:rsid w:val="71A7083D"/>
    <w:rsid w:val="72FD2525"/>
    <w:rsid w:val="74C8357E"/>
    <w:rsid w:val="78106856"/>
    <w:rsid w:val="7A8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autoRedefine/>
    <w:qFormat/>
    <w:uiPriority w:val="0"/>
    <w:rPr>
      <w:b/>
      <w:bCs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7"/>
    <w:qFormat/>
    <w:uiPriority w:val="0"/>
    <w:rPr>
      <w:sz w:val="18"/>
      <w:szCs w:val="18"/>
    </w:rPr>
  </w:style>
  <w:style w:type="character" w:customStyle="1" w:styleId="15">
    <w:name w:val="页眉 Char"/>
    <w:link w:val="8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4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5"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9"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4518</Words>
  <Characters>4972</Characters>
  <Lines>68</Lines>
  <Paragraphs>19</Paragraphs>
  <TotalTime>10</TotalTime>
  <ScaleCrop>false</ScaleCrop>
  <LinksUpToDate>false</LinksUpToDate>
  <CharactersWithSpaces>5025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南絮</cp:lastModifiedBy>
  <cp:lastPrinted>2022-02-15T07:45:00Z</cp:lastPrinted>
  <dcterms:modified xsi:type="dcterms:W3CDTF">2025-02-10T10:07:30Z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eyJoZGlkIjoiYjA5YWY3NDg5MTJhMzQ1MDg3MzI1N2JhNjIwNWRiYjQiLCJ1c2VySWQiOiI2ODY2MTIzMTMifQ==</vt:lpwstr>
  </property>
</Properties>
</file>