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keepNext w:val="0"/>
        <w:keepLines w:val="0"/>
        <w:pageBreakBefore w:val="0"/>
        <w:kinsoku/>
        <w:wordWrap/>
        <w:overflowPunct/>
        <w:topLinePunct w:val="0"/>
        <w:autoSpaceDE/>
        <w:autoSpaceDN/>
        <w:bidi w:val="0"/>
        <w:spacing w:line="600" w:lineRule="exact"/>
        <w:ind w:left="0" w:leftChars="0" w:right="0" w:firstLine="883" w:firstLineChars="200"/>
        <w:jc w:val="both"/>
        <w:textAlignment w:val="auto"/>
        <w:rPr>
          <w:rFonts w:ascii="宋体" w:hAnsi="宋体" w:cs="宋体"/>
          <w:b/>
          <w:bCs/>
          <w:kern w:val="0"/>
          <w:sz w:val="44"/>
          <w:szCs w:val="44"/>
        </w:rPr>
      </w:pPr>
    </w:p>
    <w:p w14:paraId="0065D364">
      <w:pPr>
        <w:keepNext w:val="0"/>
        <w:keepLines w:val="0"/>
        <w:pageBreakBefore w:val="0"/>
        <w:kinsoku/>
        <w:wordWrap/>
        <w:overflowPunct/>
        <w:topLinePunct w:val="0"/>
        <w:autoSpaceDE/>
        <w:autoSpaceDN/>
        <w:bidi w:val="0"/>
        <w:spacing w:line="600" w:lineRule="exact"/>
        <w:ind w:left="0" w:leftChars="0" w:right="0" w:firstLine="883" w:firstLineChars="200"/>
        <w:jc w:val="both"/>
        <w:textAlignment w:val="auto"/>
        <w:rPr>
          <w:rFonts w:ascii="宋体" w:hAnsi="宋体" w:cs="宋体"/>
          <w:b/>
          <w:bCs/>
          <w:kern w:val="0"/>
          <w:sz w:val="44"/>
          <w:szCs w:val="44"/>
        </w:rPr>
      </w:pPr>
    </w:p>
    <w:p w14:paraId="5AF7918B">
      <w:pPr>
        <w:keepNext w:val="0"/>
        <w:keepLines w:val="0"/>
        <w:pageBreakBefore w:val="0"/>
        <w:kinsoku/>
        <w:wordWrap/>
        <w:overflowPunct/>
        <w:topLinePunct w:val="0"/>
        <w:autoSpaceDE/>
        <w:autoSpaceDN/>
        <w:bidi w:val="0"/>
        <w:spacing w:line="600" w:lineRule="exact"/>
        <w:ind w:left="0" w:leftChars="0" w:right="0" w:firstLine="883" w:firstLineChars="200"/>
        <w:jc w:val="both"/>
        <w:textAlignment w:val="auto"/>
        <w:rPr>
          <w:rFonts w:ascii="宋体" w:hAnsi="宋体" w:cs="宋体"/>
          <w:b/>
          <w:bCs/>
          <w:kern w:val="0"/>
          <w:sz w:val="44"/>
          <w:szCs w:val="44"/>
        </w:rPr>
      </w:pPr>
    </w:p>
    <w:p w14:paraId="5E0C716C">
      <w:pPr>
        <w:keepNext w:val="0"/>
        <w:keepLines w:val="0"/>
        <w:pageBreakBefore w:val="0"/>
        <w:kinsoku/>
        <w:wordWrap/>
        <w:overflowPunct/>
        <w:topLinePunct w:val="0"/>
        <w:autoSpaceDE/>
        <w:autoSpaceDN/>
        <w:bidi w:val="0"/>
        <w:spacing w:line="600" w:lineRule="exact"/>
        <w:ind w:right="0"/>
        <w:jc w:val="center"/>
        <w:textAlignment w:val="auto"/>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华池县科学技术局</w:t>
      </w:r>
    </w:p>
    <w:p w14:paraId="6FECF7BF">
      <w:pPr>
        <w:keepNext w:val="0"/>
        <w:keepLines w:val="0"/>
        <w:pageBreakBefore w:val="0"/>
        <w:kinsoku/>
        <w:wordWrap/>
        <w:overflowPunct/>
        <w:topLinePunct w:val="0"/>
        <w:autoSpaceDE/>
        <w:autoSpaceDN/>
        <w:bidi w:val="0"/>
        <w:spacing w:line="600" w:lineRule="exact"/>
        <w:ind w:right="0"/>
        <w:jc w:val="center"/>
        <w:textAlignment w:val="auto"/>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年部门预算公开情况说明</w:t>
      </w:r>
    </w:p>
    <w:p w14:paraId="23298934">
      <w:pPr>
        <w:keepNext w:val="0"/>
        <w:keepLines w:val="0"/>
        <w:pageBreakBefore w:val="0"/>
        <w:kinsoku/>
        <w:wordWrap/>
        <w:overflowPunct/>
        <w:topLinePunct w:val="0"/>
        <w:autoSpaceDE/>
        <w:autoSpaceDN/>
        <w:bidi w:val="0"/>
        <w:spacing w:line="600" w:lineRule="exact"/>
        <w:ind w:right="0"/>
        <w:jc w:val="center"/>
        <w:textAlignment w:val="auto"/>
        <w:rPr>
          <w:rFonts w:ascii="宋体" w:hAnsi="宋体" w:cs="宋体"/>
          <w:b/>
          <w:bCs/>
          <w:kern w:val="0"/>
          <w:sz w:val="44"/>
          <w:szCs w:val="44"/>
        </w:rPr>
      </w:pPr>
      <w:r>
        <w:rPr>
          <w:rFonts w:hint="eastAsia" w:ascii="宋体" w:hAnsi="宋体" w:cs="宋体"/>
          <w:b/>
          <w:bCs/>
          <w:kern w:val="0"/>
          <w:sz w:val="44"/>
          <w:szCs w:val="44"/>
        </w:rPr>
        <w:t>目  录</w:t>
      </w:r>
    </w:p>
    <w:p w14:paraId="404A4908">
      <w:pPr>
        <w:keepNext w:val="0"/>
        <w:keepLines w:val="0"/>
        <w:pageBreakBefore w:val="0"/>
        <w:kinsoku/>
        <w:wordWrap/>
        <w:overflowPunct/>
        <w:topLinePunct w:val="0"/>
        <w:autoSpaceDE/>
        <w:autoSpaceDN/>
        <w:bidi w:val="0"/>
        <w:spacing w:line="600" w:lineRule="exact"/>
        <w:ind w:left="0" w:leftChars="0" w:right="0" w:firstLine="883" w:firstLineChars="200"/>
        <w:jc w:val="both"/>
        <w:textAlignment w:val="auto"/>
        <w:rPr>
          <w:rFonts w:ascii="宋体" w:hAnsi="宋体" w:cs="宋体"/>
          <w:b/>
          <w:bCs/>
          <w:kern w:val="0"/>
          <w:sz w:val="44"/>
          <w:szCs w:val="44"/>
        </w:rPr>
      </w:pPr>
    </w:p>
    <w:p w14:paraId="581C7286">
      <w:pPr>
        <w:keepNext w:val="0"/>
        <w:keepLines w:val="0"/>
        <w:pageBreakBefore w:val="0"/>
        <w:kinsoku/>
        <w:wordWrap/>
        <w:overflowPunct/>
        <w:topLinePunct w:val="0"/>
        <w:autoSpaceDE/>
        <w:autoSpaceDN/>
        <w:bidi w:val="0"/>
        <w:spacing w:line="600" w:lineRule="exact"/>
        <w:ind w:left="0" w:leftChars="0" w:right="0" w:firstLine="360" w:firstLineChars="200"/>
        <w:jc w:val="both"/>
        <w:textAlignment w:val="auto"/>
        <w:rPr>
          <w:rFonts w:ascii="黑体" w:eastAsia="黑体"/>
          <w:color w:val="000000"/>
          <w:sz w:val="18"/>
          <w:szCs w:val="18"/>
        </w:rPr>
      </w:pPr>
    </w:p>
    <w:p w14:paraId="53002029">
      <w:pPr>
        <w:keepNext w:val="0"/>
        <w:keepLines w:val="0"/>
        <w:pageBreakBefore w:val="0"/>
        <w:kinsoku/>
        <w:wordWrap/>
        <w:overflowPunct/>
        <w:topLinePunct w:val="0"/>
        <w:autoSpaceDE/>
        <w:autoSpaceDN/>
        <w:bidi w:val="0"/>
        <w:spacing w:line="600" w:lineRule="exact"/>
        <w:ind w:left="0" w:leftChars="0" w:right="0" w:firstLine="602" w:firstLineChars="200"/>
        <w:jc w:val="both"/>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keepNext w:val="0"/>
        <w:keepLines w:val="0"/>
        <w:pageBreakBefore w:val="0"/>
        <w:kinsoku/>
        <w:wordWrap/>
        <w:overflowPunct/>
        <w:topLinePunct w:val="0"/>
        <w:autoSpaceDE/>
        <w:autoSpaceDN/>
        <w:bidi w:val="0"/>
        <w:spacing w:line="600" w:lineRule="exact"/>
        <w:ind w:left="0" w:leftChars="0" w:right="0" w:firstLine="602" w:firstLineChars="200"/>
        <w:jc w:val="both"/>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keepNext w:val="0"/>
        <w:keepLines w:val="0"/>
        <w:pageBreakBefore w:val="0"/>
        <w:kinsoku/>
        <w:wordWrap/>
        <w:overflowPunct/>
        <w:topLinePunct w:val="0"/>
        <w:autoSpaceDE/>
        <w:autoSpaceDN/>
        <w:bidi w:val="0"/>
        <w:spacing w:line="600" w:lineRule="exact"/>
        <w:ind w:left="0" w:leftChars="0" w:right="0" w:firstLine="602" w:firstLineChars="200"/>
        <w:jc w:val="both"/>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keepNext w:val="0"/>
        <w:keepLines w:val="0"/>
        <w:pageBreakBefore w:val="0"/>
        <w:kinsoku/>
        <w:wordWrap/>
        <w:overflowPunct/>
        <w:topLinePunct w:val="0"/>
        <w:autoSpaceDE/>
        <w:autoSpaceDN/>
        <w:bidi w:val="0"/>
        <w:spacing w:line="600" w:lineRule="exact"/>
        <w:ind w:left="0" w:leftChars="0" w:right="0" w:firstLine="600" w:firstLineChars="200"/>
        <w:jc w:val="both"/>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keepNext w:val="0"/>
        <w:keepLines w:val="0"/>
        <w:pageBreakBefore w:val="0"/>
        <w:kinsoku/>
        <w:wordWrap/>
        <w:overflowPunct/>
        <w:topLinePunct w:val="0"/>
        <w:autoSpaceDE/>
        <w:autoSpaceDN/>
        <w:bidi w:val="0"/>
        <w:spacing w:line="600" w:lineRule="exact"/>
        <w:ind w:left="0" w:leftChars="0" w:right="0" w:firstLine="883" w:firstLineChars="200"/>
        <w:jc w:val="both"/>
        <w:textAlignment w:val="auto"/>
        <w:rPr>
          <w:rFonts w:ascii="仿宋_GB2312" w:hAnsi="宋体" w:eastAsia="仿宋_GB2312" w:cs="宋体"/>
          <w:b/>
          <w:bCs/>
          <w:kern w:val="0"/>
          <w:sz w:val="44"/>
          <w:szCs w:val="44"/>
        </w:rPr>
      </w:pPr>
    </w:p>
    <w:p w14:paraId="497EB3E7">
      <w:pPr>
        <w:keepNext w:val="0"/>
        <w:keepLines w:val="0"/>
        <w:pageBreakBefore w:val="0"/>
        <w:kinsoku/>
        <w:wordWrap/>
        <w:overflowPunct/>
        <w:topLinePunct w:val="0"/>
        <w:autoSpaceDE/>
        <w:autoSpaceDN/>
        <w:bidi w:val="0"/>
        <w:spacing w:line="600" w:lineRule="exact"/>
        <w:ind w:left="0" w:leftChars="0" w:right="0" w:firstLine="562" w:firstLineChars="200"/>
        <w:jc w:val="both"/>
        <w:textAlignment w:val="auto"/>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keepNext w:val="0"/>
        <w:keepLines w:val="0"/>
        <w:pageBreakBefore w:val="0"/>
        <w:kinsoku/>
        <w:wordWrap/>
        <w:overflowPunct/>
        <w:topLinePunct w:val="0"/>
        <w:autoSpaceDE/>
        <w:autoSpaceDN/>
        <w:bidi w:val="0"/>
        <w:spacing w:line="600" w:lineRule="exact"/>
        <w:ind w:right="0"/>
        <w:jc w:val="center"/>
        <w:textAlignment w:val="auto"/>
        <w:rPr>
          <w:rFonts w:ascii="仿宋_GB2312" w:hAnsi="黑体" w:eastAsia="仿宋_GB2312" w:cs="宋体"/>
          <w:b/>
          <w:kern w:val="0"/>
          <w:sz w:val="32"/>
          <w:szCs w:val="32"/>
        </w:rPr>
      </w:pPr>
      <w:r>
        <w:rPr>
          <w:rFonts w:hint="eastAsia" w:ascii="仿宋_GB2312" w:hAnsi="黑体" w:eastAsia="仿宋_GB2312" w:cs="宋体"/>
          <w:b/>
          <w:kern w:val="0"/>
          <w:sz w:val="32"/>
          <w:szCs w:val="32"/>
        </w:rPr>
        <w:t>前</w:t>
      </w:r>
      <w:r>
        <w:rPr>
          <w:rFonts w:hint="eastAsia" w:ascii="仿宋_GB2312" w:hAnsi="黑体" w:eastAsia="仿宋_GB2312" w:cs="宋体"/>
          <w:b/>
          <w:kern w:val="0"/>
          <w:sz w:val="32"/>
          <w:szCs w:val="32"/>
          <w:lang w:val="en-US" w:eastAsia="zh-CN"/>
        </w:rPr>
        <w:t xml:space="preserve"> </w:t>
      </w:r>
      <w:r>
        <w:rPr>
          <w:rFonts w:hint="eastAsia" w:ascii="仿宋_GB2312" w:hAnsi="黑体" w:eastAsia="仿宋_GB2312" w:cs="宋体"/>
          <w:b/>
          <w:kern w:val="0"/>
          <w:sz w:val="32"/>
          <w:szCs w:val="32"/>
        </w:rPr>
        <w:t>言</w:t>
      </w:r>
    </w:p>
    <w:p w14:paraId="0AD557B8">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黑体" w:hAnsi="黑体" w:eastAsia="黑体" w:cs="宋体"/>
          <w:kern w:val="0"/>
          <w:sz w:val="32"/>
          <w:szCs w:val="32"/>
        </w:rPr>
      </w:pPr>
      <w:r>
        <w:rPr>
          <w:rFonts w:hint="eastAsia" w:ascii="黑体" w:hAnsi="黑体" w:eastAsia="黑体" w:cs="宋体"/>
          <w:kern w:val="0"/>
          <w:sz w:val="32"/>
          <w:szCs w:val="32"/>
        </w:rPr>
        <w:t>一、部门/单位职责</w:t>
      </w:r>
    </w:p>
    <w:p w14:paraId="486F24CB">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（一）拟订全县创新驱动发展战略方针以及科技发展、引进国外智力规划和政策并组织实施。</w:t>
      </w:r>
    </w:p>
    <w:p w14:paraId="178DE2E5">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二）统筹推进全县科技体制改革，会同有关部门健全技术创新激励机制。优化科研体系建设，指导科研机构改革发展，推动企业科技创新能力建设，承担推进科技军民融合发展相关工作，推进全县重大科技决策咨询制度建设。</w:t>
      </w:r>
    </w:p>
    <w:p w14:paraId="4227B7F5">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三）配合国家科技管理平台和科研项目资金协调、评估、监管机制建设。会同有关部门提出优化配置科技资源的政策措施建议，推动多元化科技投入体系建设，协调管理财政科技计划（专项、基金等）并监督实施。</w:t>
      </w:r>
    </w:p>
    <w:p w14:paraId="04C53ADD">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四）拟订全县基础研究规划、政策和标准并组织实施，组织协调全县重大基础研究和应用基础研究。拟订科技创新基地建设规划并监督实施，参与编制科技基础设施建设规划和监督实施，牵头组织重点实验室建设，推动科研条件保障建设和科技资源开放共享。</w:t>
      </w:r>
    </w:p>
    <w:p w14:paraId="7CA31952">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（五）编制全县科技项目规划并监督实施，统筹关键共性技术、前沿引领技术、现代工程技术、颠覆性技术研发和创新，牵头组织技术攻关和成果应用示范。</w:t>
      </w:r>
    </w:p>
    <w:p w14:paraId="41A1DAED">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（六）组织拟订高新技术发展及产业化、科技促进农业农村和社会发展的规划、政策和措施。组织开展重点领域技术发展需求分析，提出项目任务并监督实施。</w:t>
      </w:r>
    </w:p>
    <w:p w14:paraId="65D4EC1C">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（七）牵头全县技术转移体系建设，拟订科技成果转移转化和促进产学研结合的相关政策措施并监督实施。指导科技服务业、技术市场和科技中介组织发展。</w:t>
      </w:r>
    </w:p>
    <w:p w14:paraId="11CB03E6">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（八）统筹全县科技创新体系建设，指导全县创新发展、科技资源合理布局和协同创新能力建设，推动科技园区建设。</w:t>
      </w:r>
    </w:p>
    <w:p w14:paraId="19570A15">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（九）负责科技监督评价体系建设和相关科技评估管理，指导科技评价机制改革，统筹科研诚信建设。组织实施全县创新调查和科技报告制度，指导全县科技保密工作。</w:t>
      </w:r>
    </w:p>
    <w:p w14:paraId="59316373">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（十）拟订科技对外交往与创新能力开放合作的规划、政策和措施，组织开展对外科技合作与科技人才交流。指导相关部门开展对外科技合作与科技人才交流工作。</w:t>
      </w:r>
    </w:p>
    <w:p w14:paraId="2EB14C1F">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（十一）负责引进国外智力工作。拟订全县引进外国专家总体规划、计划并组织实施，指导全县引进国（境）外人才和智力工作。</w:t>
      </w:r>
    </w:p>
    <w:p w14:paraId="3CC50A01">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（十二）会同有关部门拟订科技人才队伍建设规划和政策，建立健全科技人才评价和激励机制，组织实施科技人才计划，推动高端科技创新人才队伍建设。拟订科学普及和科学传播规划、政策。</w:t>
      </w:r>
    </w:p>
    <w:p w14:paraId="3FE6E942">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十三）负责全县科技项目的考察、论证、立项和组织实施，组织科技成果登记、管理和激励；负责华池县科学技术奖的评审组织工作；负责科技创新主体培育、认定及相关补助资金发放；负责落实科技经费，并做好监督工作。</w:t>
      </w:r>
    </w:p>
    <w:p w14:paraId="16C6337D">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（十四）组织实施全县科技特派员基层创业行动，做好科技特派员的选派和工作指导、督查及业绩评估奖惩等工作。</w:t>
      </w:r>
    </w:p>
    <w:p w14:paraId="5867B643">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（十五）负责全县科技宣传培训工作，提高全民科技素质；负责全县科技信息发布、更新工作，及时为全县工农业生产提供政策、科技、市场等信息服务。</w:t>
      </w:r>
    </w:p>
    <w:p w14:paraId="5583A443">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（十六）</w:t>
      </w:r>
      <w:r>
        <w:rPr>
          <w:rFonts w:ascii="仿宋_GB2312" w:eastAsia="仿宋_GB2312"/>
          <w:bCs/>
          <w:color w:val="000000"/>
          <w:sz w:val="32"/>
          <w:szCs w:val="32"/>
        </w:rPr>
        <w:t>完成</w:t>
      </w:r>
      <w:r>
        <w:rPr>
          <w:rFonts w:hint="eastAsia" w:ascii="仿宋_GB2312" w:eastAsia="仿宋_GB2312"/>
          <w:bCs/>
          <w:color w:val="000000"/>
          <w:sz w:val="32"/>
          <w:szCs w:val="32"/>
        </w:rPr>
        <w:t>县</w:t>
      </w:r>
      <w:r>
        <w:rPr>
          <w:rFonts w:ascii="仿宋_GB2312" w:eastAsia="仿宋_GB2312"/>
          <w:bCs/>
          <w:color w:val="000000"/>
          <w:sz w:val="32"/>
          <w:szCs w:val="32"/>
        </w:rPr>
        <w:t>委、</w:t>
      </w:r>
      <w:r>
        <w:rPr>
          <w:rFonts w:hint="eastAsia" w:ascii="仿宋_GB2312" w:eastAsia="仿宋_GB2312"/>
          <w:bCs/>
          <w:color w:val="000000"/>
          <w:sz w:val="32"/>
          <w:szCs w:val="32"/>
        </w:rPr>
        <w:t>县</w:t>
      </w:r>
      <w:r>
        <w:rPr>
          <w:rFonts w:ascii="仿宋_GB2312" w:eastAsia="仿宋_GB2312"/>
          <w:bCs/>
          <w:color w:val="000000"/>
          <w:sz w:val="32"/>
          <w:szCs w:val="32"/>
        </w:rPr>
        <w:t>政府和</w:t>
      </w:r>
      <w:r>
        <w:rPr>
          <w:rFonts w:hint="eastAsia" w:ascii="仿宋_GB2312" w:eastAsia="仿宋_GB2312"/>
          <w:bCs/>
          <w:color w:val="000000"/>
          <w:sz w:val="32"/>
          <w:szCs w:val="32"/>
        </w:rPr>
        <w:t>市</w:t>
      </w:r>
      <w:r>
        <w:rPr>
          <w:rFonts w:ascii="仿宋_GB2312" w:eastAsia="仿宋_GB2312"/>
          <w:bCs/>
          <w:color w:val="000000"/>
          <w:sz w:val="32"/>
          <w:szCs w:val="32"/>
        </w:rPr>
        <w:t>科学技术</w:t>
      </w:r>
      <w:r>
        <w:rPr>
          <w:rFonts w:hint="eastAsia" w:ascii="仿宋_GB2312" w:eastAsia="仿宋_GB2312"/>
          <w:bCs/>
          <w:color w:val="000000"/>
          <w:sz w:val="32"/>
          <w:szCs w:val="32"/>
        </w:rPr>
        <w:t>局</w:t>
      </w:r>
      <w:r>
        <w:rPr>
          <w:rFonts w:ascii="仿宋_GB2312" w:eastAsia="仿宋_GB2312"/>
          <w:bCs/>
          <w:color w:val="000000"/>
          <w:sz w:val="32"/>
          <w:szCs w:val="32"/>
        </w:rPr>
        <w:t>交办的其他任务</w:t>
      </w:r>
      <w:r>
        <w:rPr>
          <w:rFonts w:hint="eastAsia" w:ascii="仿宋_GB2312" w:eastAsia="仿宋_GB2312"/>
          <w:color w:val="000000"/>
          <w:sz w:val="32"/>
          <w:szCs w:val="32"/>
        </w:rPr>
        <w:t>。</w:t>
      </w:r>
    </w:p>
    <w:p w14:paraId="41EAB956">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bCs/>
          <w:spacing w:val="-6"/>
          <w:sz w:val="32"/>
          <w:szCs w:val="32"/>
        </w:rPr>
      </w:pPr>
      <w:r>
        <w:rPr>
          <w:rFonts w:hint="eastAsia" w:ascii="仿宋_GB2312" w:eastAsia="仿宋_GB2312"/>
          <w:color w:val="000000"/>
          <w:sz w:val="32"/>
          <w:szCs w:val="32"/>
        </w:rPr>
        <w:t>（十七）职能转变。</w:t>
      </w:r>
      <w:r>
        <w:rPr>
          <w:rFonts w:hint="eastAsia" w:ascii="仿宋_GB2312" w:eastAsia="仿宋_GB2312"/>
          <w:bCs/>
          <w:spacing w:val="-6"/>
          <w:sz w:val="32"/>
          <w:szCs w:val="32"/>
        </w:rPr>
        <w:t>县</w:t>
      </w:r>
      <w:r>
        <w:rPr>
          <w:rFonts w:ascii="仿宋_GB2312" w:eastAsia="仿宋_GB2312"/>
          <w:bCs/>
          <w:spacing w:val="-6"/>
          <w:sz w:val="32"/>
          <w:szCs w:val="32"/>
        </w:rPr>
        <w:t>科技局要加强、优化、统筹全</w:t>
      </w:r>
      <w:r>
        <w:rPr>
          <w:rFonts w:hint="eastAsia" w:ascii="仿宋_GB2312" w:eastAsia="仿宋_GB2312"/>
          <w:bCs/>
          <w:spacing w:val="-6"/>
          <w:sz w:val="32"/>
          <w:szCs w:val="32"/>
        </w:rPr>
        <w:t>县</w:t>
      </w:r>
      <w:r>
        <w:rPr>
          <w:rFonts w:ascii="仿宋_GB2312" w:eastAsia="仿宋_GB2312"/>
          <w:bCs/>
          <w:spacing w:val="-6"/>
          <w:sz w:val="32"/>
          <w:szCs w:val="32"/>
        </w:rPr>
        <w:t>科技管理和服务职能方面的能力建设。完善科技创新制度和组织体系，加强宏观管理、统筹协调和科研诚信建设。从研发管理向创新服务转变，深入推进科技计划管理改革。加强科研机构的规划布局、改革发展、宏观管理和绩效评价。进一步改进科技人才评价机制，建立健全以创新能力、质量、贡献、绩效为导向的科技人才评价体系和激励政策，统筹</w:t>
      </w:r>
      <w:r>
        <w:rPr>
          <w:rFonts w:hint="eastAsia" w:ascii="仿宋_GB2312" w:eastAsia="仿宋_GB2312"/>
          <w:bCs/>
          <w:spacing w:val="-6"/>
          <w:sz w:val="32"/>
          <w:szCs w:val="32"/>
        </w:rPr>
        <w:t>县</w:t>
      </w:r>
      <w:r>
        <w:rPr>
          <w:rFonts w:ascii="仿宋_GB2312" w:eastAsia="仿宋_GB2312"/>
          <w:bCs/>
          <w:spacing w:val="-6"/>
          <w:sz w:val="32"/>
          <w:szCs w:val="32"/>
        </w:rPr>
        <w:t>内科技人才队伍建设和引进国外智力工作。</w:t>
      </w:r>
    </w:p>
    <w:p w14:paraId="720E48B4">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黑体" w:hAnsi="黑体" w:eastAsia="黑体" w:cs="宋体"/>
          <w:kern w:val="0"/>
          <w:sz w:val="32"/>
          <w:szCs w:val="32"/>
        </w:rPr>
      </w:pPr>
      <w:r>
        <w:rPr>
          <w:rFonts w:hint="eastAsia" w:ascii="黑体" w:hAnsi="黑体" w:eastAsia="黑体" w:cs="宋体"/>
          <w:kern w:val="0"/>
          <w:sz w:val="32"/>
          <w:szCs w:val="32"/>
        </w:rPr>
        <w:t>二、机构设置情况</w:t>
      </w:r>
    </w:p>
    <w:p w14:paraId="4BE9BA12">
      <w:pPr>
        <w:keepNext w:val="0"/>
        <w:keepLines w:val="0"/>
        <w:pageBreakBefore w:val="0"/>
        <w:kinsoku/>
        <w:wordWrap/>
        <w:overflowPunct/>
        <w:topLinePunct w:val="0"/>
        <w:autoSpaceDE/>
        <w:autoSpaceDN/>
        <w:bidi w:val="0"/>
        <w:spacing w:line="600" w:lineRule="exact"/>
        <w:ind w:left="0" w:leftChars="0" w:right="0" w:firstLine="643" w:firstLineChars="200"/>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2603D183">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（一）办公室。负责机关文电、党建、财务、会务、机要、档案、外联、后勤等机关日常运转，承担信息、安全、保密、信访、政务公开、信息化、新闻宣传等工作。</w:t>
      </w:r>
    </w:p>
    <w:p w14:paraId="6D32FEF5">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二）发展计划股。负责县列科技计划项目的考察、论证、立项和组织实施。协调国家、省、市科技项目的申报和衔接。负责全县科技体制建设，编制全县中长期科技发展规划和年度计划。负责科技创新主体培育、认定及相关补助资金发放，做好项目经费的管理和使用。组织科技成果登记、管理和激励，科技成果推广。协调乡镇、部门、院校、企业开展科技合作。负责科技特派员选派、督察、指导、考核和奖惩工作。负责全县科技宣传培训工作。</w:t>
      </w:r>
    </w:p>
    <w:p w14:paraId="4A74B102">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三）引智办。协助聘请国（境）外专家开展技术咨询和业务指导等服务。派出工程技术和管理人员到国（境）进行专项技术技能培训实习和交流合作。协助有关部门与国（境）外有关组织开展国际人才智力交流活动。开展县内国际人才智力交流机构合作，引导、协助创建引智成果示范园（基地、工作站）及科技含量高、市场竞争力强的外向型骨干企业。协助市外专局完成县属聘外单位年检工作。</w:t>
      </w:r>
    </w:p>
    <w:p w14:paraId="7A3D7E15">
      <w:pPr>
        <w:keepNext w:val="0"/>
        <w:keepLines w:val="0"/>
        <w:pageBreakBefore w:val="0"/>
        <w:kinsoku/>
        <w:wordWrap/>
        <w:overflowPunct/>
        <w:topLinePunct w:val="0"/>
        <w:autoSpaceDE/>
        <w:autoSpaceDN/>
        <w:bidi w:val="0"/>
        <w:spacing w:line="600" w:lineRule="exact"/>
        <w:ind w:left="0" w:leftChars="0" w:right="0" w:firstLine="643" w:firstLineChars="200"/>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750D7E5D">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华池县科学技术局是县政府工作部门,为正科级。加挂华池县外国专家局牌子。</w:t>
      </w:r>
    </w:p>
    <w:p w14:paraId="62AFE7CF">
      <w:pPr>
        <w:keepNext w:val="0"/>
        <w:keepLines w:val="0"/>
        <w:pageBreakBefore w:val="0"/>
        <w:kinsoku/>
        <w:wordWrap/>
        <w:overflowPunct/>
        <w:topLinePunct w:val="0"/>
        <w:autoSpaceDE/>
        <w:autoSpaceDN/>
        <w:bidi w:val="0"/>
        <w:spacing w:line="600" w:lineRule="exact"/>
        <w:ind w:left="0" w:leftChars="0" w:right="0" w:firstLine="643" w:firstLineChars="200"/>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0A3CF3F6">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华池县科学技术局所属事业单位</w:t>
      </w:r>
      <w:r>
        <w:rPr>
          <w:rFonts w:hint="eastAsia" w:ascii="仿宋_GB2312" w:eastAsia="仿宋_GB2312"/>
          <w:color w:val="000000"/>
          <w:sz w:val="32"/>
          <w:szCs w:val="32"/>
          <w:lang w:eastAsia="zh-CN"/>
        </w:rPr>
        <w:t>信息产业服务中心。</w:t>
      </w:r>
    </w:p>
    <w:p w14:paraId="154D8898">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keepNext w:val="0"/>
        <w:keepLines w:val="0"/>
        <w:pageBreakBefore w:val="0"/>
        <w:kinsoku/>
        <w:wordWrap/>
        <w:overflowPunct/>
        <w:topLinePunct w:val="0"/>
        <w:autoSpaceDE/>
        <w:autoSpaceDN/>
        <w:bidi w:val="0"/>
        <w:spacing w:line="600" w:lineRule="exact"/>
        <w:ind w:left="0" w:leftChars="0" w:right="0" w:firstLine="640" w:firstLineChars="200"/>
        <w:jc w:val="both"/>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436.73</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keepNext w:val="0"/>
        <w:keepLines w:val="0"/>
        <w:pageBreakBefore w:val="0"/>
        <w:kinsoku/>
        <w:wordWrap/>
        <w:overflowPunct/>
        <w:topLinePunct w:val="0"/>
        <w:autoSpaceDE/>
        <w:autoSpaceDN/>
        <w:bidi w:val="0"/>
        <w:spacing w:line="600" w:lineRule="exact"/>
        <w:ind w:left="0" w:leftChars="0" w:right="0" w:firstLine="643" w:firstLineChars="200"/>
        <w:jc w:val="both"/>
        <w:textAlignment w:val="auto"/>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437.63</w:t>
      </w:r>
      <w:r>
        <w:rPr>
          <w:rFonts w:hint="eastAsia" w:ascii="仿宋_GB2312" w:hAnsi="仿宋" w:eastAsia="仿宋_GB2312"/>
          <w:sz w:val="32"/>
          <w:szCs w:val="32"/>
        </w:rPr>
        <w:t>万元（详见部门/单位预算公开表1,2）。包括：</w:t>
      </w:r>
    </w:p>
    <w:p w14:paraId="745038EB">
      <w:pPr>
        <w:keepNext w:val="0"/>
        <w:keepLines w:val="0"/>
        <w:pageBreakBefore w:val="0"/>
        <w:widowControl/>
        <w:kinsoku/>
        <w:wordWrap/>
        <w:overflowPunct/>
        <w:topLinePunct w:val="0"/>
        <w:autoSpaceDE/>
        <w:autoSpaceDN/>
        <w:bidi w:val="0"/>
        <w:spacing w:line="600" w:lineRule="exact"/>
        <w:ind w:left="0" w:leftChars="0" w:right="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437.63</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2217B580">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437.63</w:t>
      </w:r>
      <w:r>
        <w:rPr>
          <w:rFonts w:hint="eastAsia" w:ascii="仿宋_GB2312" w:hAnsi="仿宋" w:eastAsia="仿宋_GB2312"/>
          <w:sz w:val="32"/>
          <w:szCs w:val="32"/>
        </w:rPr>
        <w:t>万元（详见部门/单位预算公开表3）。</w:t>
      </w:r>
      <w:r>
        <w:rPr>
          <w:rStyle w:val="20"/>
          <w:rFonts w:hint="default" w:hAnsi="仿宋"/>
        </w:rPr>
        <w:t>其中：基本支出</w:t>
      </w:r>
      <w:r>
        <w:rPr>
          <w:rStyle w:val="21"/>
          <w:rFonts w:hint="eastAsia" w:ascii="仿宋_GB2312" w:hAnsi="仿宋" w:eastAsia="仿宋_GB2312"/>
          <w:lang w:val="en-US" w:eastAsia="zh-CN"/>
        </w:rPr>
        <w:t>261.03</w:t>
      </w:r>
      <w:r>
        <w:rPr>
          <w:rStyle w:val="20"/>
          <w:rFonts w:hint="default" w:hAnsi="仿宋"/>
        </w:rPr>
        <w:t>万元，占</w:t>
      </w:r>
      <w:r>
        <w:rPr>
          <w:rStyle w:val="20"/>
          <w:rFonts w:hint="eastAsia" w:hAnsi="仿宋" w:eastAsia="仿宋_GB2312"/>
          <w:lang w:val="en-US" w:eastAsia="zh-CN"/>
        </w:rPr>
        <w:t>59.64</w:t>
      </w:r>
      <w:r>
        <w:rPr>
          <w:rStyle w:val="21"/>
          <w:rFonts w:hint="eastAsia" w:ascii="仿宋_GB2312" w:hAnsi="仿宋" w:eastAsia="仿宋_GB2312"/>
        </w:rPr>
        <w:t>%</w:t>
      </w:r>
      <w:r>
        <w:rPr>
          <w:rStyle w:val="20"/>
          <w:rFonts w:hint="default" w:hAnsi="仿宋"/>
        </w:rPr>
        <w:t>； 项目支出</w:t>
      </w:r>
      <w:r>
        <w:rPr>
          <w:rStyle w:val="20"/>
          <w:rFonts w:hint="eastAsia" w:hAnsi="仿宋" w:eastAsia="仿宋_GB2312"/>
          <w:lang w:val="en-US" w:eastAsia="zh-CN"/>
        </w:rPr>
        <w:t>176.6</w:t>
      </w:r>
      <w:r>
        <w:rPr>
          <w:rStyle w:val="20"/>
          <w:rFonts w:hint="default" w:hAnsi="仿宋"/>
        </w:rPr>
        <w:t>万元，占</w:t>
      </w:r>
      <w:r>
        <w:rPr>
          <w:rStyle w:val="21"/>
          <w:rFonts w:hint="eastAsia" w:ascii="仿宋_GB2312" w:hAnsi="仿宋" w:eastAsia="仿宋_GB2312"/>
          <w:lang w:val="en-US" w:eastAsia="zh-CN"/>
        </w:rPr>
        <w:t>40.36</w:t>
      </w:r>
      <w:r>
        <w:rPr>
          <w:rStyle w:val="21"/>
          <w:rFonts w:hint="eastAsia" w:ascii="仿宋_GB2312" w:hAnsi="仿宋" w:eastAsia="仿宋_GB2312"/>
        </w:rPr>
        <w:t>%</w:t>
      </w:r>
      <w:r>
        <w:rPr>
          <w:rStyle w:val="20"/>
          <w:rFonts w:hint="default" w:hAnsi="仿宋"/>
        </w:rPr>
        <w:t>；上年结转</w:t>
      </w:r>
      <w:r>
        <w:rPr>
          <w:rStyle w:val="21"/>
          <w:rFonts w:hint="eastAsia" w:ascii="仿宋_GB2312" w:hAnsi="仿宋" w:eastAsia="仿宋_GB2312"/>
        </w:rPr>
        <w:t xml:space="preserve"> </w:t>
      </w:r>
      <w:r>
        <w:rPr>
          <w:rStyle w:val="21"/>
          <w:rFonts w:hint="eastAsia" w:ascii="仿宋_GB2312" w:hAnsi="仿宋" w:eastAsia="仿宋_GB2312"/>
          <w:lang w:val="en-US" w:eastAsia="zh-CN"/>
        </w:rPr>
        <w:t>0</w:t>
      </w:r>
      <w:r>
        <w:rPr>
          <w:rStyle w:val="20"/>
          <w:rFonts w:hint="default" w:hAnsi="仿宋"/>
        </w:rPr>
        <w:t>万元</w:t>
      </w:r>
      <w:r>
        <w:rPr>
          <w:rStyle w:val="20"/>
          <w:rFonts w:hint="eastAsia" w:hAnsi="仿宋" w:eastAsia="仿宋_GB2312"/>
          <w:lang w:eastAsia="zh-CN"/>
        </w:rPr>
        <w:t>，</w:t>
      </w:r>
      <w:r>
        <w:rPr>
          <w:rStyle w:val="20"/>
          <w:rFonts w:hint="default" w:hAnsi="仿宋"/>
        </w:rPr>
        <w:t>占</w:t>
      </w:r>
      <w:r>
        <w:rPr>
          <w:rStyle w:val="21"/>
          <w:rFonts w:hint="eastAsia" w:ascii="仿宋_GB2312" w:hAnsi="仿宋" w:eastAsia="仿宋_GB2312"/>
          <w:lang w:val="en-US" w:eastAsia="zh-CN"/>
        </w:rPr>
        <w:t>0</w:t>
      </w:r>
      <w:r>
        <w:rPr>
          <w:rStyle w:val="21"/>
          <w:rFonts w:hint="eastAsia" w:ascii="仿宋_GB2312" w:hAnsi="仿宋" w:eastAsia="仿宋_GB2312"/>
        </w:rPr>
        <w:t xml:space="preserve"> %</w:t>
      </w:r>
      <w:r>
        <w:rPr>
          <w:rStyle w:val="20"/>
          <w:rFonts w:hint="default" w:hAnsi="仿宋"/>
        </w:rPr>
        <w:t>。</w:t>
      </w:r>
    </w:p>
    <w:p w14:paraId="7D7ADD50">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Style w:val="21"/>
          <w:rFonts w:hint="eastAsia" w:ascii="仿宋_GB2312" w:hAnsi="仿宋" w:eastAsia="仿宋_GB2312"/>
          <w:lang w:eastAsia="zh-CN"/>
        </w:rPr>
        <w:t>2025</w:t>
      </w:r>
      <w:r>
        <w:rPr>
          <w:rStyle w:val="21"/>
          <w:rFonts w:hint="eastAsia" w:ascii="仿宋_GB2312" w:hAnsi="仿宋" w:eastAsia="仿宋_GB2312"/>
        </w:rPr>
        <w:t xml:space="preserve"> </w:t>
      </w:r>
      <w:r>
        <w:rPr>
          <w:rStyle w:val="20"/>
          <w:rFonts w:hint="default" w:hAnsi="仿宋"/>
        </w:rPr>
        <w:t>年一般公共预算当年支出</w:t>
      </w:r>
      <w:r>
        <w:rPr>
          <w:rStyle w:val="21"/>
          <w:rFonts w:hint="eastAsia" w:ascii="仿宋_GB2312" w:hAnsi="仿宋" w:eastAsia="仿宋_GB2312"/>
          <w:lang w:val="en-US" w:eastAsia="zh-CN"/>
        </w:rPr>
        <w:t>437.63</w:t>
      </w:r>
      <w:r>
        <w:rPr>
          <w:rStyle w:val="20"/>
          <w:rFonts w:hint="default" w:hAnsi="仿宋"/>
        </w:rPr>
        <w:t>万元，包括：科学技术支出</w:t>
      </w:r>
      <w:r>
        <w:rPr>
          <w:rStyle w:val="21"/>
          <w:rFonts w:hint="eastAsia" w:ascii="仿宋_GB2312" w:hAnsi="仿宋" w:eastAsia="仿宋_GB2312"/>
          <w:lang w:val="en-US" w:eastAsia="zh-CN"/>
        </w:rPr>
        <w:t>370.13</w:t>
      </w:r>
      <w:r>
        <w:rPr>
          <w:rStyle w:val="20"/>
          <w:rFonts w:hint="default" w:hAnsi="仿宋"/>
        </w:rPr>
        <w:t>万元、社会保障和就业支出</w:t>
      </w:r>
      <w:r>
        <w:rPr>
          <w:rStyle w:val="20"/>
          <w:rFonts w:hint="eastAsia" w:hAnsi="仿宋" w:eastAsia="仿宋_GB2312"/>
          <w:lang w:val="en-US" w:eastAsia="zh-CN"/>
        </w:rPr>
        <w:t>38.34</w:t>
      </w:r>
      <w:r>
        <w:rPr>
          <w:rStyle w:val="20"/>
          <w:rFonts w:hint="default" w:hAnsi="仿宋"/>
        </w:rPr>
        <w:t>万元、</w:t>
      </w:r>
      <w:r>
        <w:rPr>
          <w:rStyle w:val="20"/>
          <w:rFonts w:hint="eastAsia" w:hAnsi="仿宋" w:eastAsia="仿宋_GB2312"/>
          <w:lang w:eastAsia="zh-CN"/>
        </w:rPr>
        <w:t>卫生健康</w:t>
      </w:r>
      <w:r>
        <w:rPr>
          <w:rStyle w:val="20"/>
          <w:rFonts w:hint="default" w:hAnsi="仿宋"/>
        </w:rPr>
        <w:t>支出</w:t>
      </w:r>
      <w:r>
        <w:rPr>
          <w:rStyle w:val="21"/>
          <w:rFonts w:hint="eastAsia" w:ascii="仿宋_GB2312" w:hAnsi="仿宋" w:eastAsia="仿宋_GB2312"/>
          <w:lang w:val="en-US" w:eastAsia="zh-CN"/>
        </w:rPr>
        <w:t>12.03</w:t>
      </w:r>
      <w:r>
        <w:rPr>
          <w:rStyle w:val="20"/>
          <w:rFonts w:hint="eastAsia" w:hAnsi="仿宋" w:eastAsia="仿宋_GB2312"/>
          <w:lang w:eastAsia="zh-CN"/>
        </w:rPr>
        <w:t>、</w:t>
      </w:r>
      <w:r>
        <w:rPr>
          <w:rStyle w:val="20"/>
          <w:rFonts w:hint="eastAsia" w:hAnsi="仿宋" w:eastAsia="仿宋_GB2312"/>
          <w:lang w:val="en-US" w:eastAsia="zh-CN"/>
        </w:rPr>
        <w:t>住房保障支出17.13万元</w:t>
      </w:r>
      <w:r>
        <w:rPr>
          <w:rStyle w:val="20"/>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keepNext w:val="0"/>
        <w:keepLines w:val="0"/>
        <w:pageBreakBefore w:val="0"/>
        <w:kinsoku/>
        <w:wordWrap/>
        <w:overflowPunct/>
        <w:topLinePunct w:val="0"/>
        <w:autoSpaceDE/>
        <w:autoSpaceDN/>
        <w:bidi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keepNext w:val="0"/>
        <w:keepLines w:val="0"/>
        <w:pageBreakBefore w:val="0"/>
        <w:widowControl/>
        <w:kinsoku/>
        <w:wordWrap/>
        <w:overflowPunct/>
        <w:topLinePunct w:val="0"/>
        <w:autoSpaceDE/>
        <w:autoSpaceDN/>
        <w:bidi w:val="0"/>
        <w:spacing w:line="600" w:lineRule="exact"/>
        <w:ind w:left="0" w:leftChars="0" w:right="0" w:firstLine="640" w:firstLineChars="200"/>
        <w:contextualSpacing/>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261.03</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25.97</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9.9</w:t>
      </w:r>
      <w:r>
        <w:rPr>
          <w:rFonts w:hint="eastAsia" w:ascii="仿宋_GB2312" w:hAnsi="仿宋" w:eastAsia="仿宋_GB2312"/>
          <w:sz w:val="32"/>
          <w:szCs w:val="32"/>
        </w:rPr>
        <w:t xml:space="preserve"> %，下降的主要原因是</w:t>
      </w:r>
      <w:r>
        <w:rPr>
          <w:rFonts w:hint="eastAsia" w:ascii="仿宋_GB2312" w:hAnsi="仿宋" w:eastAsia="仿宋_GB2312"/>
          <w:sz w:val="32"/>
          <w:szCs w:val="32"/>
          <w:lang w:val="en-US" w:eastAsia="zh-CN"/>
        </w:rPr>
        <w:t>2024年6月份退休1人、2024年9月份调出1人,。</w:t>
      </w:r>
    </w:p>
    <w:p w14:paraId="70883497">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234.01</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167C9CF">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27.02</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47B79818">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7CD387F4">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年一般公共预算财政拨款项目支出预算 </w:t>
      </w:r>
      <w:r>
        <w:rPr>
          <w:rFonts w:hint="eastAsia" w:ascii="仿宋_GB2312" w:hAnsi="仿宋" w:eastAsia="仿宋_GB2312"/>
          <w:sz w:val="32"/>
          <w:szCs w:val="32"/>
          <w:lang w:val="en-US" w:eastAsia="zh-CN"/>
        </w:rPr>
        <w:t>176.6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与</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一致，</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2025年项目预算无增减变化。</w:t>
      </w:r>
    </w:p>
    <w:p w14:paraId="2DD7CC27">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rPr>
        <w:t xml:space="preserve">经济社会发展项目 </w:t>
      </w:r>
      <w:r>
        <w:rPr>
          <w:rFonts w:hint="eastAsia" w:ascii="仿宋_GB2312" w:hAnsi="仿宋" w:eastAsia="仿宋_GB2312"/>
          <w:sz w:val="32"/>
          <w:szCs w:val="32"/>
          <w:lang w:val="en-US" w:eastAsia="zh-CN"/>
        </w:rPr>
        <w:t>3</w:t>
      </w:r>
      <w:r>
        <w:rPr>
          <w:rFonts w:hint="eastAsia" w:ascii="仿宋_GB2312" w:hAnsi="仿宋" w:eastAsia="仿宋_GB2312"/>
          <w:sz w:val="32"/>
          <w:szCs w:val="32"/>
        </w:rPr>
        <w:t>个，主要是项目1科技计划项目及经费、项目2科技特派员及试点工作经费、项目3</w:t>
      </w:r>
      <w:r>
        <w:rPr>
          <w:rFonts w:hint="eastAsia" w:ascii="仿宋_GB2312" w:hAnsi="仿宋" w:eastAsia="仿宋_GB2312"/>
          <w:sz w:val="32"/>
          <w:szCs w:val="32"/>
          <w:lang w:val="en-US" w:eastAsia="zh-CN"/>
        </w:rPr>
        <w:t>科技奖励专项</w:t>
      </w:r>
      <w:r>
        <w:rPr>
          <w:rFonts w:hint="eastAsia" w:ascii="仿宋_GB2312" w:hAnsi="仿宋" w:eastAsia="仿宋_GB2312"/>
          <w:sz w:val="32"/>
          <w:szCs w:val="32"/>
        </w:rPr>
        <w:t>。</w:t>
      </w:r>
    </w:p>
    <w:p w14:paraId="2CA5B858">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429FACD3">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rPr>
        <w:t>2060101 行政运行</w:t>
      </w:r>
      <w:r>
        <w:rPr>
          <w:rFonts w:hint="eastAsia" w:ascii="仿宋_GB2312" w:eastAsia="仿宋_GB2312"/>
          <w:color w:val="000000"/>
          <w:sz w:val="32"/>
          <w:szCs w:val="32"/>
          <w:lang w:val="en-US" w:eastAsia="zh-CN"/>
        </w:rPr>
        <w:t>193.53万元；2060199 其他科学技术管理事务支出66.6万元；2060499 其他技术研究与开发支出80万元；2060503 科技条件专项30万元；2080505 机关事业单位基本养老保险缴费支出23.74万元；2080506 机关事业单位职业年金缴费支出11.42万元；2080899 其他优抚支出0.67万元；2089999 其他社会保障和就业支出2.51万元；2101101 行政单位医疗12.03万元；2210201 住房公积金17.13万元。</w:t>
      </w:r>
    </w:p>
    <w:p w14:paraId="0A65071F">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F57228E">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37B03D70">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2024年持平</w:t>
      </w:r>
      <w:r>
        <w:rPr>
          <w:rFonts w:hint="eastAsia" w:ascii="仿宋_GB2312" w:hAnsi="仿宋" w:eastAsia="仿宋_GB2312"/>
          <w:sz w:val="32"/>
          <w:szCs w:val="32"/>
        </w:rPr>
        <w:t>。</w:t>
      </w:r>
    </w:p>
    <w:p w14:paraId="342575EB">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cs="宋体"/>
          <w:b/>
          <w:kern w:val="0"/>
          <w:sz w:val="32"/>
          <w:szCs w:val="32"/>
        </w:rPr>
      </w:pPr>
      <w:r>
        <w:rPr>
          <w:rFonts w:hint="eastAsia" w:ascii="仿宋_GB2312" w:hAnsi="仿宋" w:eastAsia="仿宋_GB2312"/>
          <w:sz w:val="32"/>
          <w:szCs w:val="32"/>
        </w:rPr>
        <w:t>1.因公出国（境）费用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2024年持平</w:t>
      </w:r>
      <w:r>
        <w:rPr>
          <w:rFonts w:hint="eastAsia" w:ascii="仿宋_GB2312" w:hAnsi="仿宋" w:eastAsia="仿宋_GB2312"/>
          <w:sz w:val="32"/>
          <w:szCs w:val="32"/>
        </w:rPr>
        <w:t>。</w:t>
      </w:r>
    </w:p>
    <w:p w14:paraId="3C8E8136">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cs="宋体"/>
          <w:b/>
          <w:kern w:val="0"/>
          <w:sz w:val="32"/>
          <w:szCs w:val="32"/>
        </w:rPr>
      </w:pPr>
      <w:r>
        <w:rPr>
          <w:rFonts w:hint="eastAsia" w:ascii="仿宋_GB2312" w:hAnsi="仿宋" w:eastAsia="仿宋_GB2312"/>
          <w:sz w:val="32"/>
          <w:szCs w:val="32"/>
        </w:rPr>
        <w:t xml:space="preserve">2.公务接待费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2024年持平</w:t>
      </w:r>
      <w:r>
        <w:rPr>
          <w:rFonts w:hint="eastAsia" w:ascii="仿宋_GB2312" w:hAnsi="仿宋" w:eastAsia="仿宋_GB2312"/>
          <w:sz w:val="32"/>
          <w:szCs w:val="32"/>
        </w:rPr>
        <w:t>。</w:t>
      </w:r>
    </w:p>
    <w:p w14:paraId="7BABBBEB">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cs="宋体"/>
          <w:b/>
          <w:kern w:val="0"/>
          <w:sz w:val="32"/>
          <w:szCs w:val="32"/>
        </w:rPr>
      </w:pPr>
      <w:r>
        <w:rPr>
          <w:rFonts w:hint="eastAsia" w:ascii="仿宋_GB2312" w:hAnsi="仿宋" w:eastAsia="仿宋_GB2312"/>
          <w:sz w:val="32"/>
          <w:szCs w:val="32"/>
        </w:rPr>
        <w:t xml:space="preserve">3.公务用车购置及运行维护费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万元（其中：公务用车购置    万元，公务用车运行维护费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2024年持平</w:t>
      </w:r>
      <w:r>
        <w:rPr>
          <w:rFonts w:hint="eastAsia" w:ascii="仿宋_GB2312" w:hAnsi="仿宋" w:eastAsia="仿宋_GB2312"/>
          <w:sz w:val="32"/>
          <w:szCs w:val="32"/>
        </w:rPr>
        <w:t>。</w:t>
      </w:r>
    </w:p>
    <w:p w14:paraId="4133FB6B">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3CFC4C8B">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cs="宋体"/>
          <w:b/>
          <w:kern w:val="0"/>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2024年持平</w:t>
      </w:r>
      <w:r>
        <w:rPr>
          <w:rFonts w:hint="eastAsia" w:ascii="仿宋_GB2312" w:hAnsi="仿宋" w:eastAsia="仿宋_GB2312"/>
          <w:sz w:val="32"/>
          <w:szCs w:val="32"/>
        </w:rPr>
        <w:t>。</w:t>
      </w:r>
    </w:p>
    <w:p w14:paraId="33B2EB5F">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17D8A466">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eastAsia="仿宋_GB2312"/>
          <w:sz w:val="32"/>
          <w:szCs w:val="32"/>
        </w:rPr>
      </w:pPr>
      <w:r>
        <w:rPr>
          <w:rFonts w:hint="eastAsia" w:ascii="仿宋_GB2312" w:hAnsi="仿宋" w:eastAsia="仿宋_GB2312"/>
          <w:sz w:val="32"/>
          <w:szCs w:val="32"/>
        </w:rPr>
        <w:t xml:space="preserve">5.会议费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2024年持平</w:t>
      </w:r>
      <w:r>
        <w:rPr>
          <w:rFonts w:hint="eastAsia" w:ascii="仿宋_GB2312" w:hAnsi="仿宋" w:eastAsia="仿宋_GB2312"/>
          <w:sz w:val="32"/>
          <w:szCs w:val="32"/>
        </w:rPr>
        <w:t>。</w:t>
      </w:r>
    </w:p>
    <w:p w14:paraId="7D35BB7E">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keepNext w:val="0"/>
        <w:keepLines w:val="0"/>
        <w:pageBreakBefore w:val="0"/>
        <w:widowControl/>
        <w:kinsoku/>
        <w:wordWrap/>
        <w:overflowPunct/>
        <w:topLinePunct w:val="0"/>
        <w:autoSpaceDE/>
        <w:autoSpaceDN/>
        <w:bidi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9.6</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1.2</w:t>
      </w:r>
      <w:r>
        <w:rPr>
          <w:rFonts w:hint="eastAsia" w:ascii="仿宋_GB2312" w:hAnsi="仿宋" w:eastAsia="仿宋_GB2312"/>
          <w:sz w:val="32"/>
          <w:szCs w:val="32"/>
        </w:rPr>
        <w:t xml:space="preserve">万元，下降 </w:t>
      </w:r>
      <w:r>
        <w:rPr>
          <w:rFonts w:hint="eastAsia" w:ascii="仿宋_GB2312" w:hAnsi="仿宋" w:eastAsia="仿宋_GB2312"/>
          <w:sz w:val="32"/>
          <w:szCs w:val="32"/>
          <w:lang w:val="en-US" w:eastAsia="zh-CN"/>
        </w:rPr>
        <w:t>12.5</w:t>
      </w:r>
      <w:r>
        <w:rPr>
          <w:rFonts w:hint="eastAsia" w:ascii="仿宋_GB2312" w:hAnsi="仿宋" w:eastAsia="仿宋_GB2312"/>
          <w:sz w:val="32"/>
          <w:szCs w:val="32"/>
        </w:rPr>
        <w:t xml:space="preserve"> %，下降的主要原因是</w:t>
      </w:r>
      <w:r>
        <w:rPr>
          <w:rFonts w:hint="eastAsia" w:ascii="仿宋_GB2312" w:hAnsi="仿宋" w:eastAsia="仿宋_GB2312"/>
          <w:sz w:val="32"/>
          <w:szCs w:val="32"/>
          <w:lang w:val="en-US" w:eastAsia="zh-CN"/>
        </w:rPr>
        <w:t>人员减少2人（2024年6月份退休1人、2024年9月份调出1人）</w:t>
      </w:r>
      <w:r>
        <w:rPr>
          <w:rFonts w:hint="eastAsia" w:ascii="仿宋_GB2312" w:hAnsi="仿宋" w:eastAsia="仿宋_GB2312"/>
          <w:sz w:val="32"/>
          <w:szCs w:val="32"/>
        </w:rPr>
        <w:t>。</w:t>
      </w:r>
    </w:p>
    <w:p w14:paraId="57B4FFAE">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6.5</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4.5</w:t>
      </w:r>
      <w:r>
        <w:rPr>
          <w:rFonts w:hint="eastAsia" w:ascii="仿宋_GB2312" w:hAnsi="仿宋" w:eastAsia="仿宋_GB2312"/>
          <w:sz w:val="32"/>
          <w:szCs w:val="32"/>
        </w:rPr>
        <w:t>万元。</w:t>
      </w:r>
    </w:p>
    <w:p w14:paraId="51697EF6">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年，部门（单位）面向中小企业预留政府采购项目预算金</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万元，小微企业预留政府采购项目预算金额</w:t>
      </w:r>
      <w:r>
        <w:rPr>
          <w:rFonts w:hint="eastAsia" w:ascii="仿宋_GB2312" w:hAnsi="仿宋" w:eastAsia="仿宋_GB2312"/>
          <w:sz w:val="32"/>
          <w:szCs w:val="32"/>
          <w:lang w:val="en-US" w:eastAsia="zh-CN"/>
        </w:rPr>
        <w:t>5.5</w:t>
      </w:r>
      <w:r>
        <w:rPr>
          <w:rFonts w:hint="eastAsia" w:ascii="仿宋_GB2312" w:hAnsi="仿宋" w:eastAsia="仿宋_GB2312"/>
          <w:sz w:val="32"/>
          <w:szCs w:val="32"/>
        </w:rPr>
        <w:t>万元。</w:t>
      </w:r>
    </w:p>
    <w:p w14:paraId="6A193527">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238.3</w:t>
      </w:r>
      <w:r>
        <w:rPr>
          <w:rFonts w:hint="eastAsia" w:ascii="仿宋_GB2312" w:hAnsi="仿宋" w:eastAsia="仿宋_GB2312"/>
          <w:sz w:val="32"/>
          <w:szCs w:val="32"/>
        </w:rPr>
        <w:t xml:space="preserve"> 万元。其中：办公用房</w:t>
      </w:r>
      <w:r>
        <w:rPr>
          <w:rFonts w:hint="eastAsia" w:ascii="仿宋_GB2312" w:hAnsi="仿宋" w:eastAsia="仿宋_GB2312"/>
          <w:sz w:val="32"/>
          <w:szCs w:val="32"/>
          <w:lang w:val="en-US" w:eastAsia="zh-CN"/>
        </w:rPr>
        <w:t>919.76</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39.2</w:t>
      </w:r>
      <w:r>
        <w:rPr>
          <w:rFonts w:hint="eastAsia" w:ascii="仿宋_GB2312" w:hAnsi="仿宋" w:eastAsia="仿宋_GB2312"/>
          <w:sz w:val="32"/>
          <w:szCs w:val="32"/>
        </w:rPr>
        <w:t xml:space="preserve">万元。预算部门（单位）共有公务用车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辆，价值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万元。单价20万元以上的设备价值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w:t>
      </w:r>
    </w:p>
    <w:p w14:paraId="4AAB33A2">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6705BB76">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065ACB52">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lang w:val="en-US" w:eastAsia="zh-CN"/>
        </w:rPr>
        <w:t>2025年</w:t>
      </w:r>
      <w:r>
        <w:rPr>
          <w:rFonts w:hint="eastAsia" w:ascii="仿宋_GB2312" w:hAnsi="仿宋" w:eastAsia="仿宋_GB2312"/>
          <w:sz w:val="32"/>
          <w:szCs w:val="32"/>
        </w:rPr>
        <w:t>未安排预算，政府性基金预算支出情况表为空表。</w:t>
      </w:r>
    </w:p>
    <w:p w14:paraId="0FF51977">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43D1D00E">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rPr>
        <w:t>本部门/单位202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3864EEF6">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4D419C86">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rPr>
        <w:t>选取1个202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部门/单位预算安排的经济社会发展类项目公开项目文本信息，包括项目名称、项目概况、立项依据、实施主体、实施周期、实施计划、年度预算安排、预期总体目标等内容。没有经济社会发展类项目支出的部门/单位可公开其他类项目。</w:t>
      </w:r>
    </w:p>
    <w:p w14:paraId="29F9BA27">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rPr>
        <w:t>项目名称：科技奖励专项</w:t>
      </w:r>
    </w:p>
    <w:p w14:paraId="35BD534D">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1、项目概况：对新认定的国家高新技术企业给予最高10万元一次性奖励，复审通过的高新技术企业给予最高3万元一次性奖励</w:t>
      </w:r>
      <w:r>
        <w:rPr>
          <w:rFonts w:hint="eastAsia" w:ascii="仿宋_GB2312" w:hAnsi="仿宋" w:eastAsia="仿宋_GB2312"/>
          <w:sz w:val="32"/>
          <w:szCs w:val="32"/>
          <w:lang w:eastAsia="zh-CN"/>
        </w:rPr>
        <w:t>；</w:t>
      </w:r>
      <w:r>
        <w:rPr>
          <w:rFonts w:hint="eastAsia" w:ascii="仿宋_GB2312" w:hAnsi="仿宋" w:eastAsia="仿宋_GB2312"/>
          <w:sz w:val="32"/>
          <w:szCs w:val="32"/>
        </w:rPr>
        <w:t>对新认定的省级科技创新型企业给予最高2万元一次性奖励；对新入库的科学研究与技术服务企业，给予最高2万元一次性奖励</w:t>
      </w:r>
      <w:r>
        <w:rPr>
          <w:rFonts w:hint="eastAsia" w:ascii="仿宋_GB2312" w:hAnsi="仿宋" w:eastAsia="仿宋_GB2312"/>
          <w:sz w:val="32"/>
          <w:szCs w:val="32"/>
          <w:lang w:eastAsia="zh-CN"/>
        </w:rPr>
        <w:t>。</w:t>
      </w:r>
    </w:p>
    <w:p w14:paraId="5A9143AE">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2、立项依据：</w:t>
      </w:r>
      <w:r>
        <w:rPr>
          <w:rFonts w:hint="eastAsia" w:ascii="仿宋_GB2312" w:hAnsi="仿宋" w:eastAsia="仿宋_GB2312"/>
          <w:sz w:val="32"/>
          <w:szCs w:val="32"/>
          <w:lang w:eastAsia="zh-CN"/>
        </w:rPr>
        <w:t>华办发</w:t>
      </w:r>
      <w:r>
        <w:rPr>
          <w:rFonts w:hint="eastAsia" w:ascii="仿宋_GB2312" w:hAnsi="仿宋" w:eastAsia="仿宋_GB2312"/>
          <w:sz w:val="32"/>
          <w:szCs w:val="32"/>
          <w:lang w:val="en-US" w:eastAsia="zh-CN"/>
        </w:rPr>
        <w:t>2023[147]号“中共华池县委办公室华池县人民政府办公室 关于印发《华池县支持“强科技”行动若干措施》的通知”。</w:t>
      </w:r>
    </w:p>
    <w:p w14:paraId="79CC55B0">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3、实施主体：</w:t>
      </w:r>
      <w:r>
        <w:rPr>
          <w:rFonts w:hint="eastAsia" w:ascii="仿宋_GB2312" w:hAnsi="仿宋" w:eastAsia="仿宋_GB2312"/>
          <w:sz w:val="32"/>
          <w:szCs w:val="32"/>
          <w:lang w:eastAsia="zh-CN"/>
        </w:rPr>
        <w:t>华池县科学技术局</w:t>
      </w:r>
    </w:p>
    <w:p w14:paraId="2762A4A4">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4、实施周期：</w:t>
      </w:r>
      <w:r>
        <w:rPr>
          <w:rFonts w:hint="eastAsia" w:ascii="仿宋_GB2312" w:hAnsi="仿宋" w:eastAsia="仿宋_GB2312"/>
          <w:sz w:val="32"/>
          <w:szCs w:val="32"/>
          <w:lang w:val="en-US" w:eastAsia="zh-CN"/>
        </w:rPr>
        <w:t>2025年度</w:t>
      </w:r>
    </w:p>
    <w:p w14:paraId="42F02776">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5、实施计划：</w:t>
      </w:r>
      <w:r>
        <w:rPr>
          <w:rFonts w:hint="eastAsia" w:ascii="仿宋_GB2312" w:hAnsi="仿宋" w:eastAsia="仿宋_GB2312"/>
          <w:sz w:val="32"/>
          <w:szCs w:val="32"/>
          <w:lang w:eastAsia="zh-CN"/>
        </w:rPr>
        <w:t>根据省市下发审定的获得的奖补企业名称，按照相应的资金予以奖补。</w:t>
      </w:r>
    </w:p>
    <w:p w14:paraId="1F448E10">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6、年度预算安排：</w:t>
      </w:r>
      <w:r>
        <w:rPr>
          <w:rFonts w:hint="eastAsia" w:ascii="仿宋_GB2312" w:hAnsi="仿宋" w:eastAsia="仿宋_GB2312"/>
          <w:sz w:val="32"/>
          <w:szCs w:val="32"/>
          <w:lang w:val="en-US" w:eastAsia="zh-CN"/>
        </w:rPr>
        <w:t>30万元。</w:t>
      </w:r>
    </w:p>
    <w:p w14:paraId="688F2895">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7、预期总体目标：</w:t>
      </w:r>
      <w:r>
        <w:rPr>
          <w:rFonts w:hint="eastAsia" w:ascii="仿宋_GB2312" w:hAnsi="仿宋" w:eastAsia="仿宋_GB2312"/>
          <w:sz w:val="32"/>
          <w:szCs w:val="32"/>
          <w:lang w:eastAsia="zh-CN"/>
        </w:rPr>
        <w:t>通过省市县三级联动，通过资金奖补的方式激发企业科技创新活力，鼓励企业加大科技投入、自主研发、成果转化、专利申报等科技创新行动，提高企业内动力，提高产能，增加利润，从而带动县域经济的发展。</w:t>
      </w:r>
    </w:p>
    <w:p w14:paraId="51BD7EBF">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2D829E44">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年，未安排预算，部门/单位管理转移支付表为空表。</w:t>
      </w:r>
    </w:p>
    <w:p w14:paraId="57061121">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1C5CD9CE">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楷体"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eastAsia="zh-CN"/>
        </w:rPr>
        <w:t>，</w:t>
      </w:r>
      <w:r>
        <w:rPr>
          <w:rFonts w:hint="eastAsia" w:ascii="仿宋_GB2312" w:hAnsi="楷体" w:eastAsia="仿宋_GB2312"/>
          <w:sz w:val="32"/>
          <w:szCs w:val="32"/>
        </w:rPr>
        <w:t>未安排预算，国有资本经营预算支出情况表为空表。</w:t>
      </w:r>
    </w:p>
    <w:p w14:paraId="1ED9B130">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整体支出和项目绩效目标   个，按规定随年度预算一并公开项目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58BC8623">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 xml:space="preserve">项目的 </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%。开展1-9月绩效运行监控项目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14:paraId="651C1E26">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4</w:t>
      </w:r>
      <w:r>
        <w:rPr>
          <w:rFonts w:hint="eastAsia" w:ascii="仿宋_GB2312" w:hAnsi="仿宋" w:eastAsia="仿宋_GB2312"/>
          <w:sz w:val="32"/>
          <w:szCs w:val="32"/>
        </w:rPr>
        <w:t xml:space="preserve">个，其中，部门（单位）整体支出 </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3</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lang w:eastAsia="zh-CN"/>
        </w:rPr>
        <w:t>根据县财政统一时间结点安排，</w:t>
      </w:r>
      <w:r>
        <w:rPr>
          <w:rFonts w:hint="eastAsia" w:ascii="仿宋_GB2312" w:hAnsi="仿宋" w:eastAsia="仿宋_GB2312"/>
          <w:sz w:val="32"/>
          <w:szCs w:val="32"/>
          <w:lang w:val="en-US" w:eastAsia="zh-CN"/>
        </w:rPr>
        <w:t>2024年绩效自评结果将随2024年决算一起公开</w:t>
      </w:r>
      <w:r>
        <w:rPr>
          <w:rFonts w:hint="eastAsia" w:ascii="仿宋_GB2312" w:hAnsi="仿宋" w:eastAsia="仿宋_GB2312"/>
          <w:sz w:val="32"/>
          <w:szCs w:val="32"/>
        </w:rPr>
        <w:t>。</w:t>
      </w:r>
    </w:p>
    <w:p w14:paraId="1B5CB531">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15.18236</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个，增长率/压减率</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个。</w:t>
      </w:r>
    </w:p>
    <w:p w14:paraId="7067FDF0">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10</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19</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7</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15</w:t>
      </w:r>
      <w:r>
        <w:rPr>
          <w:rFonts w:hint="eastAsia" w:ascii="仿宋_GB2312" w:hAnsi="仿宋" w:eastAsia="仿宋_GB2312"/>
          <w:sz w:val="32"/>
          <w:szCs w:val="32"/>
        </w:rPr>
        <w:t>个。各项绩效目标内容指向明确、细化量化、合理可行，符合规定的格式要求。</w:t>
      </w:r>
    </w:p>
    <w:p w14:paraId="1B6BE290">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9B31ED0">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w:t>
      </w:r>
    </w:p>
    <w:p w14:paraId="460CD359">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eastAsia" w:ascii="仿宋_GB2312" w:hAnsi="CIDFont+F6" w:eastAsia="仿宋_GB2312"/>
          <w:color w:val="000000"/>
          <w:sz w:val="32"/>
          <w:szCs w:val="32"/>
        </w:rPr>
      </w:pPr>
    </w:p>
    <w:p w14:paraId="2FC9AB6B">
      <w:pPr>
        <w:keepNext w:val="0"/>
        <w:keepLines w:val="0"/>
        <w:pageBreakBefore w:val="0"/>
        <w:kinsoku/>
        <w:wordWrap/>
        <w:overflowPunct/>
        <w:topLinePunct w:val="0"/>
        <w:autoSpaceDE/>
        <w:autoSpaceDN/>
        <w:bidi w:val="0"/>
        <w:adjustRightInd w:val="0"/>
        <w:snapToGrid w:val="0"/>
        <w:spacing w:line="600" w:lineRule="exact"/>
        <w:ind w:left="0" w:leftChars="0" w:right="0" w:firstLine="643" w:firstLineChars="200"/>
        <w:contextualSpacing/>
        <w:jc w:val="both"/>
        <w:textAlignment w:val="auto"/>
        <w:rPr>
          <w:rFonts w:hint="eastAsia" w:ascii="仿宋_GB2312" w:hAnsi="CIDFont+F4" w:eastAsia="仿宋_GB2312"/>
          <w:b/>
          <w:color w:val="000000"/>
          <w:sz w:val="32"/>
          <w:szCs w:val="32"/>
        </w:rPr>
      </w:pPr>
      <w:r>
        <w:rPr>
          <w:rFonts w:hint="eastAsia" w:ascii="仿宋_GB2312" w:hAnsi="CIDFont+F4" w:eastAsia="仿宋_GB2312"/>
          <w:b/>
          <w:color w:val="000000"/>
          <w:sz w:val="32"/>
          <w:szCs w:val="32"/>
        </w:rPr>
        <w:t>（请部门/单位对编制中涉及的专业名词进行补充解释）</w:t>
      </w:r>
    </w:p>
    <w:p w14:paraId="18C50624">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eastAsia" w:ascii="仿宋_GB2312" w:hAnsi="CIDFont+F6" w:eastAsia="仿宋_GB2312"/>
          <w:color w:val="000000"/>
          <w:sz w:val="32"/>
          <w:szCs w:val="32"/>
        </w:rPr>
      </w:pPr>
    </w:p>
    <w:p w14:paraId="453FCEBD">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hint="eastAsia" w:ascii="仿宋_GB2312" w:hAnsi="CIDFont+F6" w:eastAsia="仿宋_GB2312"/>
          <w:color w:val="000000"/>
          <w:sz w:val="32"/>
          <w:szCs w:val="32"/>
        </w:rPr>
      </w:pPr>
    </w:p>
    <w:p w14:paraId="7BF108C1">
      <w:pPr>
        <w:keepNext w:val="0"/>
        <w:keepLines w:val="0"/>
        <w:pageBreakBefore w:val="0"/>
        <w:kinsoku/>
        <w:wordWrap/>
        <w:overflowPunct/>
        <w:topLinePunct w:val="0"/>
        <w:autoSpaceDE/>
        <w:autoSpaceDN/>
        <w:bidi w:val="0"/>
        <w:adjustRightInd w:val="0"/>
        <w:snapToGrid w:val="0"/>
        <w:spacing w:line="600" w:lineRule="exact"/>
        <w:ind w:left="0" w:leftChars="0" w:right="0" w:firstLine="5760" w:firstLineChars="1800"/>
        <w:contextualSpacing/>
        <w:jc w:val="both"/>
        <w:textAlignment w:val="auto"/>
        <w:rPr>
          <w:rFonts w:hint="default"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华池县科学技术局</w:t>
      </w:r>
    </w:p>
    <w:p w14:paraId="77E85168">
      <w:pPr>
        <w:keepNext w:val="0"/>
        <w:keepLines w:val="0"/>
        <w:pageBreakBefore w:val="0"/>
        <w:tabs>
          <w:tab w:val="left" w:pos="6162"/>
        </w:tabs>
        <w:kinsoku/>
        <w:wordWrap/>
        <w:overflowPunct/>
        <w:topLinePunct w:val="0"/>
        <w:autoSpaceDE/>
        <w:autoSpaceDN/>
        <w:bidi w:val="0"/>
        <w:adjustRightInd w:val="0"/>
        <w:snapToGrid w:val="0"/>
        <w:spacing w:line="600" w:lineRule="exact"/>
        <w:ind w:right="0" w:firstLine="6080" w:firstLineChars="1900"/>
        <w:contextualSpacing/>
        <w:jc w:val="both"/>
        <w:textAlignment w:val="auto"/>
        <w:rPr>
          <w:rFonts w:ascii="仿宋_GB2312" w:eastAsia="仿宋_GB2312"/>
          <w:sz w:val="32"/>
          <w:szCs w:val="32"/>
        </w:rPr>
      </w:pPr>
      <w:bookmarkStart w:id="0" w:name="_GoBack"/>
      <w:bookmarkEnd w:id="0"/>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 xml:space="preserve">年 </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 xml:space="preserve">月 </w:t>
      </w:r>
      <w:r>
        <w:rPr>
          <w:rFonts w:hint="eastAsia" w:ascii="仿宋_GB2312" w:hAnsi="CIDFont+F6" w:eastAsia="仿宋_GB2312"/>
          <w:color w:val="000000"/>
          <w:sz w:val="32"/>
          <w:szCs w:val="32"/>
          <w:lang w:val="en-US" w:eastAsia="zh-CN"/>
        </w:rPr>
        <w:t>8</w:t>
      </w:r>
      <w:r>
        <w:rPr>
          <w:rFonts w:hint="eastAsia" w:ascii="仿宋_GB2312" w:hAnsi="CIDFont+F6" w:eastAsia="仿宋_GB2312"/>
          <w:color w:val="000000"/>
          <w:sz w:val="32"/>
          <w:szCs w:val="32"/>
        </w:rPr>
        <w:t>日</w:t>
      </w:r>
    </w:p>
    <w:p w14:paraId="104DAE91">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宋体" w:eastAsia="仿宋_GB2312" w:cs="宋体"/>
          <w:kern w:val="0"/>
          <w:sz w:val="32"/>
          <w:szCs w:val="32"/>
        </w:rPr>
      </w:pPr>
    </w:p>
    <w:p w14:paraId="0358EE45">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val="en-US" w:eastAsia="zh-CN"/>
        </w:rPr>
        <w:t>华池县科学技术局</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部门</w:t>
      </w:r>
      <w:r>
        <w:rPr>
          <w:rFonts w:hint="eastAsia" w:ascii="仿宋_GB2312" w:hAnsi="宋体" w:eastAsia="仿宋_GB2312" w:cs="宋体"/>
          <w:spacing w:val="-20"/>
          <w:kern w:val="0"/>
          <w:sz w:val="32"/>
          <w:szCs w:val="32"/>
        </w:rPr>
        <w:t>预算公开表</w:t>
      </w:r>
    </w:p>
    <w:p w14:paraId="4E90257E">
      <w:pPr>
        <w:keepNext w:val="0"/>
        <w:keepLines w:val="0"/>
        <w:pageBreakBefore w:val="0"/>
        <w:kinsoku/>
        <w:wordWrap/>
        <w:overflowPunct/>
        <w:topLinePunct w:val="0"/>
        <w:autoSpaceDE/>
        <w:autoSpaceDN/>
        <w:bidi w:val="0"/>
        <w:adjustRightInd w:val="0"/>
        <w:snapToGrid w:val="0"/>
        <w:spacing w:line="600" w:lineRule="exact"/>
        <w:ind w:left="0" w:leftChars="0" w:right="0" w:firstLine="640" w:firstLineChars="200"/>
        <w:contextualSpacing/>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华池县科学技术局</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部门</w:t>
      </w:r>
      <w:r>
        <w:rPr>
          <w:rFonts w:hint="eastAsia" w:ascii="仿宋_GB2312" w:hAnsi="宋体" w:eastAsia="仿宋_GB2312" w:cs="宋体"/>
          <w:kern w:val="0"/>
          <w:sz w:val="32"/>
          <w:szCs w:val="32"/>
        </w:rPr>
        <w:t>整体支出绩效目标及预算项目绩效目标表</w:t>
      </w:r>
    </w:p>
    <w:p w14:paraId="22DB4760">
      <w:pPr>
        <w:keepNext w:val="0"/>
        <w:keepLines w:val="0"/>
        <w:pageBreakBefore w:val="0"/>
        <w:tabs>
          <w:tab w:val="left" w:pos="1272"/>
        </w:tabs>
        <w:kinsoku/>
        <w:wordWrap/>
        <w:overflowPunct/>
        <w:topLinePunct w:val="0"/>
        <w:autoSpaceDE/>
        <w:autoSpaceDN/>
        <w:bidi w:val="0"/>
        <w:spacing w:line="600" w:lineRule="exact"/>
        <w:ind w:left="0" w:leftChars="0" w:right="0" w:firstLine="420" w:firstLineChars="200"/>
        <w:jc w:val="both"/>
        <w:textAlignment w:val="auto"/>
      </w:pPr>
    </w:p>
    <w:sectPr>
      <w:pgSz w:w="11906" w:h="16838"/>
      <w:pgMar w:top="1134" w:right="1532" w:bottom="1134" w:left="15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950DA1"/>
    <w:rsid w:val="02E03DF9"/>
    <w:rsid w:val="03AB432C"/>
    <w:rsid w:val="113741D2"/>
    <w:rsid w:val="16E62F3C"/>
    <w:rsid w:val="17555938"/>
    <w:rsid w:val="18330BA7"/>
    <w:rsid w:val="1D34261E"/>
    <w:rsid w:val="23686C4C"/>
    <w:rsid w:val="28943491"/>
    <w:rsid w:val="2FD20E5C"/>
    <w:rsid w:val="34F96F9B"/>
    <w:rsid w:val="3BA1126C"/>
    <w:rsid w:val="3C10358C"/>
    <w:rsid w:val="3ECA6D2C"/>
    <w:rsid w:val="42A05423"/>
    <w:rsid w:val="45193182"/>
    <w:rsid w:val="4B336D3D"/>
    <w:rsid w:val="4C433C79"/>
    <w:rsid w:val="527E074E"/>
    <w:rsid w:val="56393C72"/>
    <w:rsid w:val="579503FF"/>
    <w:rsid w:val="5C1A4255"/>
    <w:rsid w:val="5C897A1F"/>
    <w:rsid w:val="5CE54B31"/>
    <w:rsid w:val="60535296"/>
    <w:rsid w:val="65DF742D"/>
    <w:rsid w:val="6EFC7506"/>
    <w:rsid w:val="70CF1595"/>
    <w:rsid w:val="72FD2525"/>
    <w:rsid w:val="73421572"/>
    <w:rsid w:val="77C47AB5"/>
    <w:rsid w:val="78106856"/>
    <w:rsid w:val="7A7819F2"/>
    <w:rsid w:val="7DA6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15</Pages>
  <Words>5149</Words>
  <Characters>5518</Characters>
  <Lines>68</Lines>
  <Paragraphs>19</Paragraphs>
  <TotalTime>8</TotalTime>
  <ScaleCrop>false</ScaleCrop>
  <LinksUpToDate>false</LinksUpToDate>
  <CharactersWithSpaces>5572</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kw</cp:lastModifiedBy>
  <cp:lastPrinted>2022-02-15T07:45:00Z</cp:lastPrinted>
  <dcterms:modified xsi:type="dcterms:W3CDTF">2025-02-13T02:02:54Z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4746AA2B63644A919A7677ADD6665D0C</vt:lpwstr>
  </property>
  <property fmtid="{D5CDD505-2E9C-101B-9397-08002B2CF9AE}" pid="4" name="KSOTemplateDocerSaveRecord">
    <vt:lpwstr>eyJoZGlkIjoiMTE3MGQ4NjM4OTU1ZmYxYWNmNzRlMmI1NjRiYTYxMGEifQ==</vt:lpwstr>
  </property>
</Properties>
</file>